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Times New Roman" w:eastAsia="仿宋_GB2312" w:cs="Times New Roman"/>
          <w:sz w:val="32"/>
          <w:szCs w:val="32"/>
        </w:rPr>
      </w:pPr>
    </w:p>
    <w:p>
      <w:pPr>
        <w:spacing w:line="720" w:lineRule="exact"/>
        <w:jc w:val="right"/>
        <w:rPr>
          <w:rFonts w:ascii="仿宋_GB2312" w:eastAsia="仿宋_GB2312"/>
          <w:sz w:val="32"/>
          <w:szCs w:val="32"/>
        </w:rPr>
      </w:pPr>
      <w:r>
        <w:rPr>
          <w:rFonts w:hint="eastAsia" w:ascii="仿宋_GB2312" w:eastAsia="仿宋_GB2312"/>
          <w:sz w:val="32"/>
          <w:szCs w:val="32"/>
        </w:rPr>
        <w:t>华财函〔</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w:t>
      </w:r>
      <w:r>
        <w:rPr>
          <w:rFonts w:hint="eastAsia" w:ascii="仿宋_GB2312" w:eastAsia="仿宋_GB2312"/>
          <w:sz w:val="32"/>
          <w:szCs w:val="32"/>
          <w:lang w:val="en-US" w:eastAsia="zh-CN"/>
        </w:rPr>
        <w:t>63</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val="0"/>
        <w:snapToGrid w:val="0"/>
        <w:spacing w:line="900" w:lineRule="exact"/>
        <w:contextualSpacing/>
        <w:jc w:val="both"/>
        <w:textAlignment w:val="auto"/>
        <w:rPr>
          <w:rFonts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0" w:firstLineChars="0"/>
        <w:contextualSpacing/>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color w:val="000000"/>
          <w:sz w:val="44"/>
          <w:szCs w:val="44"/>
        </w:rPr>
        <w:t>关于</w:t>
      </w:r>
      <w:r>
        <w:rPr>
          <w:rFonts w:hint="eastAsia" w:ascii="方正小标宋_GBK" w:hAnsi="方正小标宋_GBK" w:eastAsia="方正小标宋_GBK" w:cs="方正小标宋_GBK"/>
          <w:sz w:val="44"/>
          <w:szCs w:val="44"/>
        </w:rPr>
        <w:t>开展</w:t>
      </w:r>
      <w:r>
        <w:rPr>
          <w:rFonts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2</w:t>
      </w:r>
      <w:r>
        <w:rPr>
          <w:rFonts w:hint="eastAsia" w:ascii="方正小标宋_GBK" w:hAnsi="方正小标宋_GBK" w:eastAsia="方正小标宋_GBK" w:cs="方正小标宋_GBK"/>
          <w:sz w:val="44"/>
          <w:szCs w:val="44"/>
        </w:rPr>
        <w:t>年度</w:t>
      </w:r>
      <w:r>
        <w:rPr>
          <w:rFonts w:hint="eastAsia" w:ascii="方正小标宋_GBK" w:hAnsi="方正小标宋_GBK" w:eastAsia="方正小标宋_GBK" w:cs="方正小标宋_GBK"/>
          <w:sz w:val="44"/>
          <w:szCs w:val="44"/>
          <w:lang w:eastAsia="zh-CN"/>
        </w:rPr>
        <w:t>财政预算</w:t>
      </w:r>
      <w:r>
        <w:rPr>
          <w:rFonts w:hint="eastAsia" w:ascii="方正小标宋_GBK" w:hAnsi="方正小标宋_GBK" w:eastAsia="方正小标宋_GBK" w:cs="方正小标宋_GBK"/>
          <w:sz w:val="44"/>
          <w:szCs w:val="44"/>
        </w:rPr>
        <w:t>支出绩效自评</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0" w:firstLineChars="0"/>
        <w:contextualSpacing/>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工作的通知</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640" w:firstLineChars="200"/>
        <w:contextualSpacing/>
        <w:jc w:val="both"/>
        <w:textAlignment w:val="auto"/>
        <w:rPr>
          <w:rFonts w:ascii="仿宋_GB2312" w:eastAsia="仿宋_GB2312"/>
          <w:color w:val="000000"/>
          <w:sz w:val="32"/>
          <w:szCs w:val="32"/>
          <w:shd w:val="clear" w:color="auto" w:fill="FFFFFF"/>
        </w:rPr>
      </w:pPr>
    </w:p>
    <w:p>
      <w:pPr>
        <w:keepNext w:val="0"/>
        <w:keepLines w:val="0"/>
        <w:pageBreakBefore w:val="0"/>
        <w:widowControl w:val="0"/>
        <w:kinsoku/>
        <w:wordWrap/>
        <w:overflowPunct/>
        <w:topLinePunct w:val="0"/>
        <w:autoSpaceDE/>
        <w:autoSpaceDN/>
        <w:bidi w:val="0"/>
        <w:adjustRightInd w:val="0"/>
        <w:snapToGrid w:val="0"/>
        <w:spacing w:line="580" w:lineRule="exact"/>
        <w:contextualSpacing/>
        <w:jc w:val="both"/>
        <w:textAlignment w:val="auto"/>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各预算单位</w:t>
      </w:r>
      <w:r>
        <w:rPr>
          <w:rFonts w:ascii="仿宋_GB2312" w:eastAsia="仿宋_GB2312"/>
          <w:color w:val="000000"/>
          <w:sz w:val="32"/>
          <w:szCs w:val="32"/>
          <w:shd w:val="clear" w:color="auto" w:fill="FFFFFF"/>
        </w:rPr>
        <w:t>:</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contextualSpacing/>
        <w:jc w:val="both"/>
        <w:textAlignment w:val="auto"/>
        <w:rPr>
          <w:rFonts w:ascii="仿宋_GB2312" w:eastAsia="仿宋_GB2312"/>
          <w:sz w:val="32"/>
          <w:szCs w:val="32"/>
        </w:rPr>
      </w:pPr>
      <w:r>
        <w:rPr>
          <w:rFonts w:hint="eastAsia" w:eastAsia="仿宋_GB2312"/>
          <w:sz w:val="32"/>
          <w:szCs w:val="32"/>
        </w:rPr>
        <w:t>为贯彻落实《中共中央</w:t>
      </w:r>
      <w:r>
        <w:rPr>
          <w:rFonts w:hint="eastAsia" w:eastAsia="仿宋_GB2312"/>
          <w:sz w:val="32"/>
          <w:szCs w:val="32"/>
          <w:lang w:val="en-US" w:eastAsia="zh-CN"/>
        </w:rPr>
        <w:t xml:space="preserve"> </w:t>
      </w:r>
      <w:r>
        <w:rPr>
          <w:rFonts w:hint="eastAsia" w:eastAsia="仿宋_GB2312"/>
          <w:sz w:val="32"/>
          <w:szCs w:val="32"/>
        </w:rPr>
        <w:t>国务院关于全面实施预算绩效管理的意见》精神</w:t>
      </w:r>
      <w:r>
        <w:rPr>
          <w:rFonts w:hint="eastAsia" w:eastAsia="仿宋_GB2312"/>
          <w:sz w:val="32"/>
          <w:szCs w:val="32"/>
          <w:lang w:eastAsia="zh-CN"/>
        </w:rPr>
        <w:t>和省财政厅“绩效管理提升年”行动方案，</w:t>
      </w:r>
      <w:r>
        <w:rPr>
          <w:rFonts w:hint="eastAsia" w:ascii="仿宋_GB2312" w:eastAsia="仿宋_GB2312"/>
          <w:sz w:val="32"/>
          <w:szCs w:val="32"/>
        </w:rPr>
        <w:t>有序推进我县全面实施预算绩效管理</w:t>
      </w:r>
      <w:r>
        <w:rPr>
          <w:rFonts w:hint="eastAsia" w:ascii="仿宋_GB2312" w:eastAsia="仿宋_GB2312"/>
          <w:sz w:val="32"/>
          <w:szCs w:val="32"/>
          <w:lang w:eastAsia="zh-CN"/>
        </w:rPr>
        <w:t>工作</w:t>
      </w:r>
      <w:r>
        <w:rPr>
          <w:rFonts w:hint="eastAsia" w:ascii="仿宋_GB2312" w:eastAsia="仿宋_GB2312"/>
          <w:sz w:val="32"/>
          <w:szCs w:val="32"/>
        </w:rPr>
        <w:t>，强化财政支出绩效理念和责任意识，提高财政</w:t>
      </w:r>
      <w:r>
        <w:rPr>
          <w:rFonts w:hint="eastAsia" w:ascii="仿宋_GB2312" w:eastAsia="仿宋_GB2312"/>
          <w:sz w:val="32"/>
          <w:szCs w:val="32"/>
          <w:lang w:eastAsia="zh-CN"/>
        </w:rPr>
        <w:t>资源配置效率和</w:t>
      </w:r>
      <w:r>
        <w:rPr>
          <w:rFonts w:hint="eastAsia" w:ascii="仿宋_GB2312" w:eastAsia="仿宋_GB2312"/>
          <w:sz w:val="32"/>
          <w:szCs w:val="32"/>
        </w:rPr>
        <w:t>使用效益，现就开展</w:t>
      </w:r>
      <w:r>
        <w:rPr>
          <w:rFonts w:ascii="仿宋_GB2312" w:eastAsia="仿宋_GB2312"/>
          <w:sz w:val="32"/>
          <w:szCs w:val="32"/>
        </w:rPr>
        <w:t>20</w:t>
      </w:r>
      <w:r>
        <w:rPr>
          <w:rFonts w:hint="eastAsia" w:ascii="仿宋_GB2312" w:eastAsia="仿宋_GB2312"/>
          <w:sz w:val="32"/>
          <w:szCs w:val="32"/>
          <w:lang w:val="en-US" w:eastAsia="zh-CN"/>
        </w:rPr>
        <w:t>22</w:t>
      </w:r>
      <w:r>
        <w:rPr>
          <w:rFonts w:hint="eastAsia" w:ascii="仿宋_GB2312" w:eastAsia="仿宋_GB2312"/>
          <w:sz w:val="32"/>
          <w:szCs w:val="32"/>
        </w:rPr>
        <w:t>年度</w:t>
      </w:r>
      <w:r>
        <w:rPr>
          <w:rFonts w:hint="eastAsia" w:ascii="仿宋_GB2312" w:eastAsia="仿宋_GB2312"/>
          <w:sz w:val="32"/>
          <w:szCs w:val="32"/>
          <w:lang w:eastAsia="zh-CN"/>
        </w:rPr>
        <w:t>财政预算</w:t>
      </w:r>
      <w:r>
        <w:rPr>
          <w:rFonts w:hint="eastAsia" w:ascii="仿宋_GB2312" w:eastAsia="仿宋_GB2312"/>
          <w:sz w:val="32"/>
          <w:szCs w:val="32"/>
        </w:rPr>
        <w:t>支出绩效自评工作通知如下：</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contextualSpacing/>
        <w:jc w:val="both"/>
        <w:textAlignment w:val="auto"/>
        <w:rPr>
          <w:rFonts w:hint="eastAsia" w:eastAsia="黑体"/>
          <w:sz w:val="32"/>
          <w:szCs w:val="32"/>
          <w:lang w:eastAsia="zh-CN"/>
        </w:rPr>
      </w:pPr>
      <w:r>
        <w:rPr>
          <w:rFonts w:hint="eastAsia" w:hAnsi="黑体" w:eastAsia="黑体"/>
          <w:sz w:val="32"/>
          <w:szCs w:val="32"/>
        </w:rPr>
        <w:t>一、评价</w:t>
      </w:r>
      <w:r>
        <w:rPr>
          <w:rFonts w:hint="eastAsia" w:hAnsi="黑体" w:eastAsia="黑体"/>
          <w:sz w:val="32"/>
          <w:szCs w:val="32"/>
          <w:lang w:eastAsia="zh-CN"/>
        </w:rPr>
        <w:t>对象</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contextualSpacing/>
        <w:jc w:val="both"/>
        <w:textAlignment w:val="auto"/>
        <w:rPr>
          <w:rFonts w:hint="eastAsia" w:ascii="仿宋_GB2312" w:eastAsia="仿宋_GB2312"/>
          <w:sz w:val="32"/>
          <w:szCs w:val="32"/>
          <w:lang w:eastAsia="zh-CN"/>
        </w:rPr>
      </w:pPr>
      <w:r>
        <w:rPr>
          <w:rFonts w:hint="eastAsia" w:ascii="楷体_GB2312" w:hAnsi="楷体_GB2312" w:eastAsia="楷体_GB2312" w:cs="楷体_GB2312"/>
          <w:b/>
          <w:sz w:val="32"/>
          <w:szCs w:val="32"/>
          <w:lang w:eastAsia="zh-CN"/>
        </w:rPr>
        <w:t>（一）</w:t>
      </w:r>
      <w:r>
        <w:rPr>
          <w:rFonts w:hint="eastAsia" w:ascii="楷体_GB2312" w:hAnsi="楷体_GB2312" w:eastAsia="楷体_GB2312" w:cs="楷体_GB2312"/>
          <w:b/>
          <w:sz w:val="32"/>
          <w:szCs w:val="32"/>
        </w:rPr>
        <w:t>整体支出评价</w:t>
      </w:r>
      <w:r>
        <w:rPr>
          <w:rFonts w:hint="eastAsia" w:ascii="楷体_GB2312" w:hAnsi="楷体_GB2312" w:eastAsia="楷体_GB2312" w:cs="楷体_GB2312"/>
          <w:b/>
          <w:sz w:val="32"/>
          <w:szCs w:val="32"/>
          <w:lang w:eastAsia="zh-CN"/>
        </w:rPr>
        <w:t>对象</w:t>
      </w:r>
      <w:r>
        <w:rPr>
          <w:rFonts w:ascii="楷体_GB2312" w:hAnsi="楷体_GB2312" w:eastAsia="楷体_GB2312" w:cs="楷体_GB2312"/>
          <w:b/>
          <w:sz w:val="32"/>
          <w:szCs w:val="32"/>
        </w:rPr>
        <w:t>:</w:t>
      </w:r>
      <w:r>
        <w:rPr>
          <w:rFonts w:hint="eastAsia" w:ascii="仿宋_GB2312" w:hAnsi="仿宋_GB2312" w:eastAsia="仿宋_GB2312" w:cs="仿宋_GB2312"/>
          <w:sz w:val="32"/>
          <w:szCs w:val="32"/>
          <w:lang w:eastAsia="zh-CN"/>
        </w:rPr>
        <w:t>所有各</w:t>
      </w:r>
      <w:r>
        <w:rPr>
          <w:rFonts w:hint="eastAsia" w:ascii="仿宋_GB2312" w:eastAsia="仿宋_GB2312"/>
          <w:sz w:val="32"/>
          <w:szCs w:val="32"/>
          <w:lang w:eastAsia="zh-CN"/>
        </w:rPr>
        <w:t>预算单位</w:t>
      </w:r>
      <w:r>
        <w:rPr>
          <w:rFonts w:hint="eastAsia" w:ascii="仿宋_GB2312" w:hAnsi="仿宋_GB2312" w:eastAsia="仿宋_GB2312" w:cs="仿宋_GB2312"/>
          <w:sz w:val="32"/>
          <w:szCs w:val="32"/>
          <w:lang w:val="en-US" w:eastAsia="zh-CN"/>
        </w:rPr>
        <w:t>2022年度</w:t>
      </w:r>
      <w:r>
        <w:rPr>
          <w:rFonts w:hint="eastAsia" w:ascii="仿宋_GB2312" w:hAnsi="仿宋_GB2312" w:eastAsia="仿宋_GB2312" w:cs="仿宋_GB2312"/>
          <w:sz w:val="32"/>
          <w:szCs w:val="32"/>
        </w:rPr>
        <w:t>一般公共预算支出、政府性基金预算支出、国有资本经营预算支出和社会保险基金预算支出。</w:t>
      </w:r>
    </w:p>
    <w:p>
      <w:pPr>
        <w:keepNext w:val="0"/>
        <w:keepLines w:val="0"/>
        <w:pageBreakBefore w:val="0"/>
        <w:widowControl w:val="0"/>
        <w:kinsoku/>
        <w:wordWrap/>
        <w:overflowPunct/>
        <w:topLinePunct w:val="0"/>
        <w:autoSpaceDE/>
        <w:autoSpaceDN/>
        <w:bidi w:val="0"/>
        <w:spacing w:line="580" w:lineRule="exact"/>
        <w:ind w:left="0" w:leftChars="0" w:firstLine="643" w:firstLineChars="200"/>
        <w:jc w:val="both"/>
        <w:textAlignment w:val="auto"/>
        <w:rPr>
          <w:rFonts w:hint="eastAsia" w:hAnsi="黑体" w:eastAsia="黑体"/>
          <w:sz w:val="32"/>
          <w:szCs w:val="32"/>
        </w:rPr>
      </w:pPr>
      <w:r>
        <w:rPr>
          <w:rFonts w:hint="eastAsia" w:ascii="楷体_GB2312" w:hAnsi="楷体_GB2312" w:eastAsia="楷体_GB2312" w:cs="楷体_GB2312"/>
          <w:b/>
          <w:sz w:val="32"/>
          <w:szCs w:val="32"/>
          <w:lang w:eastAsia="zh-CN"/>
        </w:rPr>
        <w:t>（二）</w:t>
      </w:r>
      <w:r>
        <w:rPr>
          <w:rFonts w:hint="eastAsia" w:ascii="楷体_GB2312" w:hAnsi="楷体_GB2312" w:eastAsia="楷体_GB2312" w:cs="楷体_GB2312"/>
          <w:b/>
          <w:sz w:val="32"/>
          <w:szCs w:val="32"/>
        </w:rPr>
        <w:t>专项支出评价</w:t>
      </w:r>
      <w:r>
        <w:rPr>
          <w:rFonts w:hint="eastAsia" w:ascii="楷体_GB2312" w:hAnsi="楷体_GB2312" w:eastAsia="楷体_GB2312" w:cs="楷体_GB2312"/>
          <w:b/>
          <w:sz w:val="32"/>
          <w:szCs w:val="32"/>
          <w:lang w:eastAsia="zh-CN"/>
        </w:rPr>
        <w:t>对象</w:t>
      </w:r>
      <w:r>
        <w:rPr>
          <w:rFonts w:hint="eastAsia" w:ascii="楷体_GB2312" w:hAnsi="楷体_GB2312" w:eastAsia="楷体_GB2312" w:cs="楷体_GB2312"/>
          <w:b/>
          <w:sz w:val="32"/>
          <w:szCs w:val="32"/>
        </w:rPr>
        <w:t>：</w:t>
      </w:r>
      <w:r>
        <w:rPr>
          <w:rFonts w:hint="eastAsia" w:ascii="仿宋_GB2312" w:eastAsia="仿宋_GB2312"/>
          <w:sz w:val="32"/>
          <w:szCs w:val="32"/>
          <w:lang w:eastAsia="zh-CN"/>
        </w:rPr>
        <w:t>各预算单位</w:t>
      </w:r>
      <w:r>
        <w:rPr>
          <w:rFonts w:hint="eastAsia" w:ascii="仿宋_GB2312" w:eastAsia="仿宋_GB2312"/>
          <w:sz w:val="32"/>
          <w:szCs w:val="32"/>
        </w:rPr>
        <w:t>对</w:t>
      </w:r>
      <w:r>
        <w:rPr>
          <w:rFonts w:ascii="仿宋_GB2312" w:eastAsia="仿宋_GB2312"/>
          <w:sz w:val="32"/>
          <w:szCs w:val="32"/>
        </w:rPr>
        <w:t>20</w:t>
      </w:r>
      <w:r>
        <w:rPr>
          <w:rFonts w:hint="eastAsia" w:ascii="仿宋_GB2312" w:eastAsia="仿宋_GB2312"/>
          <w:sz w:val="32"/>
          <w:szCs w:val="32"/>
          <w:lang w:val="en-US" w:eastAsia="zh-CN"/>
        </w:rPr>
        <w:t>22</w:t>
      </w:r>
      <w:r>
        <w:rPr>
          <w:rFonts w:hint="eastAsia" w:ascii="仿宋_GB2312" w:eastAsia="仿宋_GB2312"/>
          <w:sz w:val="32"/>
          <w:szCs w:val="32"/>
        </w:rPr>
        <w:t>年度预算安排的项目支出</w:t>
      </w:r>
      <w:r>
        <w:rPr>
          <w:rFonts w:hint="eastAsia" w:ascii="仿宋_GB2312" w:eastAsia="仿宋_GB2312"/>
          <w:sz w:val="32"/>
          <w:szCs w:val="32"/>
          <w:lang w:eastAsia="zh-CN"/>
        </w:rPr>
        <w:t>自行</w:t>
      </w:r>
      <w:r>
        <w:rPr>
          <w:rFonts w:hint="eastAsia" w:ascii="仿宋_GB2312" w:eastAsia="仿宋_GB2312"/>
          <w:sz w:val="32"/>
          <w:szCs w:val="32"/>
        </w:rPr>
        <w:t>开展专项绩效自评，其中对预算安排在</w:t>
      </w:r>
      <w:r>
        <w:rPr>
          <w:rFonts w:ascii="仿宋_GB2312" w:eastAsia="仿宋_GB2312"/>
          <w:sz w:val="32"/>
          <w:szCs w:val="32"/>
        </w:rPr>
        <w:t>50</w:t>
      </w:r>
      <w:r>
        <w:rPr>
          <w:rFonts w:hint="eastAsia" w:ascii="仿宋_GB2312" w:eastAsia="仿宋_GB2312"/>
          <w:sz w:val="32"/>
          <w:szCs w:val="32"/>
        </w:rPr>
        <w:t>万元以上专项作为重点绩效评价项目报</w:t>
      </w:r>
      <w:r>
        <w:rPr>
          <w:rFonts w:hint="eastAsia" w:ascii="仿宋_GB2312" w:eastAsia="仿宋_GB2312"/>
          <w:sz w:val="32"/>
          <w:szCs w:val="32"/>
          <w:lang w:eastAsia="zh-CN"/>
        </w:rPr>
        <w:t>送县</w:t>
      </w:r>
      <w:r>
        <w:rPr>
          <w:rFonts w:hint="eastAsia" w:ascii="仿宋_GB2312" w:eastAsia="仿宋_GB2312"/>
          <w:sz w:val="32"/>
          <w:szCs w:val="32"/>
        </w:rPr>
        <w:t>财政</w:t>
      </w:r>
      <w:r>
        <w:rPr>
          <w:rFonts w:hint="eastAsia" w:ascii="仿宋_GB2312" w:eastAsia="仿宋_GB2312"/>
          <w:sz w:val="32"/>
          <w:szCs w:val="32"/>
          <w:lang w:eastAsia="zh-CN"/>
        </w:rPr>
        <w:t>局。</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contextualSpacing/>
        <w:jc w:val="both"/>
        <w:textAlignment w:val="auto"/>
        <w:rPr>
          <w:rFonts w:hint="eastAsia" w:eastAsia="黑体"/>
          <w:sz w:val="32"/>
          <w:szCs w:val="32"/>
          <w:lang w:eastAsia="zh-CN"/>
        </w:rPr>
      </w:pPr>
      <w:r>
        <w:rPr>
          <w:rFonts w:hint="eastAsia" w:hAnsi="黑体" w:eastAsia="黑体"/>
          <w:sz w:val="32"/>
          <w:szCs w:val="32"/>
          <w:lang w:eastAsia="zh-CN"/>
        </w:rPr>
        <w:t>二</w:t>
      </w:r>
      <w:r>
        <w:rPr>
          <w:rFonts w:hint="eastAsia" w:hAnsi="黑体" w:eastAsia="黑体"/>
          <w:sz w:val="32"/>
          <w:szCs w:val="32"/>
        </w:rPr>
        <w:t>、评价</w:t>
      </w:r>
      <w:r>
        <w:rPr>
          <w:rFonts w:hint="eastAsia" w:hAnsi="黑体" w:eastAsia="黑体"/>
          <w:sz w:val="32"/>
          <w:szCs w:val="32"/>
          <w:lang w:eastAsia="zh-CN"/>
        </w:rPr>
        <w:t>实施</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contextualSpacing/>
        <w:jc w:val="both"/>
        <w:textAlignment w:val="auto"/>
        <w:rPr>
          <w:rFonts w:hint="eastAsia" w:ascii="仿宋_GB2312" w:eastAsia="仿宋_GB2312"/>
          <w:sz w:val="32"/>
          <w:szCs w:val="32"/>
        </w:rPr>
      </w:pPr>
      <w:r>
        <w:rPr>
          <w:rFonts w:hint="eastAsia" w:ascii="仿宋_GB2312" w:eastAsia="仿宋_GB2312"/>
          <w:sz w:val="32"/>
          <w:szCs w:val="32"/>
        </w:rPr>
        <w:t>各预算单位要高度重视</w:t>
      </w:r>
      <w:r>
        <w:rPr>
          <w:rFonts w:hint="eastAsia" w:ascii="仿宋_GB2312" w:eastAsia="仿宋_GB2312"/>
          <w:sz w:val="32"/>
          <w:szCs w:val="32"/>
          <w:lang w:eastAsia="zh-CN"/>
        </w:rPr>
        <w:t>预算</w:t>
      </w:r>
      <w:r>
        <w:rPr>
          <w:rFonts w:hint="eastAsia" w:ascii="仿宋_GB2312" w:eastAsia="仿宋_GB2312"/>
          <w:sz w:val="32"/>
          <w:szCs w:val="32"/>
        </w:rPr>
        <w:t>支出绩效自评工作，认真制定绩效评价工作方案，成立绩效自评工作组，选用科学合理的评价指标反应</w:t>
      </w:r>
      <w:r>
        <w:rPr>
          <w:rFonts w:hint="eastAsia" w:ascii="仿宋_GB2312" w:eastAsia="仿宋_GB2312"/>
          <w:sz w:val="32"/>
          <w:szCs w:val="32"/>
          <w:lang w:eastAsia="zh-CN"/>
        </w:rPr>
        <w:t>预算</w:t>
      </w:r>
      <w:r>
        <w:rPr>
          <w:rFonts w:hint="eastAsia" w:ascii="仿宋_GB2312" w:eastAsia="仿宋_GB2312"/>
          <w:sz w:val="32"/>
          <w:szCs w:val="32"/>
        </w:rPr>
        <w:t>支出绩效水平。</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contextualSpacing/>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rPr>
        <w:t>（一）整体支出绩效自评。</w:t>
      </w:r>
      <w:r>
        <w:rPr>
          <w:rFonts w:hint="eastAsia" w:ascii="楷体_GB2312" w:hAnsi="楷体_GB2312" w:eastAsia="楷体_GB2312" w:cs="楷体_GB2312"/>
          <w:b w:val="0"/>
          <w:bCs w:val="0"/>
          <w:sz w:val="32"/>
          <w:szCs w:val="32"/>
          <w:lang w:eastAsia="zh-CN"/>
        </w:rPr>
        <w:t>各</w:t>
      </w:r>
      <w:r>
        <w:rPr>
          <w:rFonts w:hint="eastAsia" w:ascii="仿宋_GB2312" w:hAnsi="仿宋_GB2312" w:eastAsia="仿宋_GB2312" w:cs="仿宋_GB2312"/>
          <w:sz w:val="32"/>
          <w:szCs w:val="32"/>
          <w:lang w:eastAsia="zh-CN"/>
        </w:rPr>
        <w:t>预算</w:t>
      </w:r>
      <w:r>
        <w:rPr>
          <w:rFonts w:hint="eastAsia" w:ascii="仿宋_GB2312" w:hAnsi="仿宋_GB2312" w:eastAsia="仿宋_GB2312" w:cs="仿宋_GB2312"/>
          <w:sz w:val="32"/>
          <w:szCs w:val="32"/>
        </w:rPr>
        <w:t>单位，填报部门整体支出绩效评价基础数据表（附件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）、部门整体支出绩效自评表（附件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eastAsia="仿宋_GB2312"/>
          <w:sz w:val="32"/>
          <w:szCs w:val="32"/>
          <w:lang w:eastAsia="zh-CN"/>
        </w:rPr>
        <w:t>按照规定的文本格式（附件</w:t>
      </w:r>
      <w:r>
        <w:rPr>
          <w:rFonts w:hint="eastAsia" w:ascii="仿宋_GB2312" w:eastAsia="仿宋_GB2312"/>
          <w:sz w:val="32"/>
          <w:szCs w:val="32"/>
          <w:lang w:val="en-US" w:eastAsia="zh-CN"/>
        </w:rPr>
        <w:t>3</w:t>
      </w:r>
      <w:r>
        <w:rPr>
          <w:rFonts w:hint="eastAsia" w:ascii="仿宋_GB2312" w:eastAsia="仿宋_GB2312"/>
          <w:sz w:val="32"/>
          <w:szCs w:val="32"/>
          <w:lang w:eastAsia="zh-CN"/>
        </w:rPr>
        <w:t>）和要求撰写部门整体支出绩效评价报告。对未完成绩效目标或超过年初设定的绩效指标值较多项目，应在总结报告中逐个说明项目情况、偏差原因</w:t>
      </w:r>
      <w:r>
        <w:rPr>
          <w:rFonts w:hint="eastAsia" w:ascii="仿宋_GB2312" w:hAnsi="仿宋_GB2312" w:eastAsia="仿宋_GB2312" w:cs="仿宋_GB2312"/>
          <w:sz w:val="32"/>
          <w:szCs w:val="32"/>
          <w:lang w:eastAsia="zh-CN"/>
        </w:rPr>
        <w:t>和整改措施等。</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contextualSpacing/>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有二级机构的</w:t>
      </w:r>
      <w:r>
        <w:rPr>
          <w:rFonts w:hint="eastAsia" w:ascii="仿宋_GB2312" w:hAnsi="仿宋_GB2312" w:eastAsia="仿宋_GB2312" w:cs="仿宋_GB2312"/>
          <w:sz w:val="32"/>
          <w:szCs w:val="32"/>
        </w:rPr>
        <w:t>主管部门</w:t>
      </w:r>
      <w:r>
        <w:rPr>
          <w:rFonts w:hint="eastAsia" w:ascii="仿宋_GB2312" w:hAnsi="仿宋_GB2312" w:eastAsia="仿宋_GB2312" w:cs="仿宋_GB2312"/>
          <w:sz w:val="32"/>
          <w:szCs w:val="32"/>
          <w:lang w:eastAsia="zh-CN"/>
        </w:rPr>
        <w:t>需</w:t>
      </w:r>
      <w:r>
        <w:rPr>
          <w:rFonts w:hint="eastAsia" w:ascii="仿宋_GB2312" w:hAnsi="仿宋_GB2312" w:eastAsia="仿宋_GB2312" w:cs="仿宋_GB2312"/>
          <w:sz w:val="32"/>
          <w:szCs w:val="32"/>
        </w:rPr>
        <w:t>汇总</w:t>
      </w:r>
      <w:r>
        <w:rPr>
          <w:rFonts w:hint="eastAsia" w:ascii="仿宋_GB2312" w:hAnsi="仿宋_GB2312" w:eastAsia="仿宋_GB2312" w:cs="仿宋_GB2312"/>
          <w:sz w:val="32"/>
          <w:szCs w:val="32"/>
          <w:lang w:eastAsia="zh-CN"/>
        </w:rPr>
        <w:t>本部门整体支出数据形成部门汇总自评</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3" w:firstLineChars="200"/>
        <w:contextualSpacing/>
        <w:jc w:val="both"/>
        <w:textAlignment w:val="auto"/>
        <w:rPr>
          <w:rFonts w:ascii="华文楷体" w:hAnsi="华文楷体" w:eastAsia="华文楷体"/>
          <w:b/>
          <w:bCs/>
          <w:sz w:val="32"/>
          <w:szCs w:val="32"/>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项目支出绩效自评。</w:t>
      </w:r>
      <w:r>
        <w:rPr>
          <w:rFonts w:hint="eastAsia" w:ascii="仿宋_GB2312" w:eastAsia="仿宋_GB2312"/>
          <w:b w:val="0"/>
          <w:bCs w:val="0"/>
          <w:sz w:val="32"/>
          <w:szCs w:val="32"/>
          <w:lang w:eastAsia="zh-CN"/>
        </w:rPr>
        <w:t>各预算单位，填报</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支出绩效评价</w:t>
      </w:r>
      <w:r>
        <w:rPr>
          <w:rFonts w:hint="eastAsia" w:ascii="仿宋_GB2312" w:hAnsi="仿宋_GB2312" w:eastAsia="仿宋_GB2312" w:cs="仿宋_GB2312"/>
          <w:sz w:val="32"/>
          <w:szCs w:val="32"/>
          <w:lang w:eastAsia="zh-CN"/>
        </w:rPr>
        <w:t>评分表（共性）</w:t>
      </w:r>
      <w:r>
        <w:rPr>
          <w:rFonts w:hint="eastAsia" w:ascii="仿宋_GB2312" w:eastAsia="仿宋_GB2312"/>
          <w:sz w:val="32"/>
          <w:szCs w:val="32"/>
          <w:lang w:eastAsia="zh-CN"/>
        </w:rPr>
        <w:t>（附件</w:t>
      </w:r>
      <w:r>
        <w:rPr>
          <w:rFonts w:hint="eastAsia" w:ascii="仿宋_GB2312" w:eastAsia="仿宋_GB2312"/>
          <w:sz w:val="32"/>
          <w:szCs w:val="32"/>
          <w:lang w:val="en-US" w:eastAsia="zh-CN"/>
        </w:rPr>
        <w:t>4</w:t>
      </w:r>
      <w:r>
        <w:rPr>
          <w:rFonts w:hint="eastAsia" w:ascii="仿宋_GB2312" w:eastAsia="仿宋_GB2312"/>
          <w:sz w:val="32"/>
          <w:szCs w:val="32"/>
          <w:lang w:eastAsia="zh-CN"/>
        </w:rPr>
        <w:t>）</w:t>
      </w:r>
      <w:r>
        <w:rPr>
          <w:rFonts w:hint="eastAsia" w:ascii="仿宋_GB2312" w:eastAsia="仿宋_GB2312"/>
          <w:b w:val="0"/>
          <w:bCs w:val="0"/>
          <w:sz w:val="32"/>
          <w:szCs w:val="32"/>
        </w:rPr>
        <w:t>、</w:t>
      </w:r>
      <w:r>
        <w:rPr>
          <w:rFonts w:hint="eastAsia" w:ascii="仿宋_GB2312" w:eastAsia="仿宋_GB2312"/>
          <w:b w:val="0"/>
          <w:bCs w:val="0"/>
          <w:sz w:val="32"/>
          <w:szCs w:val="32"/>
          <w:lang w:eastAsia="zh-CN"/>
        </w:rPr>
        <w:t>项目支出绩效自评表（附件</w:t>
      </w:r>
      <w:r>
        <w:rPr>
          <w:rFonts w:hint="eastAsia" w:ascii="仿宋_GB2312" w:eastAsia="仿宋_GB2312"/>
          <w:b w:val="0"/>
          <w:bCs w:val="0"/>
          <w:sz w:val="32"/>
          <w:szCs w:val="32"/>
          <w:lang w:val="en-US" w:eastAsia="zh-CN"/>
        </w:rPr>
        <w:t>5</w:t>
      </w:r>
      <w:r>
        <w:rPr>
          <w:rFonts w:hint="eastAsia" w:ascii="仿宋_GB2312" w:eastAsia="仿宋_GB2312"/>
          <w:b w:val="0"/>
          <w:bCs w:val="0"/>
          <w:sz w:val="32"/>
          <w:szCs w:val="32"/>
          <w:lang w:eastAsia="zh-CN"/>
        </w:rPr>
        <w:t>）。</w:t>
      </w:r>
      <w:r>
        <w:rPr>
          <w:rFonts w:hint="eastAsia" w:ascii="仿宋_GB2312" w:eastAsia="仿宋_GB2312"/>
          <w:kern w:val="0"/>
          <w:sz w:val="32"/>
          <w:szCs w:val="32"/>
        </w:rPr>
        <w:t>按照专项资金绩效自评报告参考格式完成自评报告（附件</w:t>
      </w:r>
      <w:r>
        <w:rPr>
          <w:rFonts w:hint="eastAsia" w:ascii="仿宋_GB2312" w:eastAsia="仿宋_GB2312"/>
          <w:kern w:val="0"/>
          <w:sz w:val="32"/>
          <w:szCs w:val="32"/>
          <w:lang w:val="en-US" w:eastAsia="zh-CN"/>
        </w:rPr>
        <w:t>6</w:t>
      </w:r>
      <w:r>
        <w:rPr>
          <w:rFonts w:hint="eastAsia" w:ascii="仿宋_GB2312" w:eastAsia="仿宋_GB2312"/>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contextualSpacing/>
        <w:jc w:val="both"/>
        <w:textAlignment w:val="auto"/>
        <w:rPr>
          <w:rFonts w:hint="eastAsia" w:hAnsi="黑体" w:eastAsia="黑体"/>
          <w:sz w:val="32"/>
          <w:szCs w:val="32"/>
          <w:lang w:eastAsia="zh-CN"/>
        </w:rPr>
      </w:pPr>
      <w:r>
        <w:rPr>
          <w:rFonts w:hint="eastAsia" w:hAnsi="黑体" w:eastAsia="黑体"/>
          <w:sz w:val="32"/>
          <w:szCs w:val="32"/>
          <w:lang w:eastAsia="zh-CN"/>
        </w:rPr>
        <w:t>三、有关要求</w:t>
      </w:r>
    </w:p>
    <w:p>
      <w:pPr>
        <w:keepNext w:val="0"/>
        <w:keepLines w:val="0"/>
        <w:pageBreakBefore w:val="0"/>
        <w:widowControl w:val="0"/>
        <w:kinsoku/>
        <w:wordWrap/>
        <w:overflowPunct/>
        <w:topLinePunct w:val="0"/>
        <w:autoSpaceDE/>
        <w:autoSpaceDN/>
        <w:bidi w:val="0"/>
        <w:spacing w:line="580" w:lineRule="exact"/>
        <w:ind w:left="0" w:leftChars="0" w:firstLine="643" w:firstLineChars="200"/>
        <w:jc w:val="both"/>
        <w:textAlignment w:val="auto"/>
        <w:rPr>
          <w:rFonts w:hint="eastAsia" w:ascii="仿宋_GB2312" w:eastAsia="仿宋_GB2312"/>
          <w:kern w:val="0"/>
          <w:sz w:val="32"/>
          <w:szCs w:val="32"/>
        </w:rPr>
      </w:pPr>
      <w:r>
        <w:rPr>
          <w:rFonts w:hint="eastAsia" w:ascii="仿宋_GB2312" w:eastAsia="仿宋_GB2312"/>
          <w:b/>
          <w:kern w:val="0"/>
          <w:sz w:val="32"/>
          <w:szCs w:val="32"/>
          <w:lang w:eastAsia="zh-CN"/>
        </w:rPr>
        <w:t>（一）</w:t>
      </w:r>
      <w:r>
        <w:rPr>
          <w:rFonts w:hint="eastAsia" w:ascii="仿宋_GB2312" w:eastAsia="仿宋_GB2312"/>
          <w:b/>
          <w:kern w:val="0"/>
          <w:sz w:val="32"/>
          <w:szCs w:val="32"/>
        </w:rPr>
        <w:t>报送时间：</w:t>
      </w:r>
      <w:r>
        <w:rPr>
          <w:rFonts w:hint="eastAsia" w:ascii="仿宋_GB2312" w:eastAsia="仿宋_GB2312"/>
          <w:kern w:val="0"/>
          <w:sz w:val="32"/>
          <w:szCs w:val="32"/>
        </w:rPr>
        <w:t>各预算单位应于</w:t>
      </w:r>
      <w:r>
        <w:rPr>
          <w:rFonts w:ascii="仿宋_GB2312" w:eastAsia="仿宋_GB2312"/>
          <w:kern w:val="0"/>
          <w:sz w:val="32"/>
          <w:szCs w:val="32"/>
        </w:rPr>
        <w:t>202</w:t>
      </w:r>
      <w:r>
        <w:rPr>
          <w:rFonts w:hint="eastAsia" w:ascii="仿宋_GB2312" w:eastAsia="仿宋_GB2312"/>
          <w:kern w:val="0"/>
          <w:sz w:val="32"/>
          <w:szCs w:val="32"/>
          <w:lang w:val="en-US" w:eastAsia="zh-CN"/>
        </w:rPr>
        <w:t>3</w:t>
      </w:r>
      <w:r>
        <w:rPr>
          <w:rFonts w:hint="eastAsia" w:ascii="仿宋_GB2312" w:eastAsia="仿宋_GB2312"/>
          <w:kern w:val="0"/>
          <w:sz w:val="32"/>
          <w:szCs w:val="32"/>
        </w:rPr>
        <w:t>年</w:t>
      </w:r>
      <w:r>
        <w:rPr>
          <w:rFonts w:hint="eastAsia" w:ascii="仿宋_GB2312" w:eastAsia="仿宋_GB2312"/>
          <w:kern w:val="0"/>
          <w:sz w:val="32"/>
          <w:szCs w:val="32"/>
          <w:lang w:val="en-US" w:eastAsia="zh-CN"/>
        </w:rPr>
        <w:t>7</w:t>
      </w:r>
      <w:r>
        <w:rPr>
          <w:rFonts w:hint="eastAsia" w:ascii="仿宋_GB2312" w:eastAsia="仿宋_GB2312"/>
          <w:kern w:val="0"/>
          <w:sz w:val="32"/>
          <w:szCs w:val="32"/>
        </w:rPr>
        <w:t>月</w:t>
      </w:r>
      <w:r>
        <w:rPr>
          <w:rFonts w:hint="eastAsia" w:ascii="仿宋_GB2312" w:eastAsia="仿宋_GB2312"/>
          <w:kern w:val="0"/>
          <w:sz w:val="32"/>
          <w:szCs w:val="32"/>
          <w:lang w:val="en-US" w:eastAsia="zh-CN"/>
        </w:rPr>
        <w:t>17</w:t>
      </w:r>
      <w:r>
        <w:rPr>
          <w:rFonts w:hint="eastAsia" w:ascii="仿宋_GB2312" w:eastAsia="仿宋_GB2312"/>
          <w:kern w:val="0"/>
          <w:sz w:val="32"/>
          <w:szCs w:val="32"/>
        </w:rPr>
        <w:t>日前将自评报</w:t>
      </w:r>
      <w:r>
        <w:rPr>
          <w:rFonts w:hint="eastAsia" w:eastAsia="仿宋_GB2312"/>
          <w:sz w:val="32"/>
          <w:szCs w:val="32"/>
        </w:rPr>
        <w:t>告及相关表格</w:t>
      </w:r>
      <w:r>
        <w:rPr>
          <w:rFonts w:hint="eastAsia" w:ascii="仿宋_GB2312" w:eastAsia="仿宋_GB2312"/>
          <w:kern w:val="0"/>
          <w:sz w:val="32"/>
          <w:szCs w:val="32"/>
        </w:rPr>
        <w:t>报送县财政局。</w:t>
      </w:r>
    </w:p>
    <w:p>
      <w:pPr>
        <w:keepNext w:val="0"/>
        <w:keepLines w:val="0"/>
        <w:pageBreakBefore w:val="0"/>
        <w:widowControl w:val="0"/>
        <w:kinsoku/>
        <w:wordWrap/>
        <w:overflowPunct/>
        <w:topLinePunct w:val="0"/>
        <w:autoSpaceDE/>
        <w:autoSpaceDN/>
        <w:bidi w:val="0"/>
        <w:spacing w:line="580" w:lineRule="exact"/>
        <w:ind w:left="0" w:leftChars="0" w:firstLine="643" w:firstLineChars="200"/>
        <w:jc w:val="both"/>
        <w:textAlignment w:val="auto"/>
        <w:rPr>
          <w:rFonts w:hint="eastAsia" w:ascii="仿宋_GB2312" w:eastAsia="仿宋_GB2312"/>
          <w:bCs/>
          <w:kern w:val="0"/>
          <w:sz w:val="32"/>
          <w:szCs w:val="32"/>
        </w:rPr>
      </w:pPr>
      <w:r>
        <w:rPr>
          <w:rFonts w:hint="eastAsia" w:ascii="仿宋_GB2312" w:eastAsia="仿宋_GB2312"/>
          <w:b/>
          <w:kern w:val="0"/>
          <w:sz w:val="32"/>
          <w:szCs w:val="32"/>
          <w:lang w:eastAsia="zh-CN"/>
        </w:rPr>
        <w:t>（二）</w:t>
      </w:r>
      <w:r>
        <w:rPr>
          <w:rFonts w:hint="eastAsia" w:ascii="仿宋_GB2312" w:eastAsia="仿宋_GB2312"/>
          <w:b/>
          <w:kern w:val="0"/>
          <w:sz w:val="32"/>
          <w:szCs w:val="32"/>
        </w:rPr>
        <w:t>报送要求：</w:t>
      </w:r>
      <w:r>
        <w:rPr>
          <w:rFonts w:hint="eastAsia" w:ascii="仿宋_GB2312" w:hAnsi="Times New Roman" w:eastAsia="仿宋_GB2312" w:cs="Times New Roman"/>
          <w:bCs/>
          <w:kern w:val="0"/>
          <w:sz w:val="32"/>
          <w:szCs w:val="32"/>
        </w:rPr>
        <w:t>①</w:t>
      </w:r>
      <w:r>
        <w:rPr>
          <w:rFonts w:hint="eastAsia" w:ascii="仿宋_GB2312" w:eastAsia="仿宋_GB2312"/>
          <w:bCs/>
          <w:kern w:val="0"/>
          <w:sz w:val="32"/>
          <w:szCs w:val="32"/>
          <w:lang w:eastAsia="zh-CN"/>
        </w:rPr>
        <w:t>各预算</w:t>
      </w:r>
      <w:r>
        <w:rPr>
          <w:rFonts w:hint="eastAsia" w:ascii="仿宋_GB2312" w:eastAsia="仿宋_GB2312"/>
          <w:bCs/>
          <w:kern w:val="0"/>
          <w:sz w:val="32"/>
          <w:szCs w:val="32"/>
        </w:rPr>
        <w:t>单位</w:t>
      </w:r>
      <w:r>
        <w:rPr>
          <w:rFonts w:hint="eastAsia" w:ascii="仿宋_GB2312" w:hAnsi="仿宋_GB2312" w:eastAsia="仿宋_GB2312" w:cs="仿宋_GB2312"/>
          <w:sz w:val="32"/>
          <w:szCs w:val="32"/>
        </w:rPr>
        <w:t>加盖单位行政公章</w:t>
      </w:r>
      <w:r>
        <w:rPr>
          <w:rFonts w:hint="eastAsia" w:ascii="仿宋_GB2312" w:eastAsia="仿宋_GB2312"/>
          <w:bCs/>
          <w:kern w:val="0"/>
          <w:sz w:val="32"/>
          <w:szCs w:val="32"/>
        </w:rPr>
        <w:t>的整体支出绩效自评</w:t>
      </w:r>
      <w:r>
        <w:rPr>
          <w:rFonts w:hint="eastAsia" w:ascii="仿宋_GB2312" w:eastAsia="仿宋_GB2312"/>
          <w:bCs/>
          <w:kern w:val="0"/>
          <w:sz w:val="32"/>
          <w:szCs w:val="32"/>
          <w:lang w:eastAsia="zh-CN"/>
        </w:rPr>
        <w:t>和择选的重点项目</w:t>
      </w:r>
      <w:r>
        <w:rPr>
          <w:rFonts w:hint="eastAsia" w:ascii="仿宋_GB2312" w:eastAsia="仿宋_GB2312"/>
          <w:kern w:val="0"/>
          <w:sz w:val="32"/>
          <w:szCs w:val="32"/>
        </w:rPr>
        <w:t>自评</w:t>
      </w:r>
      <w:r>
        <w:rPr>
          <w:rFonts w:hint="eastAsia" w:ascii="仿宋_GB2312" w:eastAsia="仿宋_GB2312"/>
          <w:bCs/>
          <w:kern w:val="0"/>
          <w:sz w:val="32"/>
          <w:szCs w:val="32"/>
        </w:rPr>
        <w:t>。②同时报送纸质版和电子版</w:t>
      </w:r>
      <w:r>
        <w:rPr>
          <w:rFonts w:hint="eastAsia" w:ascii="仿宋_GB2312" w:eastAsia="仿宋_GB2312"/>
          <w:bCs/>
          <w:kern w:val="0"/>
          <w:sz w:val="32"/>
          <w:szCs w:val="32"/>
          <w:lang w:eastAsia="zh-CN"/>
        </w:rPr>
        <w:t>（</w:t>
      </w:r>
      <w:r>
        <w:rPr>
          <w:rFonts w:hint="eastAsia" w:ascii="仿宋_GB2312" w:eastAsia="仿宋_GB2312"/>
          <w:bCs/>
          <w:kern w:val="0"/>
          <w:sz w:val="32"/>
          <w:szCs w:val="32"/>
          <w:lang w:val="en-US" w:eastAsia="zh-CN"/>
        </w:rPr>
        <w:t>word文档格式</w:t>
      </w:r>
      <w:r>
        <w:rPr>
          <w:rFonts w:hint="eastAsia" w:ascii="仿宋_GB2312" w:eastAsia="仿宋_GB2312"/>
          <w:bCs/>
          <w:kern w:val="0"/>
          <w:sz w:val="32"/>
          <w:szCs w:val="32"/>
          <w:lang w:eastAsia="zh-CN"/>
        </w:rPr>
        <w:t>）</w:t>
      </w:r>
      <w:r>
        <w:rPr>
          <w:rFonts w:hint="eastAsia" w:ascii="仿宋_GB2312" w:eastAsia="仿宋_GB2312"/>
          <w:bCs/>
          <w:kern w:val="0"/>
          <w:sz w:val="32"/>
          <w:szCs w:val="32"/>
        </w:rPr>
        <w:t>，</w:t>
      </w:r>
      <w:r>
        <w:rPr>
          <w:rFonts w:hint="eastAsia" w:ascii="仿宋_GB2312" w:eastAsia="仿宋_GB2312"/>
          <w:bCs/>
          <w:kern w:val="0"/>
          <w:sz w:val="32"/>
          <w:szCs w:val="32"/>
          <w:lang w:eastAsia="zh-CN"/>
        </w:rPr>
        <w:t>电子档报送邮箱</w:t>
      </w:r>
      <w:r>
        <w:rPr>
          <w:rFonts w:ascii="仿宋_GB2312" w:eastAsia="仿宋_GB2312"/>
          <w:sz w:val="32"/>
          <w:szCs w:val="32"/>
        </w:rPr>
        <w:t>593</w:t>
      </w:r>
      <w:r>
        <w:rPr>
          <w:rFonts w:ascii="仿宋_GB2312" w:eastAsia="仿宋_GB2312"/>
          <w:kern w:val="0"/>
          <w:sz w:val="32"/>
          <w:szCs w:val="32"/>
        </w:rPr>
        <w:t>236391@qq.com</w:t>
      </w:r>
      <w:r>
        <w:rPr>
          <w:rFonts w:hint="eastAsia" w:ascii="仿宋_GB2312" w:eastAsia="仿宋_GB2312"/>
          <w:bCs/>
          <w:kern w:val="0"/>
          <w:sz w:val="32"/>
          <w:szCs w:val="32"/>
        </w:rPr>
        <w:t>。纸质</w:t>
      </w:r>
      <w:r>
        <w:rPr>
          <w:rFonts w:hint="eastAsia" w:ascii="仿宋_GB2312" w:eastAsia="仿宋_GB2312"/>
          <w:bCs/>
          <w:kern w:val="0"/>
          <w:sz w:val="32"/>
          <w:szCs w:val="32"/>
          <w:lang w:eastAsia="zh-CN"/>
        </w:rPr>
        <w:t>档先</w:t>
      </w:r>
      <w:r>
        <w:rPr>
          <w:rFonts w:hint="eastAsia" w:ascii="仿宋_GB2312" w:eastAsia="仿宋_GB2312"/>
          <w:bCs/>
          <w:kern w:val="0"/>
          <w:sz w:val="32"/>
          <w:szCs w:val="32"/>
        </w:rPr>
        <w:t>经县财政局归口业务股室</w:t>
      </w:r>
      <w:r>
        <w:rPr>
          <w:rFonts w:hint="eastAsia" w:ascii="仿宋_GB2312" w:eastAsia="仿宋_GB2312"/>
          <w:bCs/>
          <w:kern w:val="0"/>
          <w:sz w:val="32"/>
          <w:szCs w:val="32"/>
          <w:lang w:eastAsia="zh-CN"/>
        </w:rPr>
        <w:t>审核</w:t>
      </w:r>
      <w:r>
        <w:rPr>
          <w:rFonts w:hint="eastAsia" w:ascii="仿宋_GB2312" w:eastAsia="仿宋_GB2312"/>
          <w:bCs/>
          <w:kern w:val="0"/>
          <w:sz w:val="32"/>
          <w:szCs w:val="32"/>
        </w:rPr>
        <w:t>签章</w:t>
      </w:r>
      <w:r>
        <w:rPr>
          <w:rFonts w:hint="eastAsia" w:ascii="仿宋_GB2312" w:eastAsia="仿宋_GB2312"/>
          <w:bCs/>
          <w:kern w:val="0"/>
          <w:sz w:val="32"/>
          <w:szCs w:val="32"/>
          <w:lang w:eastAsia="zh-CN"/>
        </w:rPr>
        <w:t>，</w:t>
      </w:r>
      <w:r>
        <w:rPr>
          <w:rFonts w:hint="eastAsia" w:ascii="仿宋_GB2312" w:eastAsia="仿宋_GB2312"/>
          <w:bCs/>
          <w:kern w:val="0"/>
          <w:sz w:val="32"/>
          <w:szCs w:val="32"/>
        </w:rPr>
        <w:t>后报送绩效管理股。③各预算单位对报送数据材料的真实性、准确性和完整性负责。</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3" w:firstLineChars="200"/>
        <w:jc w:val="both"/>
        <w:textAlignment w:val="auto"/>
        <w:rPr>
          <w:rFonts w:hint="eastAsia" w:ascii="仿宋_GB2312" w:hAnsi="仿宋_GB2312" w:eastAsia="仿宋_GB2312" w:cs="仿宋_GB2312"/>
          <w:b/>
          <w:sz w:val="32"/>
          <w:szCs w:val="32"/>
        </w:rPr>
      </w:pPr>
      <w:r>
        <w:rPr>
          <w:rFonts w:hint="eastAsia" w:ascii="仿宋_GB2312" w:eastAsia="仿宋_GB2312"/>
          <w:b/>
          <w:kern w:val="0"/>
          <w:sz w:val="32"/>
          <w:szCs w:val="32"/>
          <w:lang w:eastAsia="zh-CN"/>
        </w:rPr>
        <w:t>（三）结果应用：</w:t>
      </w:r>
      <w:r>
        <w:rPr>
          <w:rFonts w:hint="eastAsia" w:ascii="仿宋_GB2312" w:hAnsi="仿宋_GB2312" w:eastAsia="仿宋_GB2312" w:cs="仿宋_GB2312"/>
          <w:b/>
          <w:sz w:val="32"/>
          <w:szCs w:val="32"/>
        </w:rPr>
        <w:t>一是</w:t>
      </w:r>
      <w:r>
        <w:rPr>
          <w:rFonts w:hint="eastAsia" w:ascii="仿宋_GB2312" w:hAnsi="仿宋_GB2312" w:eastAsia="仿宋_GB2312" w:cs="仿宋_GB2312"/>
          <w:b w:val="0"/>
          <w:bCs/>
          <w:sz w:val="32"/>
          <w:szCs w:val="32"/>
          <w:lang w:eastAsia="zh-CN"/>
        </w:rPr>
        <w:t>对</w:t>
      </w:r>
      <w:r>
        <w:rPr>
          <w:rFonts w:hint="eastAsia" w:ascii="仿宋_GB2312" w:hAnsi="仿宋_GB2312" w:eastAsia="仿宋_GB2312" w:cs="仿宋_GB2312"/>
          <w:sz w:val="32"/>
          <w:szCs w:val="32"/>
        </w:rPr>
        <w:t>绩效自评工作</w:t>
      </w:r>
      <w:r>
        <w:rPr>
          <w:rFonts w:hint="eastAsia" w:ascii="仿宋_GB2312" w:hAnsi="仿宋_GB2312" w:eastAsia="仿宋_GB2312" w:cs="仿宋_GB2312"/>
          <w:sz w:val="32"/>
          <w:szCs w:val="32"/>
          <w:lang w:eastAsia="zh-CN"/>
        </w:rPr>
        <w:t>进行</w:t>
      </w:r>
      <w:r>
        <w:rPr>
          <w:rFonts w:hint="eastAsia" w:ascii="仿宋_GB2312" w:hAnsi="仿宋_GB2312" w:eastAsia="仿宋_GB2312" w:cs="仿宋_GB2312"/>
          <w:sz w:val="32"/>
          <w:szCs w:val="32"/>
        </w:rPr>
        <w:t>评审和抽查。</w:t>
      </w:r>
      <w:r>
        <w:rPr>
          <w:rFonts w:hint="eastAsia" w:ascii="仿宋_GB2312" w:hAnsi="仿宋_GB2312" w:eastAsia="仿宋_GB2312" w:cs="仿宋_GB2312"/>
          <w:sz w:val="32"/>
          <w:szCs w:val="32"/>
          <w:lang w:eastAsia="zh-CN"/>
        </w:rPr>
        <w:t>县财政局</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eastAsia="zh-CN"/>
        </w:rPr>
        <w:t>各预算单位</w:t>
      </w:r>
      <w:r>
        <w:rPr>
          <w:rFonts w:hint="eastAsia" w:ascii="仿宋_GB2312" w:hAnsi="仿宋_GB2312" w:eastAsia="仿宋_GB2312" w:cs="仿宋_GB2312"/>
          <w:sz w:val="32"/>
          <w:szCs w:val="32"/>
        </w:rPr>
        <w:t>绩效自评工作质量进行评审</w:t>
      </w:r>
      <w:r>
        <w:rPr>
          <w:rFonts w:hint="eastAsia" w:ascii="仿宋_GB2312" w:hAnsi="仿宋_GB2312" w:eastAsia="仿宋_GB2312" w:cs="仿宋_GB2312"/>
          <w:sz w:val="32"/>
          <w:szCs w:val="32"/>
          <w:lang w:eastAsia="zh-CN"/>
        </w:rPr>
        <w:t>并通报评审结果</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二是</w:t>
      </w:r>
      <w:r>
        <w:rPr>
          <w:rFonts w:hint="eastAsia" w:ascii="仿宋_GB2312" w:hAnsi="仿宋_GB2312" w:eastAsia="仿宋_GB2312" w:cs="仿宋_GB2312"/>
          <w:sz w:val="32"/>
          <w:szCs w:val="32"/>
        </w:rPr>
        <w:t>全面公开绩效自评报告。除涉密事项外，</w:t>
      </w: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rPr>
        <w:t>预算</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要将部门整体支出绩效自评报告</w:t>
      </w:r>
      <w:r>
        <w:rPr>
          <w:rFonts w:hint="eastAsia" w:ascii="仿宋_GB2312" w:hAnsi="仿宋_GB2312" w:eastAsia="仿宋_GB2312" w:cs="仿宋_GB2312"/>
          <w:sz w:val="32"/>
          <w:szCs w:val="32"/>
          <w:lang w:eastAsia="zh-CN"/>
        </w:rPr>
        <w:t>和项目自评报告同部门决算报告同步</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eastAsia="zh-CN"/>
        </w:rPr>
        <w:t>网站</w:t>
      </w:r>
      <w:r>
        <w:rPr>
          <w:rFonts w:hint="eastAsia" w:ascii="仿宋_GB2312" w:hAnsi="仿宋_GB2312" w:eastAsia="仿宋_GB2312" w:cs="仿宋_GB2312"/>
          <w:sz w:val="32"/>
          <w:szCs w:val="32"/>
        </w:rPr>
        <w:t>公开。</w:t>
      </w:r>
      <w:r>
        <w:rPr>
          <w:rFonts w:hint="eastAsia" w:ascii="仿宋_GB2312" w:hAnsi="仿宋_GB2312" w:eastAsia="仿宋_GB2312" w:cs="仿宋_GB2312"/>
          <w:b/>
          <w:sz w:val="32"/>
          <w:szCs w:val="32"/>
          <w:lang w:eastAsia="zh-CN"/>
        </w:rPr>
        <w:t>三</w:t>
      </w:r>
      <w:r>
        <w:rPr>
          <w:rFonts w:hint="eastAsia" w:ascii="仿宋_GB2312" w:hAnsi="仿宋_GB2312" w:eastAsia="仿宋_GB2312" w:cs="仿宋_GB2312"/>
          <w:b/>
          <w:sz w:val="32"/>
          <w:szCs w:val="32"/>
        </w:rPr>
        <w:t>是</w:t>
      </w:r>
      <w:r>
        <w:rPr>
          <w:rFonts w:hint="eastAsia" w:ascii="仿宋_GB2312" w:hAnsi="仿宋_GB2312" w:eastAsia="仿宋_GB2312" w:cs="仿宋_GB2312"/>
          <w:sz w:val="32"/>
          <w:szCs w:val="32"/>
        </w:rPr>
        <w:t>与预算调整和项目安排挂钩。</w:t>
      </w: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rPr>
        <w:t>预算单位应将</w:t>
      </w:r>
      <w:r>
        <w:rPr>
          <w:rFonts w:hint="eastAsia" w:ascii="仿宋_GB2312" w:hAnsi="仿宋_GB2312" w:eastAsia="仿宋_GB2312" w:cs="仿宋_GB2312"/>
          <w:sz w:val="32"/>
          <w:szCs w:val="32"/>
          <w:lang w:eastAsia="zh-CN"/>
        </w:rPr>
        <w:t>绩效</w:t>
      </w:r>
      <w:r>
        <w:rPr>
          <w:rFonts w:hint="eastAsia" w:ascii="仿宋_GB2312" w:hAnsi="仿宋_GB2312" w:eastAsia="仿宋_GB2312" w:cs="仿宋_GB2312"/>
          <w:sz w:val="32"/>
          <w:szCs w:val="32"/>
        </w:rPr>
        <w:t>自评结果应用</w:t>
      </w:r>
      <w:r>
        <w:rPr>
          <w:rFonts w:hint="eastAsia" w:ascii="仿宋_GB2312" w:hAnsi="仿宋_GB2312" w:eastAsia="仿宋_GB2312" w:cs="仿宋_GB2312"/>
          <w:sz w:val="32"/>
          <w:szCs w:val="32"/>
          <w:lang w:eastAsia="zh-CN"/>
        </w:rPr>
        <w:t>到下一年度的资金安排和项目立项中，</w:t>
      </w:r>
      <w:r>
        <w:rPr>
          <w:rFonts w:hint="eastAsia" w:ascii="仿宋_GB2312" w:hAnsi="仿宋_GB2312" w:eastAsia="仿宋_GB2312" w:cs="仿宋_GB2312"/>
          <w:sz w:val="32"/>
          <w:szCs w:val="32"/>
        </w:rPr>
        <w:t>真正体现奖优罚劣的绩效导向。</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contextualSpacing/>
        <w:jc w:val="both"/>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contextualSpacing/>
        <w:jc w:val="both"/>
        <w:textAlignment w:val="auto"/>
        <w:rPr>
          <w:rFonts w:hint="default" w:ascii="仿宋_GB2312" w:eastAsia="仿宋_GB2312"/>
          <w:sz w:val="32"/>
          <w:szCs w:val="32"/>
          <w:lang w:val="en-US" w:eastAsia="zh-CN"/>
        </w:rPr>
      </w:pPr>
      <w:r>
        <w:rPr>
          <w:rFonts w:hint="eastAsia" w:ascii="仿宋_GB2312" w:eastAsia="仿宋_GB2312"/>
          <w:sz w:val="32"/>
          <w:szCs w:val="32"/>
        </w:rPr>
        <w:t>联系人：</w:t>
      </w:r>
      <w:r>
        <w:rPr>
          <w:rFonts w:hint="eastAsia" w:ascii="仿宋_GB2312" w:eastAsia="仿宋_GB2312"/>
          <w:sz w:val="32"/>
          <w:szCs w:val="32"/>
          <w:lang w:eastAsia="zh-CN"/>
        </w:rPr>
        <w:t>县财政局</w:t>
      </w:r>
      <w:r>
        <w:rPr>
          <w:rFonts w:hint="eastAsia" w:ascii="仿宋_GB2312" w:eastAsia="仿宋_GB2312"/>
          <w:sz w:val="32"/>
          <w:szCs w:val="32"/>
        </w:rPr>
        <w:t>预算绩效管理股</w:t>
      </w:r>
      <w:r>
        <w:rPr>
          <w:rFonts w:ascii="仿宋_GB2312" w:eastAsia="仿宋_GB2312"/>
          <w:sz w:val="32"/>
          <w:szCs w:val="32"/>
        </w:rPr>
        <w:t xml:space="preserve"> </w:t>
      </w:r>
      <w:r>
        <w:rPr>
          <w:rFonts w:hint="eastAsia" w:ascii="仿宋_GB2312" w:eastAsia="仿宋_GB2312"/>
          <w:sz w:val="32"/>
          <w:szCs w:val="32"/>
          <w:lang w:val="en-US" w:eastAsia="zh-CN"/>
        </w:rPr>
        <w:t xml:space="preserve">  4223019</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contextualSpacing/>
        <w:jc w:val="both"/>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刘夏容</w:t>
      </w:r>
      <w:r>
        <w:rPr>
          <w:rFonts w:ascii="仿宋_GB2312" w:eastAsia="仿宋_GB2312"/>
          <w:sz w:val="32"/>
          <w:szCs w:val="32"/>
        </w:rPr>
        <w:t xml:space="preserve">  </w:t>
      </w:r>
      <w:r>
        <w:rPr>
          <w:rFonts w:hint="eastAsia" w:ascii="仿宋_GB2312" w:eastAsia="仿宋_GB2312"/>
          <w:sz w:val="32"/>
          <w:szCs w:val="32"/>
          <w:lang w:val="en-US" w:eastAsia="zh-CN"/>
        </w:rPr>
        <w:t xml:space="preserve">15115037688   </w:t>
      </w:r>
      <w:r>
        <w:rPr>
          <w:rFonts w:hint="eastAsia" w:ascii="仿宋_GB2312" w:eastAsia="仿宋_GB2312"/>
          <w:sz w:val="32"/>
          <w:szCs w:val="32"/>
        </w:rPr>
        <w:t>向会盈</w:t>
      </w:r>
      <w:r>
        <w:rPr>
          <w:rFonts w:hint="eastAsia" w:ascii="仿宋_GB2312" w:eastAsia="仿宋_GB2312"/>
          <w:sz w:val="32"/>
          <w:szCs w:val="32"/>
          <w:lang w:val="en-US" w:eastAsia="zh-CN"/>
        </w:rPr>
        <w:t xml:space="preserve">  15200282228</w:t>
      </w:r>
    </w:p>
    <w:p>
      <w:pPr>
        <w:pStyle w:val="2"/>
        <w:keepNext w:val="0"/>
        <w:keepLines w:val="0"/>
        <w:pageBreakBefore w:val="0"/>
        <w:widowControl w:val="0"/>
        <w:kinsoku/>
        <w:wordWrap/>
        <w:overflowPunct/>
        <w:topLinePunct w:val="0"/>
        <w:autoSpaceDE/>
        <w:autoSpaceDN/>
        <w:bidi w:val="0"/>
        <w:spacing w:line="580" w:lineRule="exact"/>
        <w:ind w:left="0" w:leftChars="0" w:firstLine="360" w:firstLineChars="200"/>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rPr>
        <w:t>附件：</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年度部门整体支出绩效评价基础数据表 </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年度部门整体支出绩效自评表</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年度部门整体支出绩效自评报告 </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支出绩效评价</w:t>
      </w:r>
      <w:r>
        <w:rPr>
          <w:rFonts w:hint="eastAsia" w:ascii="仿宋_GB2312" w:hAnsi="仿宋_GB2312" w:eastAsia="仿宋_GB2312" w:cs="仿宋_GB2312"/>
          <w:sz w:val="32"/>
          <w:szCs w:val="32"/>
          <w:lang w:eastAsia="zh-CN"/>
        </w:rPr>
        <w:t>评分表（共性）</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年度项目支出绩效自评表</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ascii="仿宋_GB2312" w:eastAsia="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支出绩效自评报告</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0" w:firstLineChars="0"/>
        <w:contextualSpacing/>
        <w:jc w:val="center"/>
        <w:textAlignment w:val="auto"/>
        <w:rPr>
          <w:rFonts w:hint="eastAsia" w:ascii="仿宋_GB2312" w:eastAsia="仿宋_GB2312"/>
          <w:sz w:val="32"/>
          <w:szCs w:val="32"/>
          <w:lang w:eastAsia="zh-CN"/>
        </w:rPr>
      </w:pPr>
    </w:p>
    <w:p>
      <w:pPr>
        <w:pStyle w:val="2"/>
        <w:ind w:left="0" w:leftChars="0" w:right="0" w:rightChars="0" w:firstLine="0" w:firstLineChars="0"/>
        <w:jc w:val="center"/>
        <w:rPr>
          <w:rFonts w:hint="eastAsia"/>
          <w:lang w:eastAsia="zh-CN"/>
        </w:rPr>
      </w:pP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4838" w:firstLineChars="1512"/>
        <w:contextualSpacing/>
        <w:jc w:val="center"/>
        <w:textAlignment w:val="auto"/>
        <w:rPr>
          <w:rFonts w:hint="eastAsia" w:ascii="仿宋_GB2312" w:eastAsia="仿宋_GB2312"/>
          <w:sz w:val="32"/>
          <w:szCs w:val="32"/>
          <w:lang w:eastAsia="zh-CN"/>
        </w:rPr>
      </w:pPr>
      <w:r>
        <w:rPr>
          <w:rFonts w:hint="eastAsia" w:ascii="仿宋_GB2312" w:eastAsia="仿宋_GB2312"/>
          <w:sz w:val="32"/>
          <w:szCs w:val="32"/>
          <w:lang w:eastAsia="zh-CN"/>
        </w:rPr>
        <w:t>华容县财政局</w:t>
      </w:r>
    </w:p>
    <w:p>
      <w:pPr>
        <w:keepNext w:val="0"/>
        <w:keepLines w:val="0"/>
        <w:pageBreakBefore w:val="0"/>
        <w:widowControl w:val="0"/>
        <w:kinsoku/>
        <w:wordWrap/>
        <w:overflowPunct/>
        <w:topLinePunct w:val="0"/>
        <w:autoSpaceDE/>
        <w:autoSpaceDN/>
        <w:bidi w:val="0"/>
        <w:spacing w:line="580" w:lineRule="exact"/>
        <w:ind w:left="0" w:leftChars="0" w:right="0" w:rightChars="0" w:firstLine="4838" w:firstLineChars="1512"/>
        <w:jc w:val="center"/>
        <w:textAlignment w:val="auto"/>
        <w:rPr>
          <w:rFonts w:hint="eastAsia" w:ascii="仿宋_GB2312" w:eastAsia="仿宋_GB2312"/>
          <w:sz w:val="32"/>
          <w:szCs w:val="32"/>
          <w:lang w:val="en-US" w:eastAsia="zh-CN"/>
        </w:rPr>
        <w:sectPr>
          <w:footerReference r:id="rId3" w:type="default"/>
          <w:pgSz w:w="11906" w:h="16838"/>
          <w:pgMar w:top="1984" w:right="1701" w:bottom="1701" w:left="1701"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val="en-US" w:eastAsia="zh-CN"/>
        </w:rPr>
        <w:t>6</w:t>
      </w:r>
      <w:r>
        <w:rPr>
          <w:rFonts w:hint="eastAsia" w:ascii="仿宋_GB2312" w:eastAsia="仿宋_GB2312"/>
          <w:sz w:val="32"/>
          <w:szCs w:val="32"/>
        </w:rPr>
        <w:t>月</w:t>
      </w:r>
      <w:r>
        <w:rPr>
          <w:rFonts w:hint="eastAsia" w:ascii="仿宋_GB2312" w:eastAsia="仿宋_GB2312"/>
          <w:sz w:val="32"/>
          <w:szCs w:val="32"/>
          <w:lang w:val="en-US" w:eastAsia="zh-CN"/>
        </w:rPr>
        <w:t>27日</w:t>
      </w:r>
    </w:p>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7"/>
        <w:tblW w:w="4886" w:type="pct"/>
        <w:jc w:val="center"/>
        <w:tblLayout w:type="autofit"/>
        <w:tblCellMar>
          <w:top w:w="0" w:type="dxa"/>
          <w:left w:w="108" w:type="dxa"/>
          <w:bottom w:w="0" w:type="dxa"/>
          <w:right w:w="108" w:type="dxa"/>
        </w:tblCellMar>
      </w:tblPr>
      <w:tblGrid>
        <w:gridCol w:w="3146"/>
        <w:gridCol w:w="1905"/>
        <w:gridCol w:w="2380"/>
        <w:gridCol w:w="1645"/>
      </w:tblGrid>
      <w:tr>
        <w:tblPrEx>
          <w:tblCellMar>
            <w:top w:w="0" w:type="dxa"/>
            <w:left w:w="108" w:type="dxa"/>
            <w:bottom w:w="0" w:type="dxa"/>
            <w:right w:w="108" w:type="dxa"/>
          </w:tblCellMar>
        </w:tblPrEx>
        <w:trPr>
          <w:trHeight w:val="65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49"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4"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65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49"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18</w:t>
            </w:r>
          </w:p>
        </w:tc>
        <w:tc>
          <w:tcPr>
            <w:tcW w:w="131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18</w:t>
            </w:r>
          </w:p>
        </w:tc>
        <w:tc>
          <w:tcPr>
            <w:tcW w:w="904"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r>
      <w:tr>
        <w:tblPrEx>
          <w:tblCellMar>
            <w:top w:w="0" w:type="dxa"/>
            <w:left w:w="108" w:type="dxa"/>
            <w:bottom w:w="0" w:type="dxa"/>
            <w:right w:w="108" w:type="dxa"/>
          </w:tblCellMar>
        </w:tblPrEx>
        <w:trPr>
          <w:trHeight w:val="65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49"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4"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65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49"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196.79</w:t>
            </w:r>
          </w:p>
        </w:tc>
        <w:tc>
          <w:tcPr>
            <w:tcW w:w="131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rPr>
            </w:pPr>
            <w:r>
              <w:rPr>
                <w:rFonts w:hint="eastAsia" w:ascii="新宋体" w:hAnsi="新宋体" w:eastAsia="新宋体" w:cs="新宋体"/>
                <w:sz w:val="21"/>
                <w:szCs w:val="21"/>
                <w:lang w:val="en-US" w:eastAsia="zh-CN"/>
              </w:rPr>
              <w:t>346.36</w:t>
            </w:r>
          </w:p>
        </w:tc>
        <w:tc>
          <w:tcPr>
            <w:tcW w:w="904"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346.36</w:t>
            </w:r>
          </w:p>
        </w:tc>
      </w:tr>
      <w:tr>
        <w:tblPrEx>
          <w:tblCellMar>
            <w:top w:w="0" w:type="dxa"/>
            <w:left w:w="108" w:type="dxa"/>
            <w:bottom w:w="0" w:type="dxa"/>
            <w:right w:w="108" w:type="dxa"/>
          </w:tblCellMar>
        </w:tblPrEx>
        <w:trPr>
          <w:trHeight w:val="65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49"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0.78</w:t>
            </w:r>
          </w:p>
        </w:tc>
        <w:tc>
          <w:tcPr>
            <w:tcW w:w="131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5</w:t>
            </w:r>
          </w:p>
        </w:tc>
        <w:tc>
          <w:tcPr>
            <w:tcW w:w="904"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0.93</w:t>
            </w:r>
          </w:p>
        </w:tc>
      </w:tr>
      <w:tr>
        <w:tblPrEx>
          <w:tblCellMar>
            <w:top w:w="0" w:type="dxa"/>
            <w:left w:w="108" w:type="dxa"/>
            <w:bottom w:w="0" w:type="dxa"/>
            <w:right w:w="108" w:type="dxa"/>
          </w:tblCellMar>
        </w:tblPrEx>
        <w:trPr>
          <w:trHeight w:val="65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49"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31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0</w:t>
            </w:r>
          </w:p>
        </w:tc>
        <w:tc>
          <w:tcPr>
            <w:tcW w:w="904"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65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49"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31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0</w:t>
            </w:r>
          </w:p>
        </w:tc>
        <w:tc>
          <w:tcPr>
            <w:tcW w:w="904"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65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49"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31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0</w:t>
            </w:r>
          </w:p>
        </w:tc>
        <w:tc>
          <w:tcPr>
            <w:tcW w:w="904"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65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49"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31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0</w:t>
            </w:r>
          </w:p>
        </w:tc>
        <w:tc>
          <w:tcPr>
            <w:tcW w:w="904"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65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49"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0.78</w:t>
            </w:r>
          </w:p>
        </w:tc>
        <w:tc>
          <w:tcPr>
            <w:tcW w:w="131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5</w:t>
            </w:r>
          </w:p>
        </w:tc>
        <w:tc>
          <w:tcPr>
            <w:tcW w:w="904"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0.93</w:t>
            </w:r>
          </w:p>
        </w:tc>
      </w:tr>
      <w:tr>
        <w:tblPrEx>
          <w:tblCellMar>
            <w:top w:w="0" w:type="dxa"/>
            <w:left w:w="108" w:type="dxa"/>
            <w:bottom w:w="0" w:type="dxa"/>
            <w:right w:w="108" w:type="dxa"/>
          </w:tblCellMar>
        </w:tblPrEx>
        <w:trPr>
          <w:trHeight w:val="65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49"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348.45</w:t>
            </w:r>
          </w:p>
        </w:tc>
        <w:tc>
          <w:tcPr>
            <w:tcW w:w="131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rPr>
            </w:pPr>
            <w:r>
              <w:rPr>
                <w:rFonts w:hint="eastAsia" w:ascii="新宋体" w:hAnsi="新宋体" w:eastAsia="新宋体" w:cs="新宋体"/>
                <w:sz w:val="21"/>
                <w:szCs w:val="21"/>
                <w:lang w:val="en-US" w:eastAsia="zh-CN"/>
              </w:rPr>
              <w:t>464.84</w:t>
            </w:r>
          </w:p>
        </w:tc>
        <w:tc>
          <w:tcPr>
            <w:tcW w:w="904"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464.84</w:t>
            </w:r>
          </w:p>
        </w:tc>
      </w:tr>
      <w:tr>
        <w:tblPrEx>
          <w:tblCellMar>
            <w:top w:w="0" w:type="dxa"/>
            <w:left w:w="108" w:type="dxa"/>
            <w:bottom w:w="0" w:type="dxa"/>
            <w:right w:w="108" w:type="dxa"/>
          </w:tblCellMar>
        </w:tblPrEx>
        <w:trPr>
          <w:trHeight w:val="65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lang w:eastAsia="zh-CN"/>
              </w:rPr>
              <w:t>县级</w:t>
            </w:r>
            <w:r>
              <w:rPr>
                <w:rFonts w:hint="eastAsia" w:ascii="新宋体" w:hAnsi="新宋体" w:eastAsia="新宋体" w:cs="新宋体"/>
                <w:sz w:val="21"/>
                <w:szCs w:val="21"/>
              </w:rPr>
              <w:t>专项资金</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工作经费</w:t>
            </w:r>
          </w:p>
        </w:tc>
        <w:tc>
          <w:tcPr>
            <w:tcW w:w="1049"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31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10.96</w:t>
            </w:r>
          </w:p>
        </w:tc>
        <w:tc>
          <w:tcPr>
            <w:tcW w:w="904"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rPr>
            </w:pPr>
            <w:r>
              <w:rPr>
                <w:rFonts w:hint="eastAsia" w:ascii="新宋体" w:hAnsi="新宋体" w:eastAsia="新宋体" w:cs="新宋体"/>
                <w:sz w:val="21"/>
                <w:szCs w:val="21"/>
                <w:lang w:val="en-US" w:eastAsia="zh-CN"/>
              </w:rPr>
              <w:t>10.96</w:t>
            </w:r>
          </w:p>
        </w:tc>
      </w:tr>
      <w:tr>
        <w:tblPrEx>
          <w:tblCellMar>
            <w:top w:w="0" w:type="dxa"/>
            <w:left w:w="108" w:type="dxa"/>
            <w:bottom w:w="0" w:type="dxa"/>
            <w:right w:w="108" w:type="dxa"/>
          </w:tblCellMar>
        </w:tblPrEx>
        <w:trPr>
          <w:trHeight w:val="65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.争项争资工作经费</w:t>
            </w:r>
          </w:p>
        </w:tc>
        <w:tc>
          <w:tcPr>
            <w:tcW w:w="1049"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31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w:t>
            </w:r>
          </w:p>
        </w:tc>
        <w:tc>
          <w:tcPr>
            <w:tcW w:w="904"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w:t>
            </w:r>
          </w:p>
        </w:tc>
      </w:tr>
      <w:tr>
        <w:tblPrEx>
          <w:tblCellMar>
            <w:top w:w="0" w:type="dxa"/>
            <w:left w:w="108" w:type="dxa"/>
            <w:bottom w:w="0" w:type="dxa"/>
            <w:right w:w="108" w:type="dxa"/>
          </w:tblCellMar>
        </w:tblPrEx>
        <w:trPr>
          <w:trHeight w:val="65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3.残疾人事业资金</w:t>
            </w:r>
          </w:p>
        </w:tc>
        <w:tc>
          <w:tcPr>
            <w:tcW w:w="1049"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31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88.06</w:t>
            </w:r>
          </w:p>
        </w:tc>
        <w:tc>
          <w:tcPr>
            <w:tcW w:w="904"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rPr>
            </w:pPr>
            <w:r>
              <w:rPr>
                <w:rFonts w:hint="eastAsia" w:ascii="新宋体" w:hAnsi="新宋体" w:eastAsia="新宋体" w:cs="新宋体"/>
                <w:sz w:val="21"/>
                <w:szCs w:val="21"/>
                <w:lang w:val="en-US" w:eastAsia="zh-CN"/>
              </w:rPr>
              <w:t>88.06</w:t>
            </w:r>
          </w:p>
        </w:tc>
      </w:tr>
      <w:tr>
        <w:tblPrEx>
          <w:tblCellMar>
            <w:top w:w="0" w:type="dxa"/>
            <w:left w:w="108" w:type="dxa"/>
            <w:bottom w:w="0" w:type="dxa"/>
            <w:right w:w="108" w:type="dxa"/>
          </w:tblCellMar>
        </w:tblPrEx>
        <w:trPr>
          <w:trHeight w:val="65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4.残疾人儿童康复救助项目</w:t>
            </w:r>
          </w:p>
        </w:tc>
        <w:tc>
          <w:tcPr>
            <w:tcW w:w="1049"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30.1</w:t>
            </w:r>
          </w:p>
        </w:tc>
        <w:tc>
          <w:tcPr>
            <w:tcW w:w="131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39.7</w:t>
            </w:r>
          </w:p>
        </w:tc>
        <w:tc>
          <w:tcPr>
            <w:tcW w:w="904"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39.7</w:t>
            </w:r>
          </w:p>
        </w:tc>
      </w:tr>
      <w:tr>
        <w:tblPrEx>
          <w:tblCellMar>
            <w:top w:w="0" w:type="dxa"/>
            <w:left w:w="108" w:type="dxa"/>
            <w:bottom w:w="0" w:type="dxa"/>
            <w:right w:w="108" w:type="dxa"/>
          </w:tblCellMar>
        </w:tblPrEx>
        <w:trPr>
          <w:trHeight w:val="65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5.残疾人就业扶助专项资金</w:t>
            </w:r>
          </w:p>
        </w:tc>
        <w:tc>
          <w:tcPr>
            <w:tcW w:w="1049"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85.8</w:t>
            </w:r>
          </w:p>
        </w:tc>
        <w:tc>
          <w:tcPr>
            <w:tcW w:w="131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84.82</w:t>
            </w:r>
          </w:p>
        </w:tc>
        <w:tc>
          <w:tcPr>
            <w:tcW w:w="904"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rPr>
            </w:pPr>
            <w:r>
              <w:rPr>
                <w:rFonts w:hint="eastAsia" w:ascii="新宋体" w:hAnsi="新宋体" w:eastAsia="新宋体" w:cs="新宋体"/>
                <w:sz w:val="21"/>
                <w:szCs w:val="21"/>
                <w:lang w:val="en-US" w:eastAsia="zh-CN"/>
              </w:rPr>
              <w:t>84.82</w:t>
            </w:r>
          </w:p>
        </w:tc>
      </w:tr>
      <w:tr>
        <w:tblPrEx>
          <w:tblCellMar>
            <w:top w:w="0" w:type="dxa"/>
            <w:left w:w="108" w:type="dxa"/>
            <w:bottom w:w="0" w:type="dxa"/>
            <w:right w:w="108" w:type="dxa"/>
          </w:tblCellMar>
        </w:tblPrEx>
        <w:trPr>
          <w:trHeight w:val="95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6.其他残疾人事业支出扶助专项资金</w:t>
            </w:r>
          </w:p>
        </w:tc>
        <w:tc>
          <w:tcPr>
            <w:tcW w:w="1049"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169.65</w:t>
            </w:r>
          </w:p>
        </w:tc>
        <w:tc>
          <w:tcPr>
            <w:tcW w:w="131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33.1</w:t>
            </w:r>
          </w:p>
        </w:tc>
        <w:tc>
          <w:tcPr>
            <w:tcW w:w="904"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33.1</w:t>
            </w:r>
          </w:p>
        </w:tc>
      </w:tr>
      <w:tr>
        <w:tblPrEx>
          <w:tblCellMar>
            <w:top w:w="0" w:type="dxa"/>
            <w:left w:w="108" w:type="dxa"/>
            <w:bottom w:w="0" w:type="dxa"/>
            <w:right w:w="108" w:type="dxa"/>
          </w:tblCellMar>
        </w:tblPrEx>
        <w:trPr>
          <w:trHeight w:val="959" w:hRule="atLeast"/>
          <w:jc w:val="center"/>
        </w:trPr>
        <w:tc>
          <w:tcPr>
            <w:tcW w:w="17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7.社会福利残疾人事业补助资金</w:t>
            </w:r>
          </w:p>
        </w:tc>
        <w:tc>
          <w:tcPr>
            <w:tcW w:w="1049"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41.2</w:t>
            </w:r>
          </w:p>
        </w:tc>
        <w:tc>
          <w:tcPr>
            <w:tcW w:w="131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47.9</w:t>
            </w:r>
          </w:p>
        </w:tc>
        <w:tc>
          <w:tcPr>
            <w:tcW w:w="904"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47.9</w:t>
            </w:r>
          </w:p>
        </w:tc>
      </w:tr>
      <w:tr>
        <w:tblPrEx>
          <w:tblCellMar>
            <w:top w:w="0" w:type="dxa"/>
            <w:left w:w="108" w:type="dxa"/>
            <w:bottom w:w="0" w:type="dxa"/>
            <w:right w:w="108" w:type="dxa"/>
          </w:tblCellMar>
        </w:tblPrEx>
        <w:trPr>
          <w:trHeight w:val="659" w:hRule="atLeast"/>
          <w:jc w:val="center"/>
        </w:trPr>
        <w:tc>
          <w:tcPr>
            <w:tcW w:w="17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8.用于残疾人事业补助资金</w:t>
            </w:r>
          </w:p>
        </w:tc>
        <w:tc>
          <w:tcPr>
            <w:tcW w:w="1049"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21.7</w:t>
            </w:r>
          </w:p>
        </w:tc>
        <w:tc>
          <w:tcPr>
            <w:tcW w:w="131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159.3</w:t>
            </w:r>
          </w:p>
        </w:tc>
        <w:tc>
          <w:tcPr>
            <w:tcW w:w="904"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159.3</w:t>
            </w:r>
          </w:p>
        </w:tc>
      </w:tr>
      <w:tr>
        <w:tblPrEx>
          <w:tblCellMar>
            <w:top w:w="0" w:type="dxa"/>
            <w:left w:w="108" w:type="dxa"/>
            <w:bottom w:w="0" w:type="dxa"/>
            <w:right w:w="108" w:type="dxa"/>
          </w:tblCellMar>
        </w:tblPrEx>
        <w:trPr>
          <w:trHeight w:val="7423"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240" w:firstLineChars="100"/>
              <w:rPr>
                <w:rFonts w:hint="default"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为响应中央提出的“厉行勤俭节约，反对铺张浪费”的精神，</w:t>
            </w:r>
            <w:r>
              <w:rPr>
                <w:rFonts w:hint="eastAsia" w:ascii="微软雅黑" w:hAnsi="微软雅黑" w:eastAsia="微软雅黑" w:cs="微软雅黑"/>
                <w:i w:val="0"/>
                <w:iCs w:val="0"/>
                <w:caps w:val="0"/>
                <w:color w:val="333333"/>
                <w:spacing w:val="0"/>
                <w:sz w:val="24"/>
                <w:szCs w:val="24"/>
                <w:shd w:val="clear" w:fill="FFFFFF"/>
                <w:lang w:val="en-US" w:eastAsia="zh-CN"/>
              </w:rPr>
              <w:t>华容</w:t>
            </w:r>
            <w:r>
              <w:rPr>
                <w:rFonts w:hint="eastAsia" w:ascii="微软雅黑" w:hAnsi="微软雅黑" w:eastAsia="微软雅黑" w:cs="微软雅黑"/>
                <w:i w:val="0"/>
                <w:iCs w:val="0"/>
                <w:caps w:val="0"/>
                <w:color w:val="333333"/>
                <w:spacing w:val="0"/>
                <w:sz w:val="24"/>
                <w:szCs w:val="24"/>
                <w:shd w:val="clear" w:fill="FFFFFF"/>
              </w:rPr>
              <w:t>县残联采取多项措施贯彻落实勤俭节约要求，在残联内形成了以节约为荣，以浪费为耻的良好氛围。</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一是县残联制定了落实“厉行勤俭节约，反对铺张浪费”的工作措施，先后召开班子成员会议和全体人员会议，提高认识。二是在县残联中发起了“节约一张纸、节省一度电、珍惜一滴水”等节能活动，积极推进落实勤俭节约。三是结合县残联工作实际，提出了厉行节约的具体要求。主要是严格控制公务接待费用支出，提高办公用品及设施的利用率，改进会风、文风，安排布置一切从简，降低会议成本等。</w:t>
            </w:r>
          </w:p>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w:t>
      </w:r>
      <w:r>
        <w:rPr>
          <w:rFonts w:hint="eastAsia" w:eastAsia="仿宋_GB2312" w:cs="Times New Roman"/>
          <w:sz w:val="22"/>
          <w:lang w:val="en-US" w:eastAsia="zh-CN"/>
        </w:rPr>
        <w:t>蔡洁</w:t>
      </w:r>
      <w:r>
        <w:rPr>
          <w:rFonts w:hint="default" w:ascii="Times New Roman" w:hAnsi="Times New Roman" w:eastAsia="仿宋_GB2312" w:cs="Times New Roman"/>
          <w:sz w:val="22"/>
        </w:rPr>
        <w:t xml:space="preserve">    填报日期：</w:t>
      </w:r>
      <w:r>
        <w:rPr>
          <w:rFonts w:hint="eastAsia" w:eastAsia="仿宋_GB2312" w:cs="Times New Roman"/>
          <w:sz w:val="22"/>
          <w:lang w:val="en-US" w:eastAsia="zh-CN"/>
        </w:rPr>
        <w:t>2023.7.14</w:t>
      </w:r>
      <w:r>
        <w:rPr>
          <w:rFonts w:hint="default" w:ascii="Times New Roman" w:hAnsi="Times New Roman" w:eastAsia="仿宋_GB2312" w:cs="Times New Roman"/>
          <w:sz w:val="22"/>
        </w:rPr>
        <w:t xml:space="preserve">  联系电话：</w:t>
      </w:r>
      <w:r>
        <w:rPr>
          <w:rFonts w:hint="eastAsia" w:eastAsia="仿宋_GB2312" w:cs="Times New Roman"/>
          <w:sz w:val="22"/>
          <w:lang w:val="en-US" w:eastAsia="zh-CN"/>
        </w:rPr>
        <w:t>4208636</w:t>
      </w:r>
      <w:r>
        <w:rPr>
          <w:rFonts w:hint="default" w:ascii="Times New Roman" w:hAnsi="Times New Roman" w:eastAsia="仿宋_GB2312" w:cs="Times New Roman"/>
          <w:sz w:val="22"/>
        </w:rPr>
        <w:t xml:space="preserve">   单位负责人签字：</w:t>
      </w:r>
      <w:r>
        <w:rPr>
          <w:rFonts w:hint="eastAsia" w:eastAsia="仿宋_GB2312" w:cs="Times New Roman"/>
          <w:sz w:val="22"/>
          <w:lang w:val="en-US" w:eastAsia="zh-CN"/>
        </w:rPr>
        <w:t>吴军华</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7"/>
        <w:tblW w:w="4962" w:type="pct"/>
        <w:jc w:val="center"/>
        <w:tblLayout w:type="autofit"/>
        <w:tblCellMar>
          <w:top w:w="0" w:type="dxa"/>
          <w:left w:w="108" w:type="dxa"/>
          <w:bottom w:w="0" w:type="dxa"/>
          <w:right w:w="108" w:type="dxa"/>
        </w:tblCellMar>
      </w:tblPr>
      <w:tblGrid>
        <w:gridCol w:w="1077"/>
        <w:gridCol w:w="861"/>
        <w:gridCol w:w="664"/>
        <w:gridCol w:w="1421"/>
        <w:gridCol w:w="922"/>
        <w:gridCol w:w="1104"/>
        <w:gridCol w:w="581"/>
        <w:gridCol w:w="1005"/>
        <w:gridCol w:w="1582"/>
      </w:tblGrid>
      <w:tr>
        <w:tblPrEx>
          <w:tblCellMar>
            <w:top w:w="0" w:type="dxa"/>
            <w:left w:w="108" w:type="dxa"/>
            <w:bottom w:w="0" w:type="dxa"/>
            <w:right w:w="108" w:type="dxa"/>
          </w:tblCellMar>
        </w:tblPrEx>
        <w:trPr>
          <w:trHeight w:val="410" w:hRule="atLeast"/>
          <w:jc w:val="center"/>
        </w:trPr>
        <w:tc>
          <w:tcPr>
            <w:tcW w:w="58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14"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华容县残疾人联合会</w:t>
            </w:r>
          </w:p>
        </w:tc>
      </w:tr>
      <w:tr>
        <w:tblPrEx>
          <w:tblCellMar>
            <w:top w:w="0" w:type="dxa"/>
            <w:left w:w="108" w:type="dxa"/>
            <w:bottom w:w="0" w:type="dxa"/>
            <w:right w:w="108" w:type="dxa"/>
          </w:tblCellMar>
        </w:tblPrEx>
        <w:trPr>
          <w:trHeight w:val="353" w:hRule="atLeast"/>
          <w:jc w:val="center"/>
        </w:trPr>
        <w:tc>
          <w:tcPr>
            <w:tcW w:w="585"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827"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771"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498"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1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5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193" w:hRule="atLeast"/>
          <w:jc w:val="center"/>
        </w:trPr>
        <w:tc>
          <w:tcPr>
            <w:tcW w:w="585"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827"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771"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201</w:t>
            </w:r>
          </w:p>
        </w:tc>
        <w:tc>
          <w:tcPr>
            <w:tcW w:w="498"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811.2</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811.2</w:t>
            </w:r>
          </w:p>
        </w:tc>
        <w:tc>
          <w:tcPr>
            <w:tcW w:w="31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85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193" w:hRule="atLeast"/>
          <w:jc w:val="center"/>
        </w:trPr>
        <w:tc>
          <w:tcPr>
            <w:tcW w:w="585"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09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按收入性质分：</w:t>
            </w:r>
            <w:r>
              <w:rPr>
                <w:rFonts w:hint="eastAsia" w:ascii="新宋体" w:hAnsi="新宋体" w:eastAsia="新宋体" w:cs="新宋体"/>
                <w:i w:val="0"/>
                <w:iCs w:val="0"/>
                <w:color w:val="000000"/>
                <w:sz w:val="21"/>
                <w:szCs w:val="21"/>
                <w:lang w:val="en-US" w:eastAsia="zh-CN"/>
              </w:rPr>
              <w:t>811.2</w:t>
            </w:r>
          </w:p>
        </w:tc>
        <w:tc>
          <w:tcPr>
            <w:tcW w:w="231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按支出性质分：</w:t>
            </w:r>
            <w:r>
              <w:rPr>
                <w:rFonts w:hint="eastAsia" w:ascii="新宋体" w:hAnsi="新宋体" w:eastAsia="新宋体" w:cs="新宋体"/>
                <w:color w:val="000000"/>
                <w:sz w:val="21"/>
                <w:szCs w:val="21"/>
                <w:lang w:val="en-US" w:eastAsia="zh-CN"/>
              </w:rPr>
              <w:t>811.2</w:t>
            </w:r>
          </w:p>
        </w:tc>
      </w:tr>
      <w:tr>
        <w:tblPrEx>
          <w:tblCellMar>
            <w:top w:w="0" w:type="dxa"/>
            <w:left w:w="108" w:type="dxa"/>
            <w:bottom w:w="0" w:type="dxa"/>
            <w:right w:w="108" w:type="dxa"/>
          </w:tblCellMar>
        </w:tblPrEx>
        <w:trPr>
          <w:trHeight w:val="193" w:hRule="atLeast"/>
          <w:jc w:val="center"/>
        </w:trPr>
        <w:tc>
          <w:tcPr>
            <w:tcW w:w="585"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09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604</w:t>
            </w:r>
          </w:p>
        </w:tc>
        <w:tc>
          <w:tcPr>
            <w:tcW w:w="231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346.4</w:t>
            </w:r>
          </w:p>
        </w:tc>
      </w:tr>
      <w:tr>
        <w:tblPrEx>
          <w:tblCellMar>
            <w:top w:w="0" w:type="dxa"/>
            <w:left w:w="108" w:type="dxa"/>
            <w:bottom w:w="0" w:type="dxa"/>
            <w:right w:w="108" w:type="dxa"/>
          </w:tblCellMar>
        </w:tblPrEx>
        <w:trPr>
          <w:trHeight w:val="193" w:hRule="atLeast"/>
          <w:jc w:val="center"/>
        </w:trPr>
        <w:tc>
          <w:tcPr>
            <w:tcW w:w="585"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09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政府性基金拨款：</w:t>
            </w:r>
            <w:r>
              <w:rPr>
                <w:rFonts w:hint="eastAsia" w:ascii="新宋体" w:hAnsi="新宋体" w:eastAsia="新宋体" w:cs="新宋体"/>
                <w:i w:val="0"/>
                <w:iCs w:val="0"/>
                <w:color w:val="000000"/>
                <w:sz w:val="21"/>
                <w:szCs w:val="21"/>
                <w:lang w:val="en-US" w:eastAsia="zh-CN"/>
              </w:rPr>
              <w:t>207.2</w:t>
            </w:r>
          </w:p>
        </w:tc>
        <w:tc>
          <w:tcPr>
            <w:tcW w:w="231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464.8</w:t>
            </w:r>
          </w:p>
        </w:tc>
      </w:tr>
      <w:tr>
        <w:tblPrEx>
          <w:tblCellMar>
            <w:top w:w="0" w:type="dxa"/>
            <w:left w:w="108" w:type="dxa"/>
            <w:bottom w:w="0" w:type="dxa"/>
            <w:right w:w="108" w:type="dxa"/>
          </w:tblCellMar>
        </w:tblPrEx>
        <w:trPr>
          <w:trHeight w:val="193" w:hRule="atLeast"/>
          <w:jc w:val="center"/>
        </w:trPr>
        <w:tc>
          <w:tcPr>
            <w:tcW w:w="585"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09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纳入专户管理的非税收入拨款：</w:t>
            </w:r>
            <w:r>
              <w:rPr>
                <w:rFonts w:hint="eastAsia" w:ascii="新宋体" w:hAnsi="新宋体" w:eastAsia="新宋体" w:cs="新宋体"/>
                <w:i w:val="0"/>
                <w:iCs w:val="0"/>
                <w:color w:val="000000"/>
                <w:sz w:val="21"/>
                <w:szCs w:val="21"/>
                <w:lang w:val="en-US" w:eastAsia="zh-CN"/>
              </w:rPr>
              <w:t>16.6</w:t>
            </w:r>
          </w:p>
        </w:tc>
        <w:tc>
          <w:tcPr>
            <w:tcW w:w="231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193" w:hRule="atLeast"/>
          <w:jc w:val="center"/>
        </w:trPr>
        <w:tc>
          <w:tcPr>
            <w:tcW w:w="585"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09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其他资金：</w:t>
            </w:r>
            <w:r>
              <w:rPr>
                <w:rFonts w:hint="eastAsia" w:ascii="新宋体" w:hAnsi="新宋体" w:eastAsia="新宋体" w:cs="新宋体"/>
                <w:i w:val="0"/>
                <w:iCs w:val="0"/>
                <w:color w:val="000000"/>
                <w:sz w:val="21"/>
                <w:szCs w:val="21"/>
                <w:lang w:val="en-US" w:eastAsia="zh-CN"/>
              </w:rPr>
              <w:t>0</w:t>
            </w:r>
          </w:p>
        </w:tc>
        <w:tc>
          <w:tcPr>
            <w:tcW w:w="231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193" w:hRule="atLeast"/>
          <w:jc w:val="center"/>
        </w:trPr>
        <w:tc>
          <w:tcPr>
            <w:tcW w:w="585"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098"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315"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2578" w:hRule="atLeast"/>
          <w:jc w:val="center"/>
        </w:trPr>
        <w:tc>
          <w:tcPr>
            <w:tcW w:w="585"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098"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目标1：切实开展残疾人康复工作；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目标2：切实开展残疾人教育就业工作；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目标3：积极开展扶残助残及残疾人文体工作；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目标4：完成县委县政府交办的各项工作；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2315"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对138名0-6岁残疾儿童与14名7-14岁残疾儿童实施抢救性康复；</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为45名残疾人免费装配假肢；</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向1000名残疾人赠送辅助器具；</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为30名低视力残疾人适配低视力镜；</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为75名贫困残疾人家庭进行无障碍改造；</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向466名残疾人发放燃油补贴；</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向若干名贫困残疾人发放临时救助。</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leftChars="0" w:right="0" w:firstLine="0" w:firstLineChars="0"/>
              <w:jc w:val="left"/>
              <w:textAlignment w:val="auto"/>
              <w:rPr>
                <w:rFonts w:hint="eastAsia"/>
                <w:lang w:val="en-US" w:eastAsia="zh-CN"/>
              </w:rPr>
            </w:pPr>
            <w:r>
              <w:rPr>
                <w:rFonts w:hint="eastAsia"/>
                <w:lang w:val="en-US" w:eastAsia="zh-CN"/>
              </w:rPr>
              <w:t>组织170名残疾人参加就业培训；</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leftChars="0" w:right="0" w:firstLine="0" w:firstLineChars="0"/>
              <w:jc w:val="left"/>
              <w:textAlignment w:val="auto"/>
              <w:rPr>
                <w:rFonts w:hint="default"/>
                <w:lang w:val="en-US" w:eastAsia="zh-CN"/>
              </w:rPr>
            </w:pPr>
            <w:r>
              <w:rPr>
                <w:rFonts w:hint="eastAsia"/>
                <w:lang w:val="en-US" w:eastAsia="zh-CN"/>
              </w:rPr>
              <w:t>对17名残疾人给予创业扶持；</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leftChars="0" w:right="0" w:firstLine="0" w:firstLineChars="0"/>
              <w:jc w:val="left"/>
              <w:textAlignment w:val="auto"/>
              <w:rPr>
                <w:rFonts w:hint="default"/>
                <w:lang w:val="en-US" w:eastAsia="zh-CN"/>
              </w:rPr>
            </w:pPr>
            <w:r>
              <w:rPr>
                <w:rFonts w:hint="eastAsia"/>
                <w:lang w:val="en-US" w:eastAsia="zh-CN"/>
              </w:rPr>
              <w:t>对残疾人学生及残疾人家族学生给予助学（共101人，其中大学生45人，高中生56人）；</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leftChars="0" w:right="0" w:firstLine="0" w:firstLineChars="0"/>
              <w:jc w:val="left"/>
              <w:textAlignment w:val="auto"/>
              <w:rPr>
                <w:rFonts w:hint="default"/>
                <w:lang w:val="en-US" w:eastAsia="zh-CN"/>
              </w:rPr>
            </w:pPr>
            <w:r>
              <w:rPr>
                <w:rFonts w:hint="eastAsia"/>
                <w:lang w:val="en-US" w:eastAsia="zh-CN"/>
              </w:rPr>
              <w:t>向90名残疾人申报者发放阳光增收扶持与培训；</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leftChars="0" w:right="0" w:firstLine="0" w:firstLineChars="0"/>
              <w:jc w:val="left"/>
              <w:textAlignment w:val="auto"/>
              <w:rPr>
                <w:rFonts w:hint="default"/>
                <w:lang w:val="en-US" w:eastAsia="zh-CN"/>
              </w:rPr>
            </w:pPr>
            <w:r>
              <w:rPr>
                <w:rFonts w:hint="eastAsia"/>
                <w:lang w:val="en-US" w:eastAsia="zh-CN"/>
              </w:rPr>
              <w:t>给予1名残疾人电商补助；</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leftChars="0" w:right="0" w:firstLine="0" w:firstLineChars="0"/>
              <w:jc w:val="left"/>
              <w:textAlignment w:val="auto"/>
              <w:rPr>
                <w:rFonts w:hint="default"/>
                <w:lang w:val="en-US" w:eastAsia="zh-CN"/>
              </w:rPr>
            </w:pPr>
            <w:r>
              <w:rPr>
                <w:rFonts w:hint="eastAsia"/>
                <w:lang w:val="en-US" w:eastAsia="zh-CN"/>
              </w:rPr>
              <w:t>向220名贫困残疾人给予居家托养；</w:t>
            </w:r>
          </w:p>
          <w:p>
            <w:pPr>
              <w:pStyle w:val="2"/>
              <w:keepNext w:val="0"/>
              <w:keepLines w:val="0"/>
              <w:numPr>
                <w:ilvl w:val="0"/>
                <w:numId w:val="1"/>
              </w:numPr>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给予四家机构文化助残补贴</w:t>
            </w:r>
          </w:p>
          <w:p>
            <w:pPr>
              <w:keepNext w:val="0"/>
              <w:keepLines w:val="0"/>
              <w:numPr>
                <w:ilvl w:val="0"/>
                <w:numId w:val="1"/>
              </w:numPr>
              <w:suppressLineNumbers w:val="0"/>
              <w:spacing w:before="0" w:beforeAutospacing="0" w:after="0" w:afterAutospacing="0"/>
              <w:ind w:left="0" w:leftChars="0" w:right="0" w:firstLine="0" w:firstLineChars="0"/>
              <w:rPr>
                <w:rFonts w:hint="default"/>
                <w:lang w:val="en-US" w:eastAsia="zh-CN"/>
              </w:rPr>
            </w:pPr>
            <w:r>
              <w:rPr>
                <w:rFonts w:hint="eastAsia"/>
                <w:lang w:val="en-US" w:eastAsia="zh-CN"/>
              </w:rPr>
              <w:t>乡村振兴防返贫风险排查</w:t>
            </w:r>
          </w:p>
          <w:p>
            <w:pPr>
              <w:pStyle w:val="2"/>
              <w:keepNext w:val="0"/>
              <w:keepLines w:val="0"/>
              <w:suppressLineNumbers w:val="0"/>
              <w:spacing w:before="0" w:beforeAutospacing="0" w:after="0" w:afterAutospacing="0"/>
              <w:ind w:left="0" w:right="0"/>
              <w:rPr>
                <w:rFonts w:hint="eastAsia"/>
                <w:lang w:val="en-US" w:eastAsia="zh-CN"/>
              </w:rPr>
            </w:pPr>
          </w:p>
          <w:p>
            <w:pPr>
              <w:keepNext w:val="0"/>
              <w:keepLines w:val="0"/>
              <w:suppressLineNumbers w:val="0"/>
              <w:spacing w:before="0" w:beforeAutospacing="0" w:after="0" w:afterAutospacing="0"/>
              <w:ind w:left="0" w:right="0"/>
              <w:rPr>
                <w:rFonts w:hint="eastAsia"/>
                <w:lang w:val="en-US" w:eastAsia="zh-CN"/>
              </w:rPr>
            </w:pPr>
          </w:p>
          <w:p>
            <w:pPr>
              <w:pStyle w:val="2"/>
              <w:keepNext w:val="0"/>
              <w:keepLines w:val="0"/>
              <w:suppressLineNumbers w:val="0"/>
              <w:spacing w:before="0" w:beforeAutospacing="0" w:after="0" w:afterAutospacing="0"/>
              <w:ind w:left="0" w:right="0"/>
              <w:rPr>
                <w:rFonts w:hint="eastAsia"/>
                <w:lang w:val="en-US" w:eastAsia="zh-CN"/>
              </w:rPr>
            </w:pPr>
          </w:p>
          <w:p>
            <w:pPr>
              <w:keepNext w:val="0"/>
              <w:keepLines w:val="0"/>
              <w:suppressLineNumbers w:val="0"/>
              <w:spacing w:before="0" w:beforeAutospacing="0" w:after="0" w:afterAutospacing="0"/>
              <w:ind w:left="0" w:right="0"/>
              <w:rPr>
                <w:rFonts w:hint="eastAsia"/>
                <w:lang w:val="en-US" w:eastAsia="zh-CN"/>
              </w:rPr>
            </w:pPr>
          </w:p>
          <w:p>
            <w:pPr>
              <w:pStyle w:val="2"/>
              <w:keepNext w:val="0"/>
              <w:keepLines w:val="0"/>
              <w:suppressLineNumbers w:val="0"/>
              <w:spacing w:before="0" w:beforeAutospacing="0" w:after="0" w:afterAutospacing="0"/>
              <w:ind w:left="0" w:right="0"/>
              <w:rPr>
                <w:rFonts w:hint="eastAsia"/>
                <w:lang w:val="en-US" w:eastAsia="zh-CN"/>
              </w:rPr>
            </w:pPr>
          </w:p>
          <w:p>
            <w:pPr>
              <w:keepNext w:val="0"/>
              <w:keepLines w:val="0"/>
              <w:suppressLineNumbers w:val="0"/>
              <w:spacing w:before="0" w:beforeAutospacing="0" w:after="0" w:afterAutospacing="0"/>
              <w:ind w:left="0" w:right="0"/>
              <w:rPr>
                <w:rFonts w:hint="eastAsia"/>
                <w:lang w:val="en-US" w:eastAsia="zh-CN"/>
              </w:rPr>
            </w:pPr>
          </w:p>
          <w:p>
            <w:pPr>
              <w:pStyle w:val="2"/>
              <w:keepNext w:val="0"/>
              <w:keepLines w:val="0"/>
              <w:suppressLineNumbers w:val="0"/>
              <w:spacing w:before="0" w:beforeAutospacing="0" w:after="0" w:afterAutospacing="0"/>
              <w:ind w:left="0" w:right="0"/>
              <w:rPr>
                <w:rFonts w:hint="eastAsia"/>
                <w:lang w:val="en-US" w:eastAsia="zh-CN"/>
              </w:rPr>
            </w:pPr>
          </w:p>
          <w:p>
            <w:pPr>
              <w:keepNext w:val="0"/>
              <w:keepLines w:val="0"/>
              <w:suppressLineNumbers w:val="0"/>
              <w:spacing w:before="0" w:beforeAutospacing="0" w:after="0" w:afterAutospacing="0"/>
              <w:ind w:left="0" w:right="0"/>
              <w:rPr>
                <w:rFonts w:hint="eastAsia"/>
                <w:lang w:val="en-US" w:eastAsia="zh-CN"/>
              </w:rPr>
            </w:pPr>
          </w:p>
          <w:p>
            <w:pPr>
              <w:pStyle w:val="2"/>
              <w:keepNext w:val="0"/>
              <w:keepLines w:val="0"/>
              <w:suppressLineNumbers w:val="0"/>
              <w:spacing w:before="0" w:beforeAutospacing="0" w:after="0" w:afterAutospacing="0"/>
              <w:ind w:left="0" w:right="0"/>
              <w:rPr>
                <w:rFonts w:hint="eastAsia"/>
                <w:lang w:val="en-US" w:eastAsia="zh-CN"/>
              </w:rPr>
            </w:pPr>
          </w:p>
          <w:p>
            <w:pPr>
              <w:keepNext w:val="0"/>
              <w:keepLines w:val="0"/>
              <w:suppressLineNumbers w:val="0"/>
              <w:spacing w:before="0" w:beforeAutospacing="0" w:after="0" w:afterAutospacing="0"/>
              <w:ind w:left="0" w:right="0"/>
              <w:rPr>
                <w:rFonts w:hint="eastAsia"/>
                <w:lang w:val="en-US" w:eastAsia="zh-CN"/>
              </w:rPr>
            </w:pPr>
          </w:p>
          <w:p>
            <w:pPr>
              <w:pStyle w:val="2"/>
              <w:keepNext w:val="0"/>
              <w:keepLines w:val="0"/>
              <w:suppressLineNumbers w:val="0"/>
              <w:spacing w:before="0" w:beforeAutospacing="0" w:after="0" w:afterAutospacing="0"/>
              <w:ind w:left="0" w:right="0"/>
              <w:rPr>
                <w:rFonts w:hint="eastAsia"/>
                <w:lang w:val="en-US" w:eastAsia="zh-CN"/>
              </w:rPr>
            </w:pPr>
          </w:p>
          <w:p>
            <w:pPr>
              <w:keepNext w:val="0"/>
              <w:keepLines w:val="0"/>
              <w:suppressLineNumbers w:val="0"/>
              <w:spacing w:before="0" w:beforeAutospacing="0" w:after="0" w:afterAutospacing="0"/>
              <w:ind w:left="0" w:right="0"/>
              <w:rPr>
                <w:rFonts w:hint="eastAsia"/>
                <w:lang w:val="en-US" w:eastAsia="zh-CN"/>
              </w:rPr>
            </w:pPr>
          </w:p>
          <w:p>
            <w:pPr>
              <w:keepNext w:val="0"/>
              <w:keepLines w:val="0"/>
              <w:suppressLineNumbers w:val="0"/>
              <w:spacing w:before="0" w:beforeAutospacing="0" w:after="0" w:afterAutospacing="0"/>
              <w:ind w:left="0" w:right="0"/>
              <w:rPr>
                <w:rFonts w:hint="default"/>
                <w:lang w:val="en-US" w:eastAsia="zh-CN"/>
              </w:rPr>
            </w:pPr>
          </w:p>
          <w:p>
            <w:pPr>
              <w:pStyle w:val="2"/>
              <w:keepNext w:val="0"/>
              <w:keepLines w:val="0"/>
              <w:suppressLineNumbers w:val="0"/>
              <w:spacing w:before="0" w:beforeAutospacing="0" w:after="0" w:afterAutospacing="0"/>
              <w:ind w:left="0" w:right="0"/>
              <w:rPr>
                <w:rFonts w:hint="default"/>
                <w:lang w:val="en-US" w:eastAsia="zh-CN"/>
              </w:rPr>
            </w:pPr>
          </w:p>
        </w:tc>
      </w:tr>
      <w:tr>
        <w:tblPrEx>
          <w:tblCellMar>
            <w:top w:w="0" w:type="dxa"/>
            <w:left w:w="108" w:type="dxa"/>
            <w:bottom w:w="0" w:type="dxa"/>
            <w:right w:w="108" w:type="dxa"/>
          </w:tblCellMar>
        </w:tblPrEx>
        <w:trPr>
          <w:trHeight w:val="348" w:hRule="atLeast"/>
          <w:jc w:val="center"/>
        </w:trPr>
        <w:tc>
          <w:tcPr>
            <w:tcW w:w="585"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36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7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9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193" w:hRule="atLeast"/>
          <w:jc w:val="center"/>
        </w:trPr>
        <w:tc>
          <w:tcPr>
            <w:tcW w:w="58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36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7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残疾人康复</w:t>
            </w:r>
          </w:p>
          <w:p>
            <w:pPr>
              <w:pStyle w:val="2"/>
              <w:keepNext w:val="0"/>
              <w:keepLines w:val="0"/>
              <w:suppressLineNumbers w:val="0"/>
              <w:spacing w:before="0" w:beforeAutospacing="0" w:after="0" w:afterAutospacing="0"/>
              <w:ind w:left="0" w:right="0"/>
              <w:rPr>
                <w:rFonts w:hint="default"/>
                <w:lang w:val="en-US" w:eastAsia="zh-CN"/>
              </w:rPr>
            </w:pPr>
          </w:p>
        </w:tc>
        <w:tc>
          <w:tcPr>
            <w:tcW w:w="49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100%</w:t>
            </w:r>
          </w:p>
        </w:tc>
        <w:tc>
          <w:tcPr>
            <w:tcW w:w="31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5</w:t>
            </w:r>
          </w:p>
        </w:tc>
        <w:tc>
          <w:tcPr>
            <w:tcW w:w="8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193" w:hRule="atLeast"/>
          <w:jc w:val="center"/>
        </w:trPr>
        <w:tc>
          <w:tcPr>
            <w:tcW w:w="58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7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残疾人就业</w:t>
            </w:r>
          </w:p>
          <w:p>
            <w:pPr>
              <w:pStyle w:val="2"/>
              <w:keepNext w:val="0"/>
              <w:keepLines w:val="0"/>
              <w:suppressLineNumbers w:val="0"/>
              <w:spacing w:before="0" w:beforeAutospacing="0" w:after="0" w:afterAutospacing="0"/>
              <w:ind w:left="0" w:right="0"/>
              <w:rPr>
                <w:rFonts w:hint="default"/>
                <w:lang w:val="en-US" w:eastAsia="zh-CN"/>
              </w:rPr>
            </w:pPr>
          </w:p>
        </w:tc>
        <w:tc>
          <w:tcPr>
            <w:tcW w:w="49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100%</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100%</w:t>
            </w:r>
          </w:p>
        </w:tc>
        <w:tc>
          <w:tcPr>
            <w:tcW w:w="31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5</w:t>
            </w:r>
          </w:p>
        </w:tc>
        <w:tc>
          <w:tcPr>
            <w:tcW w:w="8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226" w:hRule="atLeast"/>
          <w:jc w:val="center"/>
        </w:trPr>
        <w:tc>
          <w:tcPr>
            <w:tcW w:w="58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7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其他残疾人事业支出</w:t>
            </w:r>
          </w:p>
        </w:tc>
        <w:tc>
          <w:tcPr>
            <w:tcW w:w="49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100%</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100%</w:t>
            </w:r>
          </w:p>
        </w:tc>
        <w:tc>
          <w:tcPr>
            <w:tcW w:w="31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5</w:t>
            </w:r>
          </w:p>
        </w:tc>
        <w:tc>
          <w:tcPr>
            <w:tcW w:w="8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226" w:hRule="atLeast"/>
          <w:jc w:val="center"/>
        </w:trPr>
        <w:tc>
          <w:tcPr>
            <w:tcW w:w="58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7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残疾人康复</w:t>
            </w:r>
          </w:p>
        </w:tc>
        <w:tc>
          <w:tcPr>
            <w:tcW w:w="49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100%</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通过省级验收合格</w:t>
            </w:r>
          </w:p>
        </w:tc>
        <w:tc>
          <w:tcPr>
            <w:tcW w:w="31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5</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5</w:t>
            </w:r>
          </w:p>
        </w:tc>
        <w:tc>
          <w:tcPr>
            <w:tcW w:w="8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226" w:hRule="atLeast"/>
          <w:jc w:val="center"/>
        </w:trPr>
        <w:tc>
          <w:tcPr>
            <w:tcW w:w="58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7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残疾人就业</w:t>
            </w:r>
          </w:p>
        </w:tc>
        <w:tc>
          <w:tcPr>
            <w:tcW w:w="49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100%</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通过省级验收合格</w:t>
            </w:r>
          </w:p>
        </w:tc>
        <w:tc>
          <w:tcPr>
            <w:tcW w:w="31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5</w:t>
            </w:r>
          </w:p>
        </w:tc>
        <w:tc>
          <w:tcPr>
            <w:tcW w:w="8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226" w:hRule="atLeast"/>
          <w:jc w:val="center"/>
        </w:trPr>
        <w:tc>
          <w:tcPr>
            <w:tcW w:w="58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7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其他残疾人事业支出</w:t>
            </w:r>
          </w:p>
        </w:tc>
        <w:tc>
          <w:tcPr>
            <w:tcW w:w="49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100%</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通过省级验收合格</w:t>
            </w:r>
          </w:p>
        </w:tc>
        <w:tc>
          <w:tcPr>
            <w:tcW w:w="31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5</w:t>
            </w:r>
          </w:p>
        </w:tc>
        <w:tc>
          <w:tcPr>
            <w:tcW w:w="8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226" w:hRule="atLeast"/>
          <w:jc w:val="center"/>
        </w:trPr>
        <w:tc>
          <w:tcPr>
            <w:tcW w:w="58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7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残疾人康复</w:t>
            </w:r>
          </w:p>
        </w:tc>
        <w:tc>
          <w:tcPr>
            <w:tcW w:w="49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100%</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2023年4月</w:t>
            </w:r>
          </w:p>
        </w:tc>
        <w:tc>
          <w:tcPr>
            <w:tcW w:w="31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w:t>
            </w:r>
          </w:p>
        </w:tc>
        <w:tc>
          <w:tcPr>
            <w:tcW w:w="8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226" w:hRule="atLeast"/>
          <w:jc w:val="center"/>
        </w:trPr>
        <w:tc>
          <w:tcPr>
            <w:tcW w:w="58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7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残疾人就业</w:t>
            </w:r>
          </w:p>
        </w:tc>
        <w:tc>
          <w:tcPr>
            <w:tcW w:w="49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100%</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2023年4月</w:t>
            </w:r>
          </w:p>
        </w:tc>
        <w:tc>
          <w:tcPr>
            <w:tcW w:w="31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w:t>
            </w:r>
          </w:p>
        </w:tc>
        <w:tc>
          <w:tcPr>
            <w:tcW w:w="8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226" w:hRule="atLeast"/>
          <w:jc w:val="center"/>
        </w:trPr>
        <w:tc>
          <w:tcPr>
            <w:tcW w:w="58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7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其他残疾人事业支出</w:t>
            </w:r>
          </w:p>
        </w:tc>
        <w:tc>
          <w:tcPr>
            <w:tcW w:w="49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100%</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2023年4月</w:t>
            </w:r>
          </w:p>
        </w:tc>
        <w:tc>
          <w:tcPr>
            <w:tcW w:w="31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lang w:val="en-US" w:eastAsia="zh-CN"/>
              </w:rPr>
            </w:pPr>
            <w:r>
              <w:rPr>
                <w:rFonts w:hint="eastAsia"/>
                <w:lang w:val="en-US" w:eastAsia="zh-CN"/>
              </w:rPr>
              <w:t>4</w:t>
            </w:r>
          </w:p>
          <w:p>
            <w:pPr>
              <w:pStyle w:val="2"/>
              <w:keepNext w:val="0"/>
              <w:keepLines w:val="0"/>
              <w:suppressLineNumbers w:val="0"/>
              <w:spacing w:before="0" w:beforeAutospacing="0" w:after="0" w:afterAutospacing="0"/>
              <w:ind w:left="0" w:right="0"/>
              <w:rPr>
                <w:rFonts w:hint="default"/>
                <w:lang w:val="en-US" w:eastAsia="zh-CN"/>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lang w:val="en-US" w:eastAsia="zh-CN"/>
              </w:rPr>
            </w:pPr>
            <w:r>
              <w:rPr>
                <w:rFonts w:hint="eastAsia"/>
                <w:lang w:val="en-US" w:eastAsia="zh-CN"/>
              </w:rPr>
              <w:t>3</w:t>
            </w:r>
          </w:p>
          <w:p>
            <w:pPr>
              <w:pStyle w:val="2"/>
              <w:keepNext w:val="0"/>
              <w:keepLines w:val="0"/>
              <w:suppressLineNumbers w:val="0"/>
              <w:spacing w:before="0" w:beforeAutospacing="0" w:after="0" w:afterAutospacing="0"/>
              <w:ind w:left="0" w:leftChars="0" w:right="0" w:rightChars="0"/>
              <w:rPr>
                <w:rFonts w:hint="eastAsia" w:ascii="新宋体" w:hAnsi="新宋体" w:eastAsia="新宋体" w:cs="新宋体"/>
                <w:color w:val="000000"/>
                <w:sz w:val="21"/>
                <w:szCs w:val="21"/>
              </w:rPr>
            </w:pPr>
          </w:p>
        </w:tc>
        <w:tc>
          <w:tcPr>
            <w:tcW w:w="8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335" w:hRule="atLeast"/>
          <w:jc w:val="center"/>
        </w:trPr>
        <w:tc>
          <w:tcPr>
            <w:tcW w:w="58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7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残疾人康复</w:t>
            </w:r>
          </w:p>
        </w:tc>
        <w:tc>
          <w:tcPr>
            <w:tcW w:w="49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按规定标准执行</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按规定标准执行</w:t>
            </w:r>
          </w:p>
        </w:tc>
        <w:tc>
          <w:tcPr>
            <w:tcW w:w="31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3</w:t>
            </w:r>
          </w:p>
        </w:tc>
        <w:tc>
          <w:tcPr>
            <w:tcW w:w="8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335" w:hRule="atLeast"/>
          <w:jc w:val="center"/>
        </w:trPr>
        <w:tc>
          <w:tcPr>
            <w:tcW w:w="58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7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残疾人就业</w:t>
            </w:r>
          </w:p>
        </w:tc>
        <w:tc>
          <w:tcPr>
            <w:tcW w:w="49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按规定标准执行</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按规定标准执行</w:t>
            </w:r>
          </w:p>
        </w:tc>
        <w:tc>
          <w:tcPr>
            <w:tcW w:w="31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3</w:t>
            </w:r>
          </w:p>
        </w:tc>
        <w:tc>
          <w:tcPr>
            <w:tcW w:w="8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335" w:hRule="atLeast"/>
          <w:jc w:val="center"/>
        </w:trPr>
        <w:tc>
          <w:tcPr>
            <w:tcW w:w="58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7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其他残疾人事业支出</w:t>
            </w:r>
          </w:p>
        </w:tc>
        <w:tc>
          <w:tcPr>
            <w:tcW w:w="49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按规定标准执行</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按规定标准执行</w:t>
            </w:r>
          </w:p>
        </w:tc>
        <w:tc>
          <w:tcPr>
            <w:tcW w:w="31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2</w:t>
            </w:r>
          </w:p>
        </w:tc>
        <w:tc>
          <w:tcPr>
            <w:tcW w:w="8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348" w:hRule="atLeast"/>
          <w:jc w:val="center"/>
        </w:trPr>
        <w:tc>
          <w:tcPr>
            <w:tcW w:w="585"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36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7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9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226" w:hRule="atLeast"/>
          <w:jc w:val="center"/>
        </w:trPr>
        <w:tc>
          <w:tcPr>
            <w:tcW w:w="585"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36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7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残疾人康复</w:t>
            </w:r>
          </w:p>
        </w:tc>
        <w:tc>
          <w:tcPr>
            <w:tcW w:w="49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rPr>
            </w:pPr>
            <w:r>
              <w:rPr>
                <w:rFonts w:hint="eastAsia" w:ascii="新宋体" w:hAnsi="新宋体" w:eastAsia="新宋体" w:cs="新宋体"/>
                <w:color w:val="000000"/>
                <w:sz w:val="21"/>
                <w:szCs w:val="21"/>
                <w:lang w:val="en-US" w:eastAsia="zh-CN"/>
              </w:rPr>
              <w:t>提升</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大幅度提升</w:t>
            </w:r>
          </w:p>
        </w:tc>
        <w:tc>
          <w:tcPr>
            <w:tcW w:w="31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8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226" w:hRule="atLeast"/>
          <w:jc w:val="center"/>
        </w:trPr>
        <w:tc>
          <w:tcPr>
            <w:tcW w:w="585"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7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残疾人就业</w:t>
            </w:r>
          </w:p>
        </w:tc>
        <w:tc>
          <w:tcPr>
            <w:tcW w:w="49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提升</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大幅度提升</w:t>
            </w:r>
          </w:p>
        </w:tc>
        <w:tc>
          <w:tcPr>
            <w:tcW w:w="31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8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226" w:hRule="atLeast"/>
          <w:jc w:val="center"/>
        </w:trPr>
        <w:tc>
          <w:tcPr>
            <w:tcW w:w="585"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77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其他残疾人事业支出</w:t>
            </w:r>
          </w:p>
        </w:tc>
        <w:tc>
          <w:tcPr>
            <w:tcW w:w="498"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提升</w:t>
            </w:r>
          </w:p>
        </w:tc>
        <w:tc>
          <w:tcPr>
            <w:tcW w:w="5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大幅度提升</w:t>
            </w:r>
          </w:p>
        </w:tc>
        <w:tc>
          <w:tcPr>
            <w:tcW w:w="315"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100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85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226" w:hRule="atLeast"/>
          <w:jc w:val="center"/>
        </w:trPr>
        <w:tc>
          <w:tcPr>
            <w:tcW w:w="585"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77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残疾人康复</w:t>
            </w:r>
          </w:p>
        </w:tc>
        <w:tc>
          <w:tcPr>
            <w:tcW w:w="49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提升</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有所提升</w:t>
            </w:r>
          </w:p>
        </w:tc>
        <w:tc>
          <w:tcPr>
            <w:tcW w:w="31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100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85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226" w:hRule="atLeast"/>
          <w:jc w:val="center"/>
        </w:trPr>
        <w:tc>
          <w:tcPr>
            <w:tcW w:w="585"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77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残疾人就业</w:t>
            </w:r>
          </w:p>
        </w:tc>
        <w:tc>
          <w:tcPr>
            <w:tcW w:w="49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提升</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有所提升</w:t>
            </w:r>
          </w:p>
        </w:tc>
        <w:tc>
          <w:tcPr>
            <w:tcW w:w="31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100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85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226" w:hRule="atLeast"/>
          <w:jc w:val="center"/>
        </w:trPr>
        <w:tc>
          <w:tcPr>
            <w:tcW w:w="585"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77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其他残疾人事业支出</w:t>
            </w:r>
          </w:p>
        </w:tc>
        <w:tc>
          <w:tcPr>
            <w:tcW w:w="49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提升</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有所提升</w:t>
            </w:r>
          </w:p>
        </w:tc>
        <w:tc>
          <w:tcPr>
            <w:tcW w:w="31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100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85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335" w:hRule="atLeast"/>
          <w:jc w:val="center"/>
        </w:trPr>
        <w:tc>
          <w:tcPr>
            <w:tcW w:w="585"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restar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77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残疾人康复</w:t>
            </w:r>
          </w:p>
        </w:tc>
        <w:tc>
          <w:tcPr>
            <w:tcW w:w="49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rPr>
            </w:pPr>
            <w:r>
              <w:rPr>
                <w:rFonts w:hint="eastAsia" w:ascii="新宋体" w:hAnsi="新宋体" w:eastAsia="新宋体" w:cs="新宋体"/>
                <w:color w:val="000000"/>
                <w:sz w:val="21"/>
                <w:szCs w:val="21"/>
                <w:lang w:val="en-US" w:eastAsia="zh-CN"/>
              </w:rPr>
              <w:t>通过省级验收合格</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通过省级验收合格</w:t>
            </w:r>
          </w:p>
        </w:tc>
        <w:tc>
          <w:tcPr>
            <w:tcW w:w="31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100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85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rPr>
            </w:pPr>
            <w:r>
              <w:rPr>
                <w:rFonts w:hint="eastAsia"/>
              </w:rPr>
              <w:t>　</w:t>
            </w:r>
          </w:p>
          <w:p>
            <w:pPr>
              <w:pStyle w:val="2"/>
              <w:keepNext w:val="0"/>
              <w:keepLines w:val="0"/>
              <w:suppressLineNumbers w:val="0"/>
              <w:spacing w:before="0" w:beforeAutospacing="0" w:after="0" w:afterAutospacing="0"/>
              <w:ind w:left="0" w:right="0"/>
              <w:rPr>
                <w:rFonts w:hint="eastAsia"/>
              </w:rPr>
            </w:pPr>
          </w:p>
          <w:p>
            <w:pPr>
              <w:keepNext w:val="0"/>
              <w:keepLines w:val="0"/>
              <w:suppressLineNumbers w:val="0"/>
              <w:spacing w:before="0" w:beforeAutospacing="0" w:after="0" w:afterAutospacing="0"/>
              <w:ind w:left="0" w:right="0"/>
              <w:rPr>
                <w:rFonts w:hint="eastAsia"/>
              </w:rPr>
            </w:pPr>
          </w:p>
        </w:tc>
      </w:tr>
      <w:tr>
        <w:tblPrEx>
          <w:tblCellMar>
            <w:top w:w="0" w:type="dxa"/>
            <w:left w:w="108" w:type="dxa"/>
            <w:bottom w:w="0" w:type="dxa"/>
            <w:right w:w="108" w:type="dxa"/>
          </w:tblCellMar>
        </w:tblPrEx>
        <w:trPr>
          <w:trHeight w:val="205" w:hRule="atLeast"/>
          <w:jc w:val="center"/>
        </w:trPr>
        <w:tc>
          <w:tcPr>
            <w:tcW w:w="58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77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残疾人就业</w:t>
            </w:r>
          </w:p>
        </w:tc>
        <w:tc>
          <w:tcPr>
            <w:tcW w:w="498"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通过省级验收</w:t>
            </w:r>
          </w:p>
        </w:tc>
        <w:tc>
          <w:tcPr>
            <w:tcW w:w="5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通过省级验收合格</w:t>
            </w:r>
          </w:p>
        </w:tc>
        <w:tc>
          <w:tcPr>
            <w:tcW w:w="315"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100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85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335" w:hRule="atLeast"/>
          <w:jc w:val="center"/>
        </w:trPr>
        <w:tc>
          <w:tcPr>
            <w:tcW w:w="585" w:type="pct"/>
            <w:vMerge w:val="continue"/>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77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其他残疾人事业支出</w:t>
            </w:r>
          </w:p>
        </w:tc>
        <w:tc>
          <w:tcPr>
            <w:tcW w:w="498"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通过省级验收合格</w:t>
            </w:r>
          </w:p>
        </w:tc>
        <w:tc>
          <w:tcPr>
            <w:tcW w:w="5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通过省级验收合格</w:t>
            </w:r>
          </w:p>
        </w:tc>
        <w:tc>
          <w:tcPr>
            <w:tcW w:w="315"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100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85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226" w:hRule="atLeast"/>
          <w:jc w:val="center"/>
        </w:trPr>
        <w:tc>
          <w:tcPr>
            <w:tcW w:w="585"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7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残疾人康复</w:t>
            </w:r>
          </w:p>
        </w:tc>
        <w:tc>
          <w:tcPr>
            <w:tcW w:w="49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100%</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产生可持续影响</w:t>
            </w:r>
          </w:p>
        </w:tc>
        <w:tc>
          <w:tcPr>
            <w:tcW w:w="31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2.5</w:t>
            </w:r>
          </w:p>
        </w:tc>
        <w:tc>
          <w:tcPr>
            <w:tcW w:w="8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226" w:hRule="atLeast"/>
          <w:jc w:val="center"/>
        </w:trPr>
        <w:tc>
          <w:tcPr>
            <w:tcW w:w="585"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77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残疾人就业</w:t>
            </w:r>
          </w:p>
        </w:tc>
        <w:tc>
          <w:tcPr>
            <w:tcW w:w="498"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100%</w:t>
            </w:r>
          </w:p>
        </w:tc>
        <w:tc>
          <w:tcPr>
            <w:tcW w:w="5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产生可持续影响</w:t>
            </w:r>
          </w:p>
        </w:tc>
        <w:tc>
          <w:tcPr>
            <w:tcW w:w="315"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2.5</w:t>
            </w:r>
            <w:r>
              <w:rPr>
                <w:rFonts w:hint="eastAsia" w:ascii="新宋体" w:hAnsi="新宋体" w:eastAsia="新宋体" w:cs="新宋体"/>
                <w:color w:val="000000"/>
                <w:sz w:val="21"/>
                <w:szCs w:val="21"/>
              </w:rPr>
              <w:t>　</w:t>
            </w:r>
          </w:p>
        </w:tc>
        <w:tc>
          <w:tcPr>
            <w:tcW w:w="100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2.5</w:t>
            </w:r>
          </w:p>
        </w:tc>
        <w:tc>
          <w:tcPr>
            <w:tcW w:w="85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226" w:hRule="atLeast"/>
          <w:jc w:val="center"/>
        </w:trPr>
        <w:tc>
          <w:tcPr>
            <w:tcW w:w="585"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60"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77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其他残疾人事业支出</w:t>
            </w:r>
          </w:p>
        </w:tc>
        <w:tc>
          <w:tcPr>
            <w:tcW w:w="49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100%</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产生可持续影响</w:t>
            </w:r>
          </w:p>
        </w:tc>
        <w:tc>
          <w:tcPr>
            <w:tcW w:w="31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2.5</w:t>
            </w:r>
            <w:r>
              <w:rPr>
                <w:rFonts w:hint="eastAsia" w:ascii="新宋体" w:hAnsi="新宋体" w:eastAsia="新宋体" w:cs="新宋体"/>
                <w:color w:val="000000"/>
                <w:sz w:val="21"/>
                <w:szCs w:val="21"/>
              </w:rPr>
              <w:t>　</w:t>
            </w:r>
          </w:p>
        </w:tc>
        <w:tc>
          <w:tcPr>
            <w:tcW w:w="100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2.5</w:t>
            </w:r>
          </w:p>
        </w:tc>
        <w:tc>
          <w:tcPr>
            <w:tcW w:w="85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193" w:hRule="atLeast"/>
          <w:jc w:val="center"/>
        </w:trPr>
        <w:tc>
          <w:tcPr>
            <w:tcW w:w="585"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360"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77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lang w:val="en-US" w:eastAsia="zh-CN"/>
              </w:rPr>
            </w:pPr>
            <w:r>
              <w:rPr>
                <w:rFonts w:hint="eastAsia"/>
                <w:lang w:val="en-US" w:eastAsia="zh-CN"/>
              </w:rPr>
              <w:t>残疾人康复</w:t>
            </w:r>
          </w:p>
          <w:p>
            <w:pPr>
              <w:pStyle w:val="2"/>
              <w:keepNext w:val="0"/>
              <w:keepLines w:val="0"/>
              <w:suppressLineNumbers w:val="0"/>
              <w:spacing w:before="0" w:beforeAutospacing="0" w:after="0" w:afterAutospacing="0"/>
              <w:ind w:left="0" w:right="0"/>
              <w:jc w:val="center"/>
              <w:rPr>
                <w:rFonts w:hint="eastAsia"/>
              </w:rPr>
            </w:pPr>
          </w:p>
        </w:tc>
        <w:tc>
          <w:tcPr>
            <w:tcW w:w="49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default" w:ascii="Arial" w:hAnsi="Arial" w:eastAsia="新宋体" w:cs="Arial"/>
                <w:color w:val="000000"/>
                <w:sz w:val="21"/>
                <w:szCs w:val="21"/>
                <w:lang w:val="en-US" w:eastAsia="zh-CN"/>
              </w:rPr>
              <w:t>≥</w:t>
            </w:r>
            <w:r>
              <w:rPr>
                <w:rFonts w:hint="eastAsia" w:ascii="新宋体" w:hAnsi="新宋体" w:eastAsia="新宋体" w:cs="新宋体"/>
                <w:color w:val="000000"/>
                <w:sz w:val="21"/>
                <w:szCs w:val="21"/>
                <w:lang w:val="en-US" w:eastAsia="zh-CN"/>
              </w:rPr>
              <w:t>85%</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default" w:ascii="Arial" w:hAnsi="Arial" w:eastAsia="新宋体" w:cs="Arial"/>
                <w:color w:val="000000"/>
                <w:sz w:val="21"/>
                <w:szCs w:val="21"/>
                <w:lang w:val="en-US" w:eastAsia="zh-CN"/>
              </w:rPr>
              <w:t>≥</w:t>
            </w:r>
            <w:r>
              <w:rPr>
                <w:rFonts w:hint="eastAsia" w:ascii="Arial" w:hAnsi="Arial" w:eastAsia="新宋体" w:cs="Arial"/>
                <w:color w:val="000000"/>
                <w:sz w:val="21"/>
                <w:szCs w:val="21"/>
                <w:lang w:val="en-US" w:eastAsia="zh-CN"/>
              </w:rPr>
              <w:t>90</w:t>
            </w:r>
            <w:r>
              <w:rPr>
                <w:rFonts w:hint="eastAsia" w:ascii="新宋体" w:hAnsi="新宋体" w:eastAsia="新宋体" w:cs="新宋体"/>
                <w:color w:val="000000"/>
                <w:sz w:val="21"/>
                <w:szCs w:val="21"/>
                <w:lang w:val="en-US" w:eastAsia="zh-CN"/>
              </w:rPr>
              <w:t>%</w:t>
            </w:r>
          </w:p>
        </w:tc>
        <w:tc>
          <w:tcPr>
            <w:tcW w:w="31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100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3</w:t>
            </w:r>
          </w:p>
        </w:tc>
        <w:tc>
          <w:tcPr>
            <w:tcW w:w="85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193" w:hRule="atLeast"/>
          <w:jc w:val="center"/>
        </w:trPr>
        <w:tc>
          <w:tcPr>
            <w:tcW w:w="585"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360"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77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lang w:val="en-US" w:eastAsia="zh-CN"/>
              </w:rPr>
            </w:pPr>
            <w:r>
              <w:rPr>
                <w:rFonts w:hint="eastAsia"/>
                <w:lang w:val="en-US" w:eastAsia="zh-CN"/>
              </w:rPr>
              <w:t>残疾人就业</w:t>
            </w:r>
          </w:p>
          <w:p>
            <w:pPr>
              <w:pStyle w:val="2"/>
              <w:keepNext w:val="0"/>
              <w:keepLines w:val="0"/>
              <w:suppressLineNumbers w:val="0"/>
              <w:spacing w:before="0" w:beforeAutospacing="0" w:after="0" w:afterAutospacing="0"/>
              <w:ind w:left="0" w:right="0"/>
              <w:jc w:val="center"/>
              <w:rPr>
                <w:rFonts w:hint="eastAsia"/>
              </w:rPr>
            </w:pPr>
          </w:p>
        </w:tc>
        <w:tc>
          <w:tcPr>
            <w:tcW w:w="49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default" w:ascii="Arial" w:hAnsi="Arial" w:eastAsia="新宋体" w:cs="Arial"/>
                <w:color w:val="000000"/>
                <w:sz w:val="21"/>
                <w:szCs w:val="21"/>
                <w:lang w:val="en-US" w:eastAsia="zh-CN"/>
              </w:rPr>
              <w:t>≥</w:t>
            </w:r>
            <w:r>
              <w:rPr>
                <w:rFonts w:hint="eastAsia" w:ascii="新宋体" w:hAnsi="新宋体" w:eastAsia="新宋体" w:cs="新宋体"/>
                <w:color w:val="000000"/>
                <w:sz w:val="21"/>
                <w:szCs w:val="21"/>
                <w:lang w:val="en-US" w:eastAsia="zh-CN"/>
              </w:rPr>
              <w:t>85%</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default" w:ascii="Arial" w:hAnsi="Arial" w:eastAsia="新宋体" w:cs="Arial"/>
                <w:color w:val="000000"/>
                <w:sz w:val="21"/>
                <w:szCs w:val="21"/>
                <w:lang w:val="en-US" w:eastAsia="zh-CN"/>
              </w:rPr>
              <w:t>≥</w:t>
            </w:r>
            <w:r>
              <w:rPr>
                <w:rFonts w:hint="eastAsia" w:ascii="Arial" w:hAnsi="Arial" w:eastAsia="新宋体" w:cs="Arial"/>
                <w:color w:val="000000"/>
                <w:sz w:val="21"/>
                <w:szCs w:val="21"/>
                <w:lang w:val="en-US" w:eastAsia="zh-CN"/>
              </w:rPr>
              <w:t>90</w:t>
            </w:r>
            <w:r>
              <w:rPr>
                <w:rFonts w:hint="eastAsia" w:ascii="新宋体" w:hAnsi="新宋体" w:eastAsia="新宋体" w:cs="新宋体"/>
                <w:color w:val="000000"/>
                <w:sz w:val="21"/>
                <w:szCs w:val="21"/>
                <w:lang w:val="en-US" w:eastAsia="zh-CN"/>
              </w:rPr>
              <w:t>%</w:t>
            </w:r>
          </w:p>
        </w:tc>
        <w:tc>
          <w:tcPr>
            <w:tcW w:w="31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3</w:t>
            </w:r>
          </w:p>
        </w:tc>
        <w:tc>
          <w:tcPr>
            <w:tcW w:w="100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3</w:t>
            </w:r>
          </w:p>
        </w:tc>
        <w:tc>
          <w:tcPr>
            <w:tcW w:w="85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328" w:hRule="atLeast"/>
          <w:jc w:val="center"/>
        </w:trPr>
        <w:tc>
          <w:tcPr>
            <w:tcW w:w="585"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360"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77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其他残疾人事业支出</w:t>
            </w:r>
          </w:p>
        </w:tc>
        <w:tc>
          <w:tcPr>
            <w:tcW w:w="49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default" w:ascii="Arial" w:hAnsi="Arial" w:eastAsia="新宋体" w:cs="Arial"/>
                <w:color w:val="000000"/>
                <w:sz w:val="21"/>
                <w:szCs w:val="21"/>
                <w:lang w:val="en-US" w:eastAsia="zh-CN"/>
              </w:rPr>
              <w:t>≥</w:t>
            </w:r>
            <w:r>
              <w:rPr>
                <w:rFonts w:hint="eastAsia" w:ascii="新宋体" w:hAnsi="新宋体" w:eastAsia="新宋体" w:cs="新宋体"/>
                <w:color w:val="000000"/>
                <w:sz w:val="21"/>
                <w:szCs w:val="21"/>
                <w:lang w:val="en-US" w:eastAsia="zh-CN"/>
              </w:rPr>
              <w:t>85%</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default" w:ascii="Arial" w:hAnsi="Arial" w:eastAsia="新宋体" w:cs="Arial"/>
                <w:color w:val="000000"/>
                <w:sz w:val="21"/>
                <w:szCs w:val="21"/>
                <w:lang w:val="en-US" w:eastAsia="zh-CN"/>
              </w:rPr>
              <w:t>≥</w:t>
            </w:r>
            <w:r>
              <w:rPr>
                <w:rFonts w:hint="eastAsia" w:ascii="Arial" w:hAnsi="Arial" w:eastAsia="新宋体" w:cs="Arial"/>
                <w:color w:val="000000"/>
                <w:sz w:val="21"/>
                <w:szCs w:val="21"/>
                <w:lang w:val="en-US" w:eastAsia="zh-CN"/>
              </w:rPr>
              <w:t>90</w:t>
            </w:r>
            <w:r>
              <w:rPr>
                <w:rFonts w:hint="eastAsia" w:ascii="新宋体" w:hAnsi="新宋体" w:eastAsia="新宋体" w:cs="新宋体"/>
                <w:color w:val="000000"/>
                <w:sz w:val="21"/>
                <w:szCs w:val="21"/>
                <w:lang w:val="en-US" w:eastAsia="zh-CN"/>
              </w:rPr>
              <w:t>%</w:t>
            </w:r>
          </w:p>
        </w:tc>
        <w:tc>
          <w:tcPr>
            <w:tcW w:w="31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3</w:t>
            </w:r>
          </w:p>
        </w:tc>
        <w:tc>
          <w:tcPr>
            <w:tcW w:w="100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3</w:t>
            </w:r>
          </w:p>
        </w:tc>
        <w:tc>
          <w:tcPr>
            <w:tcW w:w="85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211" w:hRule="atLeast"/>
          <w:jc w:val="center"/>
        </w:trPr>
        <w:tc>
          <w:tcPr>
            <w:tcW w:w="3280"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rPr>
            </w:pPr>
            <w:r>
              <w:rPr>
                <w:rFonts w:hint="eastAsia"/>
              </w:rPr>
              <w:t>总分</w:t>
            </w:r>
          </w:p>
        </w:tc>
        <w:tc>
          <w:tcPr>
            <w:tcW w:w="31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96</w:t>
            </w:r>
          </w:p>
        </w:tc>
        <w:tc>
          <w:tcPr>
            <w:tcW w:w="85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rPr>
          <w:rFonts w:hint="default" w:ascii="Times New Roman" w:hAnsi="Times New Roman" w:eastAsia="仿宋_GB2312" w:cs="Times New Roman"/>
          <w:sz w:val="22"/>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rPr>
        <w:t>填表人：</w:t>
      </w:r>
      <w:r>
        <w:rPr>
          <w:rFonts w:hint="eastAsia" w:eastAsia="仿宋_GB2312" w:cs="Times New Roman"/>
          <w:sz w:val="22"/>
          <w:lang w:val="en-US" w:eastAsia="zh-CN"/>
        </w:rPr>
        <w:t>蔡洁</w:t>
      </w:r>
      <w:r>
        <w:rPr>
          <w:rFonts w:hint="default" w:ascii="Times New Roman" w:hAnsi="Times New Roman" w:eastAsia="仿宋_GB2312" w:cs="Times New Roman"/>
          <w:sz w:val="22"/>
        </w:rPr>
        <w:t xml:space="preserve">    填报日期：</w:t>
      </w:r>
      <w:r>
        <w:rPr>
          <w:rFonts w:hint="eastAsia" w:eastAsia="仿宋_GB2312" w:cs="Times New Roman"/>
          <w:sz w:val="22"/>
          <w:lang w:val="en-US" w:eastAsia="zh-CN"/>
        </w:rPr>
        <w:t>2023.7.14</w:t>
      </w:r>
      <w:r>
        <w:rPr>
          <w:rFonts w:hint="default" w:ascii="Times New Roman" w:hAnsi="Times New Roman" w:eastAsia="仿宋_GB2312" w:cs="Times New Roman"/>
          <w:sz w:val="22"/>
        </w:rPr>
        <w:t xml:space="preserve">  联系电话：</w:t>
      </w:r>
      <w:r>
        <w:rPr>
          <w:rFonts w:hint="eastAsia" w:eastAsia="仿宋_GB2312" w:cs="Times New Roman"/>
          <w:sz w:val="22"/>
          <w:lang w:val="en-US" w:eastAsia="zh-CN"/>
        </w:rPr>
        <w:t>4208636</w:t>
      </w:r>
      <w:r>
        <w:rPr>
          <w:rFonts w:hint="default" w:ascii="Times New Roman" w:hAnsi="Times New Roman" w:eastAsia="仿宋_GB2312" w:cs="Times New Roman"/>
          <w:sz w:val="22"/>
        </w:rPr>
        <w:t xml:space="preserve">  单位负责人签字：</w:t>
      </w:r>
      <w:r>
        <w:rPr>
          <w:rFonts w:hint="eastAsia" w:eastAsia="仿宋_GB2312" w:cs="Times New Roman"/>
          <w:sz w:val="22"/>
          <w:lang w:val="en-US" w:eastAsia="zh-CN"/>
        </w:rPr>
        <w:t>吴军华</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残疾人联合会部门</w:t>
      </w:r>
      <w:r>
        <w:rPr>
          <w:rFonts w:hint="eastAsia" w:ascii="方正小标宋简体" w:hAnsi="方正小标宋简体" w:eastAsia="方正小标宋简体" w:cs="方正小标宋简体"/>
          <w:sz w:val="44"/>
          <w:szCs w:val="44"/>
        </w:rPr>
        <w:t>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eastAsia" w:eastAsia="仿宋_GB2312" w:cs="Times New Roman"/>
          <w:sz w:val="32"/>
          <w:szCs w:val="32"/>
          <w:lang w:val="en-US" w:eastAsia="zh-CN"/>
        </w:rPr>
        <w:t>县残联</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月</w:t>
      </w:r>
      <w:r>
        <w:rPr>
          <w:rFonts w:hint="eastAsia" w:eastAsia="楷体_GB2312" w:cs="Times New Roman"/>
          <w:sz w:val="32"/>
          <w:szCs w:val="32"/>
          <w:lang w:val="en-US" w:eastAsia="zh-CN"/>
        </w:rPr>
        <w:t>14</w:t>
      </w:r>
      <w:r>
        <w:rPr>
          <w:rFonts w:hint="default" w:ascii="Times New Roman" w:hAnsi="Times New Roman" w:eastAsia="楷体_GB2312" w:cs="Times New Roman"/>
          <w:sz w:val="32"/>
          <w:szCs w:val="32"/>
        </w:rPr>
        <w:t xml:space="preserve"> 日</w:t>
      </w:r>
    </w:p>
    <w:p>
      <w:pPr>
        <w:jc w:val="center"/>
        <w:rPr>
          <w:rFonts w:hint="default" w:ascii="Times New Roman" w:hAnsi="Times New Roman" w:eastAsia="仿宋_GB2312" w:cs="Times New Roman"/>
          <w:sz w:val="32"/>
          <w:szCs w:val="32"/>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残疾人联合会部门</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2"/>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部门（单位）基本情况</w:t>
      </w:r>
    </w:p>
    <w:p>
      <w:pPr>
        <w:pStyle w:val="2"/>
        <w:numPr>
          <w:ilvl w:val="0"/>
          <w:numId w:val="0"/>
        </w:numPr>
        <w:rPr>
          <w:rFonts w:hint="default" w:ascii="Times New Roman" w:hAnsi="Times New Roman" w:eastAsia="仿宋_GB2312" w:cs="Times New Roman"/>
          <w:color w:val="000000"/>
          <w:kern w:val="2"/>
          <w:sz w:val="32"/>
          <w:szCs w:val="32"/>
          <w:lang w:val="en-US" w:eastAsia="zh-CN" w:bidi="ar-SA"/>
        </w:rPr>
      </w:pPr>
      <w:r>
        <w:rPr>
          <w:rFonts w:hint="eastAsia"/>
          <w:lang w:val="en-US" w:eastAsia="zh-CN"/>
        </w:rPr>
        <w:t xml:space="preserve">          </w:t>
      </w:r>
      <w:r>
        <w:rPr>
          <w:rFonts w:hint="eastAsia" w:ascii="Times New Roman" w:hAnsi="Times New Roman" w:eastAsia="仿宋_GB2312" w:cs="Times New Roman"/>
          <w:color w:val="000000"/>
          <w:kern w:val="2"/>
          <w:sz w:val="32"/>
          <w:szCs w:val="32"/>
          <w:lang w:val="en-US" w:eastAsia="zh-CN" w:bidi="ar-SA"/>
        </w:rPr>
        <w:t xml:space="preserve"> 华容</w:t>
      </w:r>
      <w:r>
        <w:rPr>
          <w:rFonts w:hint="default" w:ascii="Times New Roman" w:hAnsi="Times New Roman" w:eastAsia="仿宋_GB2312" w:cs="Times New Roman"/>
          <w:color w:val="000000"/>
          <w:kern w:val="2"/>
          <w:sz w:val="32"/>
          <w:szCs w:val="32"/>
          <w:lang w:val="en-US" w:eastAsia="zh-CN" w:bidi="ar-SA"/>
        </w:rPr>
        <w:t>县残疾人联合会全额拨款编制</w:t>
      </w:r>
      <w:r>
        <w:rPr>
          <w:rFonts w:hint="eastAsia" w:ascii="Times New Roman" w:hAnsi="Times New Roman" w:eastAsia="仿宋_GB2312" w:cs="Times New Roman"/>
          <w:color w:val="000000"/>
          <w:kern w:val="2"/>
          <w:sz w:val="32"/>
          <w:szCs w:val="32"/>
          <w:lang w:val="en-US" w:eastAsia="zh-CN" w:bidi="ar-SA"/>
        </w:rPr>
        <w:t>16</w:t>
      </w:r>
      <w:r>
        <w:rPr>
          <w:rFonts w:hint="default" w:ascii="Times New Roman" w:hAnsi="Times New Roman" w:eastAsia="仿宋_GB2312" w:cs="Times New Roman"/>
          <w:color w:val="000000"/>
          <w:kern w:val="2"/>
          <w:sz w:val="32"/>
          <w:szCs w:val="32"/>
          <w:lang w:val="en-US" w:eastAsia="zh-CN" w:bidi="ar-SA"/>
        </w:rPr>
        <w:t>名。现有在编在岗职工</w:t>
      </w:r>
      <w:r>
        <w:rPr>
          <w:rFonts w:hint="eastAsia" w:ascii="Times New Roman" w:hAnsi="Times New Roman" w:eastAsia="仿宋_GB2312" w:cs="Times New Roman"/>
          <w:color w:val="000000"/>
          <w:kern w:val="2"/>
          <w:sz w:val="32"/>
          <w:szCs w:val="32"/>
          <w:lang w:val="en-US" w:eastAsia="zh-CN" w:bidi="ar-SA"/>
        </w:rPr>
        <w:t>22</w:t>
      </w:r>
      <w:r>
        <w:rPr>
          <w:rFonts w:hint="default" w:ascii="Times New Roman" w:hAnsi="Times New Roman" w:eastAsia="仿宋_GB2312" w:cs="Times New Roman"/>
          <w:color w:val="000000"/>
          <w:kern w:val="2"/>
          <w:sz w:val="32"/>
          <w:szCs w:val="32"/>
          <w:lang w:val="en-US" w:eastAsia="zh-CN" w:bidi="ar-SA"/>
        </w:rPr>
        <w:t>人（纳入本单位部门预算在编在岗统发</w:t>
      </w:r>
      <w:r>
        <w:rPr>
          <w:rFonts w:hint="eastAsia" w:ascii="Times New Roman" w:hAnsi="Times New Roman" w:eastAsia="仿宋_GB2312" w:cs="Times New Roman"/>
          <w:color w:val="000000"/>
          <w:kern w:val="2"/>
          <w:sz w:val="32"/>
          <w:szCs w:val="32"/>
          <w:lang w:val="en-US" w:eastAsia="zh-CN" w:bidi="ar-SA"/>
        </w:rPr>
        <w:t>22</w:t>
      </w:r>
      <w:r>
        <w:rPr>
          <w:rFonts w:hint="default" w:ascii="Times New Roman" w:hAnsi="Times New Roman" w:eastAsia="仿宋_GB2312" w:cs="Times New Roman"/>
          <w:color w:val="000000"/>
          <w:kern w:val="2"/>
          <w:sz w:val="32"/>
          <w:szCs w:val="32"/>
          <w:lang w:val="en-US" w:eastAsia="zh-CN" w:bidi="ar-SA"/>
        </w:rPr>
        <w:t>人），劳务派遣人员</w:t>
      </w:r>
      <w:r>
        <w:rPr>
          <w:rFonts w:hint="eastAsia" w:ascii="Times New Roman" w:hAnsi="Times New Roman" w:eastAsia="仿宋_GB2312" w:cs="Times New Roman"/>
          <w:color w:val="000000"/>
          <w:kern w:val="2"/>
          <w:sz w:val="32"/>
          <w:szCs w:val="32"/>
          <w:lang w:val="en-US" w:eastAsia="zh-CN" w:bidi="ar-SA"/>
        </w:rPr>
        <w:t>2</w:t>
      </w:r>
      <w:r>
        <w:rPr>
          <w:rFonts w:hint="default" w:ascii="Times New Roman" w:hAnsi="Times New Roman" w:eastAsia="仿宋_GB2312" w:cs="Times New Roman"/>
          <w:color w:val="000000"/>
          <w:kern w:val="2"/>
          <w:sz w:val="32"/>
          <w:szCs w:val="32"/>
          <w:lang w:val="en-US" w:eastAsia="zh-CN" w:bidi="ar-SA"/>
        </w:rPr>
        <w:t>人。内设机构有：残疾人劳动就业服务所、康复</w:t>
      </w:r>
      <w:r>
        <w:rPr>
          <w:rFonts w:hint="eastAsia" w:ascii="Times New Roman" w:hAnsi="Times New Roman" w:eastAsia="仿宋_GB2312" w:cs="Times New Roman"/>
          <w:color w:val="000000"/>
          <w:kern w:val="2"/>
          <w:sz w:val="32"/>
          <w:szCs w:val="32"/>
          <w:lang w:val="en-US" w:eastAsia="zh-CN" w:bidi="ar-SA"/>
        </w:rPr>
        <w:t>维权</w:t>
      </w:r>
      <w:r>
        <w:rPr>
          <w:rFonts w:hint="default" w:ascii="Times New Roman" w:hAnsi="Times New Roman" w:eastAsia="仿宋_GB2312" w:cs="Times New Roman"/>
          <w:color w:val="000000"/>
          <w:kern w:val="2"/>
          <w:sz w:val="32"/>
          <w:szCs w:val="32"/>
          <w:lang w:val="en-US" w:eastAsia="zh-CN" w:bidi="ar-SA"/>
        </w:rPr>
        <w:t>股、</w:t>
      </w:r>
      <w:r>
        <w:rPr>
          <w:rFonts w:hint="eastAsia" w:ascii="Times New Roman" w:hAnsi="Times New Roman" w:eastAsia="仿宋_GB2312" w:cs="Times New Roman"/>
          <w:color w:val="000000"/>
          <w:kern w:val="2"/>
          <w:sz w:val="32"/>
          <w:szCs w:val="32"/>
          <w:lang w:val="en-US" w:eastAsia="zh-CN" w:bidi="ar-SA"/>
        </w:rPr>
        <w:t>教育</w:t>
      </w:r>
      <w:r>
        <w:rPr>
          <w:rFonts w:hint="default" w:ascii="Times New Roman" w:hAnsi="Times New Roman" w:eastAsia="仿宋_GB2312" w:cs="Times New Roman"/>
          <w:color w:val="000000"/>
          <w:kern w:val="2"/>
          <w:sz w:val="32"/>
          <w:szCs w:val="32"/>
          <w:lang w:val="en-US" w:eastAsia="zh-CN" w:bidi="ar-SA"/>
        </w:rPr>
        <w:t>就业股、办公室、办证大厅。主要职责：代表残疾人共同利益，维护残疾人合法权益，团结教育残疾人，为残疾人服务，履行法律赋予的职责。</w:t>
      </w:r>
    </w:p>
    <w:p>
      <w:pPr>
        <w:pStyle w:val="13"/>
        <w:keepNext w:val="0"/>
        <w:keepLines w:val="0"/>
        <w:pageBreakBefore w:val="0"/>
        <w:widowControl/>
        <w:numPr>
          <w:ilvl w:val="0"/>
          <w:numId w:val="2"/>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基本支出情况</w:t>
      </w:r>
    </w:p>
    <w:p>
      <w:pPr>
        <w:pStyle w:val="13"/>
        <w:keepNext w:val="0"/>
        <w:keepLines w:val="0"/>
        <w:pageBreakBefore w:val="0"/>
        <w:widowControl/>
        <w:numPr>
          <w:ilvl w:val="0"/>
          <w:numId w:val="0"/>
        </w:numPr>
        <w:kinsoku/>
        <w:wordWrap/>
        <w:overflowPunct/>
        <w:topLinePunct w:val="0"/>
        <w:autoSpaceDE/>
        <w:autoSpaceDN/>
        <w:bidi w:val="0"/>
        <w:adjustRightInd/>
        <w:snapToGrid/>
        <w:spacing w:line="610" w:lineRule="exact"/>
        <w:ind w:leftChars="200"/>
        <w:jc w:val="both"/>
        <w:textAlignment w:val="auto"/>
        <w:rPr>
          <w:rFonts w:hint="default"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　2022年基本支出346.4万元。（其中：工资福利性支出230.9万元，公用经费115.5万元）。为保障单位正常运转而发生的各项费用支出 ，包括基本工资、津贴补贴、绩效工资、社会保障缴费等人员经费和办公费、差旅费、水电费、租赁费、公务接待费等公用经费。公用经费均按财政部门要求进行使用和管理。其中，“三公”经费的使用和管理严格规范，接待费支出完全按照省市县关于公务接待的有关文件执行。2022年三公经费情况：公务接待支出0.93万元， 比2021年0.78万元增加0.15万元。</w:t>
      </w:r>
    </w:p>
    <w:p>
      <w:pPr>
        <w:pStyle w:val="13"/>
        <w:keepNext w:val="0"/>
        <w:keepLines w:val="0"/>
        <w:pageBreakBefore w:val="0"/>
        <w:widowControl/>
        <w:numPr>
          <w:ilvl w:val="0"/>
          <w:numId w:val="2"/>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项目支出情况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 w:lineRule="atLeast"/>
        <w:ind w:left="0" w:right="0" w:firstLine="0"/>
        <w:jc w:val="both"/>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1、项目资金（包括财政资金、</w:t>
      </w:r>
      <w:r>
        <w:rPr>
          <w:rFonts w:hint="eastAsia" w:eastAsia="仿宋_GB2312" w:cs="Times New Roman"/>
          <w:kern w:val="2"/>
          <w:sz w:val="32"/>
          <w:szCs w:val="32"/>
          <w:lang w:val="en-US" w:eastAsia="zh-CN" w:bidi="ar-SA"/>
        </w:rPr>
        <w:t>上级资金</w:t>
      </w:r>
      <w:r>
        <w:rPr>
          <w:rFonts w:hint="eastAsia" w:ascii="Times New Roman" w:hAnsi="Times New Roman" w:eastAsia="仿宋_GB2312" w:cs="Times New Roman"/>
          <w:kern w:val="2"/>
          <w:sz w:val="32"/>
          <w:szCs w:val="32"/>
          <w:lang w:val="en-US" w:eastAsia="zh-CN" w:bidi="ar-SA"/>
        </w:rPr>
        <w:t>等）安排落实、总投入等情况分析。</w:t>
      </w:r>
    </w:p>
    <w:p>
      <w:pPr>
        <w:keepNext w:val="0"/>
        <w:keepLines w:val="0"/>
        <w:pageBreakBefore w:val="0"/>
        <w:widowControl/>
        <w:kinsoku/>
        <w:wordWrap/>
        <w:overflowPunct/>
        <w:topLinePunct w:val="0"/>
        <w:autoSpaceDE/>
        <w:autoSpaceDN/>
        <w:bidi w:val="0"/>
        <w:adjustRightInd/>
        <w:snapToGrid/>
        <w:spacing w:line="610" w:lineRule="exact"/>
        <w:ind w:firstLine="480" w:firstLineChars="200"/>
        <w:jc w:val="both"/>
        <w:textAlignment w:val="auto"/>
        <w:rPr>
          <w:rFonts w:hint="eastAsia" w:ascii="Times New Roman" w:hAnsi="Times New Roman" w:eastAsia="仿宋_GB2312" w:cs="Times New Roman"/>
          <w:sz w:val="32"/>
          <w:szCs w:val="32"/>
        </w:rPr>
      </w:pPr>
      <w:r>
        <w:rPr>
          <w:rFonts w:hint="eastAsia" w:ascii="微软雅黑" w:hAnsi="微软雅黑" w:eastAsia="微软雅黑" w:cs="微软雅黑"/>
          <w:i w:val="0"/>
          <w:iCs w:val="0"/>
          <w:caps w:val="0"/>
          <w:color w:val="333333"/>
          <w:spacing w:val="0"/>
          <w:sz w:val="24"/>
          <w:szCs w:val="24"/>
        </w:rPr>
        <w:t>　</w:t>
      </w:r>
      <w:r>
        <w:rPr>
          <w:rFonts w:hint="eastAsia" w:ascii="Times New Roman" w:hAnsi="Times New Roman" w:eastAsia="仿宋_GB2312" w:cs="Times New Roman"/>
          <w:sz w:val="32"/>
          <w:szCs w:val="32"/>
        </w:rPr>
        <w:t>　2022年项目支出</w:t>
      </w:r>
      <w:r>
        <w:rPr>
          <w:rFonts w:hint="eastAsia" w:eastAsia="仿宋_GB2312" w:cs="Times New Roman"/>
          <w:sz w:val="32"/>
          <w:szCs w:val="32"/>
          <w:lang w:val="en-US" w:eastAsia="zh-CN"/>
        </w:rPr>
        <w:t>464.8</w:t>
      </w:r>
      <w:r>
        <w:rPr>
          <w:rFonts w:hint="eastAsia" w:ascii="Times New Roman" w:hAnsi="Times New Roman" w:eastAsia="仿宋_GB2312" w:cs="Times New Roman"/>
          <w:sz w:val="32"/>
          <w:szCs w:val="32"/>
        </w:rPr>
        <w:t>万元，其中：</w:t>
      </w:r>
      <w:r>
        <w:rPr>
          <w:rFonts w:hint="eastAsia" w:eastAsia="仿宋_GB2312" w:cs="Times New Roman"/>
          <w:sz w:val="32"/>
          <w:szCs w:val="32"/>
          <w:lang w:val="en-US" w:eastAsia="zh-CN"/>
        </w:rPr>
        <w:t>一般公共服务支</w:t>
      </w:r>
      <w:r>
        <w:rPr>
          <w:rFonts w:hint="eastAsia" w:ascii="Times New Roman" w:hAnsi="Times New Roman" w:eastAsia="仿宋_GB2312" w:cs="Times New Roman"/>
          <w:sz w:val="32"/>
          <w:szCs w:val="32"/>
        </w:rPr>
        <w:t>出（</w:t>
      </w:r>
      <w:r>
        <w:rPr>
          <w:rFonts w:hint="eastAsia" w:eastAsia="仿宋_GB2312" w:cs="Times New Roman"/>
          <w:sz w:val="32"/>
          <w:szCs w:val="32"/>
          <w:lang w:val="en-US" w:eastAsia="zh-CN"/>
        </w:rPr>
        <w:t>行政工作</w:t>
      </w:r>
      <w:r>
        <w:rPr>
          <w:rFonts w:hint="eastAsia" w:ascii="Times New Roman" w:hAnsi="Times New Roman" w:eastAsia="仿宋_GB2312" w:cs="Times New Roman"/>
          <w:sz w:val="32"/>
          <w:szCs w:val="32"/>
        </w:rPr>
        <w:t>经费、</w:t>
      </w:r>
      <w:r>
        <w:rPr>
          <w:rFonts w:hint="eastAsia" w:eastAsia="仿宋_GB2312" w:cs="Times New Roman"/>
          <w:sz w:val="32"/>
          <w:szCs w:val="32"/>
          <w:lang w:val="en-US" w:eastAsia="zh-CN"/>
        </w:rPr>
        <w:t>争项争资工作经</w:t>
      </w:r>
      <w:r>
        <w:rPr>
          <w:rFonts w:hint="eastAsia" w:ascii="Times New Roman" w:hAnsi="Times New Roman" w:eastAsia="仿宋_GB2312" w:cs="Times New Roman"/>
          <w:sz w:val="32"/>
          <w:szCs w:val="32"/>
        </w:rPr>
        <w:t>费、其他商品和服务支出）</w:t>
      </w:r>
      <w:r>
        <w:rPr>
          <w:rFonts w:hint="eastAsia" w:eastAsia="仿宋_GB2312" w:cs="Times New Roman"/>
          <w:sz w:val="32"/>
          <w:szCs w:val="32"/>
          <w:lang w:val="en-US" w:eastAsia="zh-CN"/>
        </w:rPr>
        <w:t>11.96</w:t>
      </w:r>
      <w:r>
        <w:rPr>
          <w:rFonts w:hint="eastAsia" w:ascii="Times New Roman" w:hAnsi="Times New Roman" w:eastAsia="仿宋_GB2312" w:cs="Times New Roman"/>
          <w:sz w:val="32"/>
          <w:szCs w:val="32"/>
        </w:rPr>
        <w:t>万元，</w:t>
      </w:r>
      <w:r>
        <w:rPr>
          <w:rFonts w:hint="eastAsia" w:eastAsia="仿宋_GB2312" w:cs="Times New Roman"/>
          <w:sz w:val="32"/>
          <w:szCs w:val="32"/>
          <w:lang w:val="en-US" w:eastAsia="zh-CN"/>
        </w:rPr>
        <w:t>社会保障和就业</w:t>
      </w:r>
      <w:r>
        <w:rPr>
          <w:rFonts w:hint="eastAsia" w:ascii="Times New Roman" w:hAnsi="Times New Roman" w:eastAsia="仿宋_GB2312" w:cs="Times New Roman"/>
          <w:sz w:val="32"/>
          <w:szCs w:val="32"/>
        </w:rPr>
        <w:t>支出（</w:t>
      </w:r>
      <w:r>
        <w:rPr>
          <w:rFonts w:hint="eastAsia" w:eastAsia="仿宋_GB2312" w:cs="Times New Roman"/>
          <w:sz w:val="32"/>
          <w:szCs w:val="32"/>
          <w:lang w:val="en-US" w:eastAsia="zh-CN"/>
        </w:rPr>
        <w:t>残疾人事业资金</w:t>
      </w:r>
      <w:r>
        <w:rPr>
          <w:rFonts w:hint="eastAsia" w:ascii="Times New Roman" w:hAnsi="Times New Roman" w:eastAsia="仿宋_GB2312" w:cs="Times New Roman"/>
          <w:sz w:val="32"/>
          <w:szCs w:val="32"/>
        </w:rPr>
        <w:t>、</w:t>
      </w:r>
      <w:r>
        <w:rPr>
          <w:rFonts w:hint="eastAsia" w:eastAsia="仿宋_GB2312" w:cs="Times New Roman"/>
          <w:sz w:val="32"/>
          <w:szCs w:val="32"/>
          <w:lang w:val="en-US" w:eastAsia="zh-CN"/>
        </w:rPr>
        <w:t>残疾儿童康复救助、残疾人扶助专项资金</w:t>
      </w:r>
      <w:r>
        <w:rPr>
          <w:rFonts w:hint="eastAsia" w:ascii="Times New Roman" w:hAnsi="Times New Roman" w:eastAsia="仿宋_GB2312" w:cs="Times New Roman"/>
          <w:sz w:val="32"/>
          <w:szCs w:val="32"/>
        </w:rPr>
        <w:t>）</w:t>
      </w:r>
      <w:r>
        <w:rPr>
          <w:rFonts w:hint="eastAsia" w:eastAsia="仿宋_GB2312" w:cs="Times New Roman"/>
          <w:sz w:val="32"/>
          <w:szCs w:val="32"/>
          <w:lang w:val="en-US" w:eastAsia="zh-CN"/>
        </w:rPr>
        <w:t>245.64</w:t>
      </w:r>
      <w:r>
        <w:rPr>
          <w:rFonts w:hint="eastAsia" w:ascii="Times New Roman" w:hAnsi="Times New Roman" w:eastAsia="仿宋_GB2312" w:cs="Times New Roman"/>
          <w:sz w:val="32"/>
          <w:szCs w:val="32"/>
        </w:rPr>
        <w:t>万元</w:t>
      </w:r>
      <w:r>
        <w:rPr>
          <w:rFonts w:hint="eastAsia" w:eastAsia="仿宋_GB2312" w:cs="Times New Roman"/>
          <w:sz w:val="32"/>
          <w:szCs w:val="32"/>
          <w:lang w:eastAsia="zh-CN"/>
        </w:rPr>
        <w:t>、</w:t>
      </w:r>
      <w:r>
        <w:rPr>
          <w:rFonts w:hint="eastAsia" w:eastAsia="仿宋_GB2312" w:cs="Times New Roman"/>
          <w:sz w:val="32"/>
          <w:szCs w:val="32"/>
          <w:lang w:val="en-US" w:eastAsia="zh-CN"/>
        </w:rPr>
        <w:t>其他支出（用于社会福利的彩金、残疾人事业补助资金）207.2万元</w:t>
      </w:r>
      <w:r>
        <w:rPr>
          <w:rFonts w:hint="eastAsia" w:ascii="Times New Roman" w:hAnsi="Times New Roman" w:eastAsia="仿宋_GB2312" w:cs="Times New Roman"/>
          <w:sz w:val="32"/>
          <w:szCs w:val="32"/>
        </w:rPr>
        <w:t>。</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2、项目资金（主要指财政资金）实际使用情况分析。</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专项业务费的使用，严格按照县财政局有关要求进行安排。2022年专项经费支出</w:t>
      </w:r>
      <w:r>
        <w:rPr>
          <w:rFonts w:hint="eastAsia" w:eastAsia="仿宋_GB2312" w:cs="Times New Roman"/>
          <w:sz w:val="32"/>
          <w:szCs w:val="32"/>
          <w:lang w:val="en-US" w:eastAsia="zh-CN"/>
        </w:rPr>
        <w:t>464.8</w:t>
      </w:r>
      <w:r>
        <w:rPr>
          <w:rFonts w:hint="eastAsia" w:ascii="Times New Roman" w:hAnsi="Times New Roman" w:eastAsia="仿宋_GB2312" w:cs="Times New Roman"/>
          <w:sz w:val="32"/>
          <w:szCs w:val="32"/>
        </w:rPr>
        <w:t>万元，主要用于残疾人康复、托养、培训、无障碍改造、就业、助学等方面。</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3、项目资金管理情况分析，主要包括管理制度、办法的制订及执行情况。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县残联根据上级相关政策和单位实际情况，进一步完善了财经各项规章制度，严格按照专项资金的使用范围、禁止事项、管理和监督事项开展落实，坚持用制度规范专项资金的管理、使用。在资金管理使用上，严格按照各项专项资金使用用途安排该专项资金的支出使用，严格遵守“专款专用”原则，严格落实专项资金的申拨、使用审批手续，充分发挥资金使用效益。</w:t>
      </w:r>
    </w:p>
    <w:p>
      <w:pPr>
        <w:pStyle w:val="13"/>
        <w:keepNext w:val="0"/>
        <w:keepLines w:val="0"/>
        <w:pageBreakBefore w:val="0"/>
        <w:widowControl/>
        <w:numPr>
          <w:ilvl w:val="0"/>
          <w:numId w:val="0"/>
        </w:numPr>
        <w:kinsoku/>
        <w:wordWrap/>
        <w:overflowPunct/>
        <w:topLinePunct w:val="0"/>
        <w:autoSpaceDE/>
        <w:autoSpaceDN/>
        <w:bidi w:val="0"/>
        <w:adjustRightInd/>
        <w:snapToGrid/>
        <w:spacing w:line="610" w:lineRule="exact"/>
        <w:ind w:leftChars="200"/>
        <w:jc w:val="both"/>
        <w:textAlignment w:val="auto"/>
        <w:rPr>
          <w:rFonts w:hint="default" w:ascii="Times New Roman" w:hAnsi="Times New Roman" w:eastAsia="黑体" w:cs="Times New Roman"/>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keepNext w:val="0"/>
        <w:keepLines w:val="0"/>
        <w:pageBreakBefore w:val="0"/>
        <w:widowControl/>
        <w:kinsoku/>
        <w:wordWrap/>
        <w:overflowPunct/>
        <w:topLinePunct w:val="0"/>
        <w:autoSpaceDE/>
        <w:autoSpaceDN/>
        <w:bidi w:val="0"/>
        <w:adjustRightInd/>
        <w:snapToGrid/>
        <w:spacing w:line="610" w:lineRule="exact"/>
        <w:ind w:firstLine="480" w:firstLineChars="200"/>
        <w:jc w:val="both"/>
        <w:textAlignment w:val="auto"/>
        <w:rPr>
          <w:rFonts w:hint="default" w:ascii="Times New Roman" w:hAnsi="Times New Roman" w:eastAsia="仿宋_GB2312" w:cs="Times New Roman"/>
          <w:color w:val="000000"/>
          <w:sz w:val="32"/>
          <w:szCs w:val="32"/>
        </w:rPr>
      </w:pPr>
      <w:r>
        <w:rPr>
          <w:rFonts w:ascii="微软雅黑" w:hAnsi="微软雅黑" w:eastAsia="微软雅黑" w:cs="微软雅黑"/>
          <w:i w:val="0"/>
          <w:iCs w:val="0"/>
          <w:caps w:val="0"/>
          <w:color w:val="333333"/>
          <w:spacing w:val="0"/>
          <w:sz w:val="24"/>
          <w:szCs w:val="24"/>
        </w:rPr>
        <w:t>　</w:t>
      </w:r>
      <w:r>
        <w:rPr>
          <w:rFonts w:hint="default" w:ascii="Times New Roman" w:hAnsi="Times New Roman" w:eastAsia="仿宋_GB2312" w:cs="Times New Roman"/>
          <w:color w:val="000000"/>
          <w:sz w:val="32"/>
          <w:szCs w:val="32"/>
        </w:rPr>
        <w:t>2022年县残联工作坚持以习近平新时代中国特色社会主义思想为指导，深入学习贯彻党的二十大精神，坚决落实习近平总书记考察湖南、考察郴州时作出的“要坚持以人民为中心的发展思想，着力办好群众各项‘急难愁盼’问题”重要指示精神，以“巩固脱贫成果，助力乡村振兴”为主线，坚持“固本、强基、聚力、提效”工作要求，在县委、县政府的坚强领导下，遵循新时代党的建设总要求，全面贯彻落实党建工作各项决策部署，积极发挥党建引领作用，切实增强了残疾人的幸福感和获得感，为促进</w:t>
      </w:r>
      <w:r>
        <w:rPr>
          <w:rFonts w:hint="eastAsia" w:eastAsia="仿宋_GB2312" w:cs="Times New Roman"/>
          <w:color w:val="000000"/>
          <w:sz w:val="32"/>
          <w:szCs w:val="32"/>
          <w:lang w:val="en-US" w:eastAsia="zh-CN"/>
        </w:rPr>
        <w:t>华容</w:t>
      </w:r>
      <w:r>
        <w:rPr>
          <w:rFonts w:hint="default" w:ascii="Times New Roman" w:hAnsi="Times New Roman" w:eastAsia="仿宋_GB2312" w:cs="Times New Roman"/>
          <w:color w:val="000000"/>
          <w:sz w:val="32"/>
          <w:szCs w:val="32"/>
        </w:rPr>
        <w:t>残疾人事业高质量发展提供了保证。</w:t>
      </w:r>
    </w:p>
    <w:p>
      <w:pPr>
        <w:pStyle w:val="13"/>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keepNext w:val="0"/>
        <w:keepLines w:val="0"/>
        <w:pageBreakBefore w:val="0"/>
        <w:widowControl/>
        <w:kinsoku/>
        <w:wordWrap/>
        <w:overflowPunct/>
        <w:topLinePunct w:val="0"/>
        <w:autoSpaceDE/>
        <w:autoSpaceDN/>
        <w:bidi w:val="0"/>
        <w:adjustRightInd/>
        <w:snapToGrid/>
        <w:spacing w:line="610" w:lineRule="exact"/>
        <w:ind w:firstLine="480" w:firstLineChars="200"/>
        <w:jc w:val="both"/>
        <w:textAlignment w:val="auto"/>
        <w:rPr>
          <w:rFonts w:hint="default" w:ascii="Times New Roman" w:hAnsi="Times New Roman" w:eastAsia="仿宋_GB2312" w:cs="Times New Roman"/>
          <w:color w:val="000000"/>
          <w:sz w:val="32"/>
          <w:szCs w:val="32"/>
        </w:rPr>
      </w:pPr>
      <w:r>
        <w:rPr>
          <w:rFonts w:ascii="微软雅黑" w:hAnsi="微软雅黑" w:eastAsia="微软雅黑" w:cs="微软雅黑"/>
          <w:i w:val="0"/>
          <w:iCs w:val="0"/>
          <w:caps w:val="0"/>
          <w:color w:val="333333"/>
          <w:spacing w:val="0"/>
          <w:sz w:val="24"/>
          <w:szCs w:val="24"/>
        </w:rPr>
        <w:t>　</w:t>
      </w:r>
      <w:r>
        <w:rPr>
          <w:rFonts w:hint="default" w:ascii="Times New Roman" w:hAnsi="Times New Roman" w:eastAsia="仿宋_GB2312" w:cs="Times New Roman"/>
          <w:color w:val="000000"/>
          <w:sz w:val="32"/>
          <w:szCs w:val="32"/>
        </w:rPr>
        <w:t>虽然县残联列入部门预算管理，但是由于县财政资金调度非常困难，用款额度相当紧张，导致上级专项资金拨付严重滞后，维持工作正常运转都难以保障。我县有持证残疾人</w:t>
      </w:r>
      <w:r>
        <w:rPr>
          <w:rFonts w:hint="eastAsia" w:eastAsia="仿宋_GB2312" w:cs="Times New Roman"/>
          <w:color w:val="000000"/>
          <w:sz w:val="32"/>
          <w:szCs w:val="32"/>
          <w:lang w:val="en-US" w:eastAsia="zh-CN"/>
        </w:rPr>
        <w:t>21757</w:t>
      </w:r>
      <w:r>
        <w:rPr>
          <w:rFonts w:hint="default" w:ascii="Times New Roman" w:hAnsi="Times New Roman" w:eastAsia="仿宋_GB2312" w:cs="Times New Roman"/>
          <w:color w:val="000000"/>
          <w:sz w:val="32"/>
          <w:szCs w:val="32"/>
        </w:rPr>
        <w:t>人，大部分残疾人的生活水平还不高，现有的资金及财政下达的报账额度无法满足残疾人各方面的需要，残疾人的各项服务设施还需进一步完善，今后需进一步加强资金管理，厉行节约，发挥资金的最大效益，为残疾人提供最好的服务。</w:t>
      </w:r>
    </w:p>
    <w:p>
      <w:pPr>
        <w:keepNext w:val="0"/>
        <w:keepLines w:val="0"/>
        <w:pageBreakBefore w:val="0"/>
        <w:widowControl/>
        <w:numPr>
          <w:ilvl w:val="0"/>
          <w:numId w:val="3"/>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下一步改进措施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 w:lineRule="atLeast"/>
        <w:ind w:left="0" w:right="0" w:firstLine="640" w:firstLineChars="200"/>
        <w:jc w:val="both"/>
        <w:rPr>
          <w:rFonts w:hint="default"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一是建议加大财政预算经费投入，足额保障报账额度；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 w:lineRule="atLeast"/>
        <w:ind w:left="0" w:right="0" w:firstLine="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　　二是补足工作经费，完善基础设施；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 w:lineRule="atLeast"/>
        <w:ind w:left="0" w:right="0" w:firstLine="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　　三是加大对乡村两级基层残疾人组织的扶持力度。</w:t>
      </w:r>
    </w:p>
    <w:p>
      <w:pPr>
        <w:pStyle w:val="2"/>
        <w:numPr>
          <w:ilvl w:val="0"/>
          <w:numId w:val="0"/>
        </w:numPr>
        <w:rPr>
          <w:rFonts w:hint="default"/>
        </w:rPr>
      </w:pPr>
    </w:p>
    <w:p>
      <w:pPr>
        <w:keepNext w:val="0"/>
        <w:keepLines w:val="0"/>
        <w:pageBreakBefore w:val="0"/>
        <w:widowControl/>
        <w:numPr>
          <w:ilvl w:val="0"/>
          <w:numId w:val="3"/>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其他需要说明的情况</w:t>
      </w:r>
    </w:p>
    <w:p>
      <w:pPr>
        <w:pStyle w:val="2"/>
        <w:numPr>
          <w:ilvl w:val="0"/>
          <w:numId w:val="0"/>
        </w:numPr>
        <w:ind w:leftChars="200" w:firstLine="320" w:firstLineChars="100"/>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无</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60" w:lineRule="exact"/>
        <w:ind w:firstLine="0" w:firstLineChars="0"/>
        <w:jc w:val="left"/>
        <w:textAlignment w:val="auto"/>
        <w:outlineLvl w:val="0"/>
        <w:rPr>
          <w:rFonts w:hint="eastAsia" w:ascii="仿宋_GB2312" w:eastAsia="仿宋_GB2312"/>
          <w:sz w:val="32"/>
          <w:szCs w:val="32"/>
          <w:lang w:val="en-US" w:eastAsia="zh-CN"/>
        </w:rPr>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7"/>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7</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97</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2"/>
        <w:rPr>
          <w:rFonts w:hint="eastAsia"/>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7"/>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残疾人事业补助资金</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华容县残疾人联合会</w:t>
            </w: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华容县残疾人联合会</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207.2</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207.2</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207.2</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207.2</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trHeight w:val="639"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目标1：切实开展残疾人康复工作；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目标2：切实开展残疾人教育就业工作；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目标3：积极开展扶残助残及残疾人文体工作；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目标4：完成县委县政府交办的各项工作；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Times New Roman" w:hAnsi="Times New Roman" w:eastAsia="仿宋_GB2312" w:cs="Times New Roman"/>
                <w:color w:val="000000"/>
                <w:sz w:val="20"/>
                <w:szCs w:val="20"/>
              </w:rPr>
            </w:pP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0" w:lineRule="atLeast"/>
              <w:ind w:left="0" w:right="0" w:rightChars="0"/>
              <w:jc w:val="left"/>
              <w:textAlignment w:val="auto"/>
              <w:rPr>
                <w:rFonts w:hint="eastAsia"/>
                <w:lang w:val="en-US" w:eastAsia="zh-CN"/>
              </w:rPr>
            </w:pPr>
            <w:r>
              <w:rPr>
                <w:rFonts w:hint="eastAsia"/>
                <w:lang w:val="en-US" w:eastAsia="zh-CN"/>
              </w:rPr>
              <w:t>1、对138名0-6岁残疾儿童与14名7-14岁残疾儿童实施抢救性康复；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0" w:lineRule="atLeast"/>
              <w:ind w:left="0" w:right="0" w:rightChars="0"/>
              <w:jc w:val="left"/>
              <w:textAlignment w:val="auto"/>
              <w:rPr>
                <w:rFonts w:hint="eastAsia"/>
                <w:lang w:val="en-US" w:eastAsia="zh-CN"/>
              </w:rPr>
            </w:pPr>
            <w:r>
              <w:rPr>
                <w:rFonts w:hint="eastAsia"/>
                <w:lang w:val="en-US" w:eastAsia="zh-CN"/>
              </w:rPr>
              <w:t>2、为45名残疾人免费装配假肢；</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0" w:lineRule="atLeast"/>
              <w:ind w:left="0" w:right="0" w:rightChars="0"/>
              <w:jc w:val="left"/>
              <w:textAlignment w:val="auto"/>
              <w:rPr>
                <w:rFonts w:hint="eastAsia"/>
                <w:lang w:val="en-US" w:eastAsia="zh-CN"/>
              </w:rPr>
            </w:pPr>
            <w:r>
              <w:rPr>
                <w:rFonts w:hint="eastAsia"/>
                <w:lang w:val="en-US" w:eastAsia="zh-CN"/>
              </w:rPr>
              <w:t>3、向1000名残疾人赠送辅助器具；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0" w:lineRule="atLeast"/>
              <w:ind w:left="0" w:right="0" w:rightChars="0"/>
              <w:jc w:val="left"/>
              <w:textAlignment w:val="auto"/>
              <w:rPr>
                <w:rFonts w:hint="eastAsia"/>
                <w:lang w:val="en-US" w:eastAsia="zh-CN"/>
              </w:rPr>
            </w:pPr>
            <w:r>
              <w:rPr>
                <w:rFonts w:hint="eastAsia"/>
                <w:lang w:val="en-US" w:eastAsia="zh-CN"/>
              </w:rPr>
              <w:t>4、为30名低视力残疾人适配低视力镜；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0" w:lineRule="atLeast"/>
              <w:ind w:left="0" w:right="0" w:rightChars="0"/>
              <w:jc w:val="left"/>
              <w:textAlignment w:val="auto"/>
              <w:rPr>
                <w:rFonts w:hint="eastAsia"/>
                <w:lang w:val="en-US" w:eastAsia="zh-CN"/>
              </w:rPr>
            </w:pPr>
            <w:r>
              <w:rPr>
                <w:rFonts w:hint="eastAsia"/>
                <w:lang w:val="en-US" w:eastAsia="zh-CN"/>
              </w:rPr>
              <w:t>5、为75名贫困残疾人家庭进行无障碍改造；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0" w:lineRule="atLeast"/>
              <w:ind w:left="0" w:right="0" w:rightChars="0"/>
              <w:jc w:val="left"/>
              <w:textAlignment w:val="auto"/>
              <w:rPr>
                <w:rFonts w:hint="eastAsia"/>
                <w:lang w:val="en-US" w:eastAsia="zh-CN"/>
              </w:rPr>
            </w:pPr>
            <w:r>
              <w:rPr>
                <w:rFonts w:hint="eastAsia"/>
                <w:lang w:val="en-US" w:eastAsia="zh-CN"/>
              </w:rPr>
              <w:t>6、向466名残疾人发放燃油补贴；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lang w:val="en-US" w:eastAsia="zh-CN"/>
              </w:rPr>
            </w:pPr>
            <w:r>
              <w:rPr>
                <w:rFonts w:hint="eastAsia"/>
                <w:lang w:val="en-US" w:eastAsia="zh-CN"/>
              </w:rPr>
              <w:t>7、组织170名残疾人参加就业培训；</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lang w:val="en-US" w:eastAsia="zh-CN"/>
              </w:rPr>
            </w:pPr>
            <w:r>
              <w:rPr>
                <w:rFonts w:hint="eastAsia"/>
                <w:lang w:val="en-US" w:eastAsia="zh-CN"/>
              </w:rPr>
              <w:t>8、对17名残疾人给予创业扶持；</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lang w:val="en-US" w:eastAsia="zh-CN"/>
              </w:rPr>
            </w:pPr>
            <w:r>
              <w:rPr>
                <w:rFonts w:hint="eastAsia"/>
                <w:lang w:val="en-US" w:eastAsia="zh-CN"/>
              </w:rPr>
              <w:t>9、对残疾人学生及残疾人家族学生给予助学（共101人，其中大学生45人，高中生56人）；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lang w:val="en-US" w:eastAsia="zh-CN"/>
              </w:rPr>
            </w:pPr>
            <w:r>
              <w:rPr>
                <w:rFonts w:hint="eastAsia"/>
                <w:lang w:val="en-US" w:eastAsia="zh-CN"/>
              </w:rPr>
              <w:t>10、向90名残疾人申报者发放阳光增收扶持与培训；</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lang w:val="en-US" w:eastAsia="zh-CN"/>
              </w:rPr>
            </w:pPr>
            <w:r>
              <w:rPr>
                <w:rFonts w:hint="eastAsia"/>
                <w:lang w:val="en-US" w:eastAsia="zh-CN"/>
              </w:rPr>
              <w:t>11、给予1名残疾人电商补助；</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lang w:val="en-US" w:eastAsia="zh-CN"/>
              </w:rPr>
            </w:pPr>
            <w:r>
              <w:rPr>
                <w:rFonts w:hint="eastAsia"/>
                <w:lang w:val="en-US" w:eastAsia="zh-CN"/>
              </w:rPr>
              <w:t>12、向220名贫困残疾人给予居家托养；</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0" w:lineRule="atLeast"/>
              <w:ind w:left="0" w:right="0" w:rightChars="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得到基本康复服务的残疾儿童人数</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152名</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152名</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rPr>
            </w:pPr>
            <w:r>
              <w:rPr>
                <w:rFonts w:hint="eastAsia" w:eastAsia="仿宋_GB2312" w:cs="Times New Roman"/>
                <w:color w:val="000000"/>
                <w:sz w:val="20"/>
                <w:szCs w:val="20"/>
                <w:lang w:val="en-US" w:eastAsia="zh-CN"/>
              </w:rPr>
              <w:t>补助标准执行达标率</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rPr>
            </w:pPr>
            <w:r>
              <w:rPr>
                <w:rFonts w:hint="eastAsia" w:eastAsia="仿宋_GB2312" w:cs="Times New Roman"/>
                <w:color w:val="000000"/>
                <w:sz w:val="20"/>
                <w:szCs w:val="20"/>
                <w:lang w:val="en-US" w:eastAsia="zh-CN"/>
              </w:rPr>
              <w:t>项目完成及时率</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default" w:ascii="Arial" w:hAnsi="Arial" w:eastAsia="仿宋_GB2312" w:cs="Arial"/>
                <w:color w:val="000000"/>
                <w:sz w:val="20"/>
                <w:szCs w:val="20"/>
              </w:rPr>
              <w:t>≥</w:t>
            </w:r>
            <w:r>
              <w:rPr>
                <w:rFonts w:hint="eastAsia" w:eastAsia="仿宋_GB2312" w:cs="Times New Roman"/>
                <w:color w:val="000000"/>
                <w:sz w:val="20"/>
                <w:szCs w:val="20"/>
                <w:lang w:val="en-US" w:eastAsia="zh-CN"/>
              </w:rPr>
              <w:t>90%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default" w:ascii="Arial" w:hAnsi="Arial" w:eastAsia="仿宋_GB2312" w:cs="Arial"/>
                <w:color w:val="000000"/>
                <w:sz w:val="20"/>
                <w:szCs w:val="20"/>
              </w:rPr>
              <w:t>≥</w:t>
            </w:r>
            <w:r>
              <w:rPr>
                <w:rFonts w:hint="eastAsia" w:eastAsia="仿宋_GB2312" w:cs="Times New Roman"/>
                <w:color w:val="000000"/>
                <w:sz w:val="20"/>
                <w:szCs w:val="20"/>
                <w:lang w:val="en-US" w:eastAsia="zh-CN"/>
              </w:rPr>
              <w:t>90%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rPr>
            </w:pPr>
            <w:r>
              <w:rPr>
                <w:rFonts w:hint="eastAsia" w:eastAsia="仿宋_GB2312" w:cs="Times New Roman"/>
                <w:color w:val="000000"/>
                <w:sz w:val="20"/>
                <w:szCs w:val="20"/>
                <w:lang w:val="en-US" w:eastAsia="zh-CN"/>
              </w:rPr>
              <w:t>预算总成本</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不超过预算</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达成预期指标</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经济效益</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rPr>
            </w:pPr>
            <w:r>
              <w:rPr>
                <w:rFonts w:hint="eastAsia" w:eastAsia="仿宋_GB2312" w:cs="Times New Roman"/>
                <w:color w:val="000000"/>
                <w:sz w:val="20"/>
                <w:szCs w:val="20"/>
                <w:lang w:val="en-US" w:eastAsia="zh-CN"/>
              </w:rPr>
              <w:t>残疾儿童康复服务水平</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有所提高</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有所提高</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生态效益</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宋体" w:hAnsi="宋体" w:eastAsia="宋体" w:cs="宋体"/>
                <w:i w:val="0"/>
                <w:iCs w:val="0"/>
                <w:caps w:val="0"/>
                <w:color w:val="000000"/>
                <w:spacing w:val="0"/>
                <w:sz w:val="20"/>
                <w:szCs w:val="20"/>
                <w:shd w:val="clear" w:fill="FFFFFF"/>
              </w:rPr>
              <w:t>对困难残疾人融入社会的影响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明显</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达成预期指标</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rPr>
            </w:pPr>
            <w:r>
              <w:rPr>
                <w:rFonts w:hint="eastAsia" w:eastAsia="仿宋_GB2312" w:cs="Times New Roman"/>
                <w:color w:val="000000"/>
                <w:sz w:val="20"/>
                <w:szCs w:val="20"/>
                <w:lang w:val="en-US" w:eastAsia="zh-CN"/>
              </w:rPr>
              <w:t>残疾人及其家属对残疾人康复服务的满意度</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95%</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90%</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8</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97</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rPr>
          <w:rFonts w:hint="default" w:ascii="Times New Roman" w:hAnsi="Times New Roman" w:eastAsia="仿宋_GB2312" w:cs="Times New Roman"/>
          <w:sz w:val="22"/>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rPr>
        <w:t>填表人：</w:t>
      </w:r>
      <w:r>
        <w:rPr>
          <w:rFonts w:hint="eastAsia" w:eastAsia="仿宋_GB2312" w:cs="Times New Roman"/>
          <w:sz w:val="22"/>
          <w:lang w:val="en-US" w:eastAsia="zh-CN"/>
        </w:rPr>
        <w:t>蔡洁</w:t>
      </w:r>
      <w:r>
        <w:rPr>
          <w:rFonts w:hint="default" w:ascii="Times New Roman" w:hAnsi="Times New Roman" w:eastAsia="仿宋_GB2312" w:cs="Times New Roman"/>
          <w:sz w:val="22"/>
        </w:rPr>
        <w:t xml:space="preserve">    填报日期：</w:t>
      </w:r>
      <w:r>
        <w:rPr>
          <w:rFonts w:hint="eastAsia" w:eastAsia="仿宋_GB2312" w:cs="Times New Roman"/>
          <w:sz w:val="22"/>
          <w:lang w:val="en-US" w:eastAsia="zh-CN"/>
        </w:rPr>
        <w:t>2023.7.14</w:t>
      </w:r>
      <w:r>
        <w:rPr>
          <w:rFonts w:hint="default" w:ascii="Times New Roman" w:hAnsi="Times New Roman" w:eastAsia="仿宋_GB2312" w:cs="Times New Roman"/>
          <w:sz w:val="22"/>
        </w:rPr>
        <w:t xml:space="preserve">  联系电话：</w:t>
      </w:r>
      <w:r>
        <w:rPr>
          <w:rFonts w:hint="eastAsia" w:eastAsia="仿宋_GB2312" w:cs="Times New Roman"/>
          <w:sz w:val="22"/>
          <w:lang w:val="en-US" w:eastAsia="zh-CN"/>
        </w:rPr>
        <w:t>4208636</w:t>
      </w:r>
      <w:r>
        <w:rPr>
          <w:rFonts w:hint="default" w:ascii="Times New Roman" w:hAnsi="Times New Roman" w:eastAsia="仿宋_GB2312" w:cs="Times New Roman"/>
          <w:sz w:val="22"/>
        </w:rPr>
        <w:t xml:space="preserve">   单位负责人签字：</w:t>
      </w:r>
      <w:r>
        <w:rPr>
          <w:rFonts w:hint="eastAsia" w:eastAsia="仿宋_GB2312" w:cs="Times New Roman"/>
          <w:sz w:val="22"/>
          <w:lang w:val="en-US" w:eastAsia="zh-CN"/>
        </w:rPr>
        <w:t>吴军华</w:t>
      </w:r>
      <w:r>
        <w:rPr>
          <w:rFonts w:hint="default" w:ascii="Times New Roman" w:hAnsi="Times New Roman" w:eastAsia="仿宋_GB2312" w:cs="Times New Roman"/>
          <w:sz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残疾人联合会</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eastAsia" w:eastAsia="仿宋_GB2312" w:cs="Times New Roman"/>
          <w:sz w:val="32"/>
          <w:szCs w:val="32"/>
          <w:lang w:val="en-US" w:eastAsia="zh-CN"/>
        </w:rPr>
        <w:t>县残联</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14</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bookmarkStart w:id="0" w:name="_GoBack"/>
      <w:bookmarkEnd w:id="0"/>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残疾人联合会</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default" w:eastAsia="仿宋_GB2312"/>
          <w:sz w:val="30"/>
          <w:szCs w:val="30"/>
        </w:rPr>
      </w:pPr>
      <w:r>
        <w:rPr>
          <w:rFonts w:hint="eastAsia" w:eastAsia="仿宋_GB2312"/>
          <w:sz w:val="30"/>
          <w:szCs w:val="30"/>
        </w:rPr>
        <w:t>为了全面推进预算绩效管理工作,加强财政支出管理，提高中央转移支付资金使用效益，根据</w:t>
      </w:r>
      <w:r>
        <w:rPr>
          <w:rFonts w:hint="eastAsia" w:eastAsia="仿宋_GB2312"/>
          <w:sz w:val="30"/>
          <w:szCs w:val="30"/>
          <w:lang w:val="en-US" w:eastAsia="zh-CN"/>
        </w:rPr>
        <w:t>县财政局</w:t>
      </w:r>
      <w:r>
        <w:rPr>
          <w:rFonts w:hint="eastAsia" w:eastAsia="仿宋_GB2312"/>
          <w:sz w:val="30"/>
          <w:szCs w:val="30"/>
        </w:rPr>
        <w:t>《</w:t>
      </w:r>
      <w:r>
        <w:rPr>
          <w:rFonts w:hint="eastAsia" w:eastAsia="仿宋_GB2312"/>
          <w:sz w:val="30"/>
          <w:szCs w:val="30"/>
          <w:lang w:val="en-US" w:eastAsia="zh-CN"/>
        </w:rPr>
        <w:t>关于开展2022年度财政预算支出绩效自评工作的通知</w:t>
      </w:r>
      <w:r>
        <w:rPr>
          <w:rFonts w:hint="eastAsia" w:eastAsia="仿宋_GB2312"/>
          <w:sz w:val="30"/>
          <w:szCs w:val="30"/>
        </w:rPr>
        <w:t>》（</w:t>
      </w:r>
      <w:r>
        <w:rPr>
          <w:rFonts w:hint="eastAsia" w:eastAsia="仿宋_GB2312"/>
          <w:sz w:val="30"/>
          <w:szCs w:val="30"/>
          <w:lang w:val="en-US" w:eastAsia="zh-CN"/>
        </w:rPr>
        <w:t>华财函</w:t>
      </w:r>
      <w:r>
        <w:rPr>
          <w:rFonts w:hint="eastAsia" w:eastAsia="仿宋_GB2312"/>
          <w:sz w:val="30"/>
          <w:szCs w:val="30"/>
        </w:rPr>
        <w:t>[2</w:t>
      </w:r>
      <w:r>
        <w:rPr>
          <w:rFonts w:hint="eastAsia" w:eastAsia="仿宋_GB2312"/>
          <w:sz w:val="30"/>
          <w:szCs w:val="30"/>
          <w:lang w:val="en-US" w:eastAsia="zh-CN"/>
        </w:rPr>
        <w:t>023</w:t>
      </w:r>
      <w:r>
        <w:rPr>
          <w:rFonts w:hint="eastAsia" w:eastAsia="仿宋_GB2312"/>
          <w:sz w:val="30"/>
          <w:szCs w:val="30"/>
        </w:rPr>
        <w:t>]</w:t>
      </w:r>
      <w:r>
        <w:rPr>
          <w:rFonts w:hint="eastAsia" w:eastAsia="仿宋_GB2312"/>
          <w:sz w:val="30"/>
          <w:szCs w:val="30"/>
          <w:lang w:val="en-US" w:eastAsia="zh-CN"/>
        </w:rPr>
        <w:t>63</w:t>
      </w:r>
      <w:r>
        <w:rPr>
          <w:rFonts w:hint="eastAsia" w:eastAsia="仿宋_GB2312"/>
          <w:sz w:val="30"/>
          <w:szCs w:val="30"/>
        </w:rPr>
        <w:t>号）文件通知精神，我会结合具体情况，认真组织开展了202</w:t>
      </w:r>
      <w:r>
        <w:rPr>
          <w:rFonts w:hint="eastAsia" w:eastAsia="仿宋_GB2312"/>
          <w:sz w:val="30"/>
          <w:szCs w:val="30"/>
          <w:lang w:val="en-US" w:eastAsia="zh-CN"/>
        </w:rPr>
        <w:t>2</w:t>
      </w:r>
      <w:r>
        <w:rPr>
          <w:rFonts w:hint="eastAsia" w:eastAsia="仿宋_GB2312"/>
          <w:sz w:val="30"/>
          <w:szCs w:val="30"/>
        </w:rPr>
        <w:t>年度</w:t>
      </w:r>
      <w:r>
        <w:rPr>
          <w:rFonts w:hint="eastAsia" w:eastAsia="仿宋_GB2312"/>
          <w:sz w:val="30"/>
          <w:szCs w:val="30"/>
          <w:lang w:val="en-US" w:eastAsia="zh-CN"/>
        </w:rPr>
        <w:t>县</w:t>
      </w:r>
      <w:r>
        <w:rPr>
          <w:rFonts w:hint="eastAsia" w:eastAsia="仿宋_GB2312"/>
          <w:sz w:val="30"/>
          <w:szCs w:val="30"/>
        </w:rPr>
        <w:t>残疾人联合会残疾人事业发展</w:t>
      </w:r>
      <w:r>
        <w:rPr>
          <w:rFonts w:hint="eastAsia" w:eastAsia="仿宋_GB2312"/>
          <w:sz w:val="30"/>
          <w:szCs w:val="30"/>
          <w:lang w:val="en-US" w:eastAsia="zh-CN"/>
        </w:rPr>
        <w:t>补助</w:t>
      </w:r>
      <w:r>
        <w:rPr>
          <w:rFonts w:hint="eastAsia" w:eastAsia="仿宋_GB2312"/>
          <w:sz w:val="30"/>
          <w:szCs w:val="30"/>
        </w:rPr>
        <w:t>资金绩效自评工作，现将绩效评价报告如下:</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rPr>
          <w:rFonts w:hint="eastAsia" w:eastAsia="仿宋_GB2312"/>
          <w:sz w:val="30"/>
          <w:szCs w:val="30"/>
        </w:rPr>
      </w:pPr>
      <w:r>
        <w:rPr>
          <w:rFonts w:hint="eastAsia" w:eastAsia="仿宋_GB2312"/>
          <w:sz w:val="30"/>
          <w:szCs w:val="30"/>
        </w:rPr>
        <w:t>(一)项目概况。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县共有残疾人4.5万多人，其中持证残疾人21375人。残疾人是特殊的弱势群体，他们在康复服务和生产生活上有着许多的困难和问题。2022年度，经县乡村三级层层精准核实，我县有康复需求人数为1145人，其中辅具需求人数为314人。年终总康复服务率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2022年我县残疾人事业补助专项资金总计到位207.2万元;用于社会福利的彩票公益金支出47.9万元，用于残疾人事业的彩票公益金支出159.3万元。</w:t>
      </w:r>
    </w:p>
    <w:p>
      <w:pPr>
        <w:pStyle w:val="2"/>
        <w:rPr>
          <w:rFonts w:hint="eastAsia"/>
          <w:lang w:val="en-US" w:eastAsia="zh-CN"/>
        </w:rPr>
      </w:pPr>
    </w:p>
    <w:p>
      <w:pPr>
        <w:keepNext w:val="0"/>
        <w:keepLines w:val="0"/>
        <w:pageBreakBefore w:val="0"/>
        <w:numPr>
          <w:ilvl w:val="0"/>
          <w:numId w:val="4"/>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项目绩效目标。</w:t>
      </w:r>
    </w:p>
    <w:p>
      <w:pPr>
        <w:keepNext w:val="0"/>
        <w:keepLines w:val="0"/>
        <w:pageBreakBefore w:val="0"/>
        <w:numPr>
          <w:ilvl w:val="0"/>
          <w:numId w:val="0"/>
        </w:numPr>
        <w:kinsoku/>
        <w:wordWrap/>
        <w:overflowPunct/>
        <w:topLinePunct w:val="0"/>
        <w:autoSpaceDE/>
        <w:autoSpaceDN/>
        <w:bidi w:val="0"/>
        <w:adjustRightInd/>
        <w:snapToGrid/>
        <w:spacing w:line="61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面支持落实好残疾人就业、残疾人康复、社会保障等扶持政策，健全残疾人权益保障制度和扶残助残服务体系，完成残疾儿童康复、农村实用技术培训、残疾人机动轮椅车燃油补贴、残疾人教育、残疾人居家托养、困难重度残疾人家庭无障碍改造项目等工作，有效提升了残疾人基本公共服务保障水平。</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numPr>
          <w:ilvl w:val="0"/>
          <w:numId w:val="0"/>
        </w:numPr>
        <w:kinsoku/>
        <w:wordWrap/>
        <w:overflowPunct/>
        <w:topLinePunct w:val="0"/>
        <w:autoSpaceDE/>
        <w:autoSpaceDN/>
        <w:bidi w:val="0"/>
        <w:adjustRightInd/>
        <w:snapToGrid/>
        <w:spacing w:line="61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(一)绩效评价目的、对象和范围。</w:t>
      </w:r>
    </w:p>
    <w:p>
      <w:pPr>
        <w:keepNext w:val="0"/>
        <w:keepLines w:val="0"/>
        <w:pageBreakBefore w:val="0"/>
        <w:numPr>
          <w:ilvl w:val="0"/>
          <w:numId w:val="0"/>
        </w:numPr>
        <w:kinsoku/>
        <w:wordWrap/>
        <w:overflowPunct/>
        <w:topLinePunct w:val="0"/>
        <w:autoSpaceDE/>
        <w:autoSpaceDN/>
        <w:bidi w:val="0"/>
        <w:adjustRightInd/>
        <w:snapToGrid/>
        <w:spacing w:line="61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年初设定目标使残疾人功能状况改善、残疾人生活自理和社会参与能力增强，提高残疾儿童入园率，进一步将贫困残疾人脱贫。残疾人及残疾人家庭满意度达到90%。</w:t>
      </w:r>
    </w:p>
    <w:p>
      <w:pPr>
        <w:pStyle w:val="2"/>
        <w:rPr>
          <w:rFonts w:hint="eastAsia"/>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0" w:lineRule="atLeast"/>
        <w:ind w:right="0" w:rightChars="0" w:firstLine="600" w:firstLineChars="200"/>
        <w:jc w:val="left"/>
        <w:textAlignment w:val="auto"/>
        <w:rPr>
          <w:rFonts w:hint="eastAsia" w:ascii="仿宋_GB2312" w:hAnsi="仿宋_GB2312" w:eastAsia="仿宋_GB2312" w:cs="仿宋_GB2312"/>
          <w:sz w:val="32"/>
          <w:szCs w:val="32"/>
          <w:lang w:val="en-US" w:eastAsia="zh-CN"/>
        </w:rPr>
      </w:pPr>
      <w:r>
        <w:rPr>
          <w:rFonts w:hint="eastAsia" w:eastAsia="仿宋_GB2312"/>
          <w:sz w:val="30"/>
          <w:szCs w:val="30"/>
        </w:rPr>
        <w:t>(二)绩效评价原则、评价指标体系(附表说明)、评价方法、 评价标准等。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atLeast"/>
        <w:ind w:right="0" w:rightChars="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数量指标。2022年残疾人事业补助资金支持残疾人事业项目12个，已全部完成。对138名0-6岁残疾儿童与14名7-14岁残疾儿童实施抢救性康复；为45名残疾人免费装配假肢；向1000名残疾人赠送辅助器具；为30名低视力残疾人适配低视力镜；为75名贫困残疾人家庭进行无障碍改造；向466名残疾人发放燃油补贴；组织170名残疾人参加就业培训；对17名残疾人给予创业扶持；对残疾人学生及残疾人家族学生给予助学（共101人，其中大学生45人，高中生56人）；向90名残疾人申报者发放阳光增收扶持与培训；给予1名残疾人电商补助；向220名贫困残疾人给予居家托养；</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质量指标。通过对2022年残疾人事业补助资金支持的社会公共事业项目资金绩效分析，已完成的项目建设基本达到了预期的目标，项目质量合格率达到100%，资金得到了有效地使用，使广大西藏百姓享受到了党和政府的惠民政策，并得到广大百姓的认可和好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（3）时效指标。残疾人事业发展补助项目已按期完成。</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（4）成本指标。2022年残疾人事业发展补助项目建设严格遵循经济、节约成本原则，严控项目预算，严格按照专项资金使用、管理办法实施，未发现资金浪费、超范围使用等现象。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2.效益指标完成情况分析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经济效益。残疾人事业发展补助资金支持社会公益事业已完成的建设项目达到了预期目标，项目投入后不仅带动就业，而且极大的改善了当地居民的日常生活条件，为广大人民群众的基本生活提供了持续稳定的保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（2）社会效益。已完成的项目有效的改善了残疾人硬件基础设施和软件条件，切实增强了该群体的自我发展能力，加快了全区公益性事业的快速发展；社会参与能力增强显著。</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（3）可持续影响。残疾人事业发展补助资金项目将不断改善社会公益事业项目基础设施建设，并提升社会保障水平。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3.满意度指标完成情况分析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社会各界和群众满意度不断增强。通过调查，满意度为95%。</w:t>
      </w:r>
    </w:p>
    <w:p>
      <w:pPr>
        <w:pStyle w:val="2"/>
        <w:rPr>
          <w:rFonts w:hint="eastAsia"/>
        </w:rPr>
      </w:pPr>
    </w:p>
    <w:p>
      <w:pPr>
        <w:keepNext w:val="0"/>
        <w:keepLines w:val="0"/>
        <w:pageBreakBefore w:val="0"/>
        <w:numPr>
          <w:ilvl w:val="0"/>
          <w:numId w:val="4"/>
        </w:numPr>
        <w:kinsoku/>
        <w:wordWrap/>
        <w:overflowPunct/>
        <w:topLinePunct w:val="0"/>
        <w:autoSpaceDE/>
        <w:autoSpaceDN/>
        <w:bidi w:val="0"/>
        <w:adjustRightInd/>
        <w:snapToGrid/>
        <w:spacing w:line="610" w:lineRule="exact"/>
        <w:ind w:left="0" w:leftChars="0" w:firstLine="600" w:firstLineChars="200"/>
        <w:textAlignment w:val="auto"/>
        <w:rPr>
          <w:rFonts w:hint="eastAsia" w:eastAsia="仿宋_GB2312"/>
          <w:sz w:val="30"/>
          <w:szCs w:val="30"/>
        </w:rPr>
      </w:pPr>
      <w:r>
        <w:rPr>
          <w:rFonts w:hint="eastAsia" w:eastAsia="仿宋_GB2312"/>
          <w:sz w:val="30"/>
          <w:szCs w:val="30"/>
        </w:rPr>
        <w:t>绩效评价工作过程。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前期准备。根据预算法的相关规定，在预算编制时，建立事前绩效目标编制工作，构建事中绩效跟踪和绩效评价机制。为确保绩效目标如期实现，我单位根据确定的部门项目绩效目标，对绩效目标的完成情况进行跟踪和绩效自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二是组织实施。我会党组高度重视，积极组织开展2022年部门项目支出绩效评价工作。项目绩效自评由业务股室填报项目绩效自评情况，财务人员协助，各股室提供佐证材料和依据。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三是撰写绩效自评报告。收集、整理县残联财政预算资金绩效评价所需资料，对部门项目支出绩效情况进行自评、打分、最后根据自评、打分的结果撰写华容县残疾人联合会部门项目支出绩效评价报告。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三、综合评价情况及评价结论 </w:t>
      </w:r>
    </w:p>
    <w:p>
      <w:pPr>
        <w:keepNext w:val="0"/>
        <w:keepLines w:val="0"/>
        <w:pageBreakBefore w:val="0"/>
        <w:kinsoku/>
        <w:wordWrap/>
        <w:overflowPunct/>
        <w:topLinePunct w:val="0"/>
        <w:autoSpaceDE/>
        <w:autoSpaceDN/>
        <w:bidi w:val="0"/>
        <w:adjustRightInd/>
        <w:snapToGrid/>
        <w:spacing w:line="610" w:lineRule="exact"/>
        <w:ind w:firstLine="1200" w:firstLineChars="400"/>
        <w:textAlignment w:val="auto"/>
        <w:rPr>
          <w:rFonts w:hint="default" w:ascii="黑体" w:hAnsi="黑体" w:eastAsia="黑体" w:cs="黑体"/>
          <w:sz w:val="30"/>
          <w:szCs w:val="30"/>
          <w:lang w:val="en-US" w:eastAsia="zh-CN"/>
        </w:rPr>
      </w:pPr>
      <w:r>
        <w:rPr>
          <w:rFonts w:hint="eastAsia" w:ascii="Times New Roman" w:hAnsi="Times New Roman" w:eastAsia="仿宋_GB2312" w:cs="Times New Roman"/>
          <w:kern w:val="2"/>
          <w:sz w:val="30"/>
          <w:szCs w:val="30"/>
          <w:lang w:val="en-US" w:eastAsia="zh-CN" w:bidi="ar-SA"/>
        </w:rPr>
        <w:t>残疾人事业补助资金项目自评分为97分，评价等级为“优”；</w:t>
      </w:r>
    </w:p>
    <w:p>
      <w:pPr>
        <w:pStyle w:val="2"/>
        <w:rPr>
          <w:rFonts w:hint="eastAsia"/>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(一)项目决策情况。</w:t>
      </w:r>
    </w:p>
    <w:p>
      <w:pPr>
        <w:ind w:firstLine="600" w:firstLineChars="200"/>
        <w:rPr>
          <w:rFonts w:hint="eastAsia" w:eastAsia="仿宋_GB2312"/>
          <w:sz w:val="30"/>
          <w:szCs w:val="30"/>
          <w:lang w:val="en-US" w:eastAsia="zh-CN"/>
        </w:rPr>
      </w:pPr>
      <w:r>
        <w:rPr>
          <w:rFonts w:hint="eastAsia" w:eastAsia="仿宋_GB2312"/>
          <w:sz w:val="30"/>
          <w:szCs w:val="30"/>
          <w:lang w:val="en-US" w:eastAsia="zh-CN"/>
        </w:rPr>
        <w:t xml:space="preserve">  残疾人事业补助资金根据《残疾人保障法、《残疾人就业条例》、《湖南省人民政府关于加快推进小康进程的实施意见》、《湖南省残疾人事业“十三五”发展规划》文件精神进行立项，项目立项依据充分。</w:t>
      </w:r>
    </w:p>
    <w:p>
      <w:pPr>
        <w:keepNext w:val="0"/>
        <w:keepLines w:val="0"/>
        <w:pageBreakBefore w:val="0"/>
        <w:numPr>
          <w:ilvl w:val="0"/>
          <w:numId w:val="5"/>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项目过程情况。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1、资金管理情况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(1）资金到位率</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省财政下达的项目资金207.2万元，县财政已全额划入到县残联的预算内指标系统内。资金到位率100%。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(2）预算执行率</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残疾人事业补助专项资金的预算执行率为98%。</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(3）资金使用合规性</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资金拨付通过国库集中支付，资金拨付手续齐全，程序规范并进行了专项核算，</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2、项目组织实施情况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(1）管理制度健全性</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华容县制定了《华容县残疾儿童康复救助实施方案》、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《华容县残疾人扶助专项资金管理制度》等单项制度，但制度体系不够健全，内容不够完整，没有专项资金整体项目的管理办法，资金管理办法没有明确专项资金的具体使用范围和标准。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(2）制度执行的有效性</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其管理执行较好。已经制定的各项制度均得到有效的执行，残疾儿童康复、残疾人创业扶持、居家托养服务等项目的效果进行了考核。</w:t>
      </w:r>
    </w:p>
    <w:p>
      <w:pPr>
        <w:keepNext w:val="0"/>
        <w:keepLines w:val="0"/>
        <w:pageBreakBefore w:val="0"/>
        <w:numPr>
          <w:ilvl w:val="0"/>
          <w:numId w:val="5"/>
        </w:numPr>
        <w:kinsoku/>
        <w:wordWrap/>
        <w:overflowPunct/>
        <w:topLinePunct w:val="0"/>
        <w:autoSpaceDE/>
        <w:autoSpaceDN/>
        <w:bidi w:val="0"/>
        <w:adjustRightInd/>
        <w:snapToGrid/>
        <w:spacing w:line="610" w:lineRule="exact"/>
        <w:ind w:left="0" w:leftChars="0" w:firstLine="600" w:firstLineChars="200"/>
        <w:textAlignment w:val="auto"/>
        <w:rPr>
          <w:rFonts w:hint="eastAsia" w:eastAsia="仿宋_GB2312"/>
          <w:sz w:val="30"/>
          <w:szCs w:val="30"/>
        </w:rPr>
      </w:pPr>
      <w:r>
        <w:rPr>
          <w:rFonts w:hint="eastAsia" w:eastAsia="仿宋_GB2312"/>
          <w:sz w:val="30"/>
          <w:szCs w:val="30"/>
        </w:rPr>
        <w:t>项目产出情况。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1、对138名0-6岁残疾儿童与14名7-14岁残疾儿童实施抢救性康复；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2、为45名残疾人免费装配假肢；</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3、向1000名残疾人赠送辅助器具；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4、为30名低视力残疾人适配低视力镜；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5、为75名贫困残疾人家庭进行无障碍改造；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6、向466名残疾人发放燃油补贴；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7、组织170名残疾人参加就业培训；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8、对17名残疾人给予创业扶持；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9、对残疾人学生及残疾人家族学生给予助学（共101人，其中大学生45人，高中生56人）；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10、向90名残疾人申报者发放阳光增收扶持与培训；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11、给予1名残疾人电商补助；</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12、向220名贫困残疾人给予居家托养；</w:t>
      </w:r>
    </w:p>
    <w:p>
      <w:pPr>
        <w:pStyle w:val="2"/>
        <w:numPr>
          <w:ilvl w:val="0"/>
          <w:numId w:val="0"/>
        </w:numPr>
        <w:ind w:leftChars="200"/>
        <w:rPr>
          <w:rFonts w:hint="eastAsia"/>
        </w:rPr>
      </w:pPr>
    </w:p>
    <w:p>
      <w:pPr>
        <w:keepNext w:val="0"/>
        <w:keepLines w:val="0"/>
        <w:pageBreakBefore w:val="0"/>
        <w:numPr>
          <w:ilvl w:val="0"/>
          <w:numId w:val="5"/>
        </w:numPr>
        <w:kinsoku/>
        <w:wordWrap/>
        <w:overflowPunct/>
        <w:topLinePunct w:val="0"/>
        <w:autoSpaceDE/>
        <w:autoSpaceDN/>
        <w:bidi w:val="0"/>
        <w:adjustRightInd/>
        <w:snapToGrid/>
        <w:spacing w:line="610" w:lineRule="exact"/>
        <w:ind w:left="0" w:leftChars="0" w:firstLine="600" w:firstLineChars="200"/>
        <w:textAlignment w:val="auto"/>
        <w:rPr>
          <w:rFonts w:hint="eastAsia" w:eastAsia="仿宋_GB2312"/>
          <w:sz w:val="30"/>
          <w:szCs w:val="30"/>
        </w:rPr>
      </w:pPr>
      <w:r>
        <w:rPr>
          <w:rFonts w:hint="eastAsia" w:eastAsia="仿宋_GB2312"/>
          <w:sz w:val="30"/>
          <w:szCs w:val="30"/>
        </w:rPr>
        <w:t>项目效益情况。</w:t>
      </w:r>
    </w:p>
    <w:p>
      <w:pPr>
        <w:keepNext w:val="0"/>
        <w:keepLines w:val="0"/>
        <w:pageBreakBefore w:val="0"/>
        <w:numPr>
          <w:ilvl w:val="0"/>
          <w:numId w:val="0"/>
        </w:numPr>
        <w:kinsoku/>
        <w:wordWrap/>
        <w:overflowPunct/>
        <w:topLinePunct w:val="0"/>
        <w:autoSpaceDE/>
        <w:autoSpaceDN/>
        <w:bidi w:val="0"/>
        <w:adjustRightInd/>
        <w:snapToGrid/>
        <w:spacing w:line="610" w:lineRule="exact"/>
        <w:ind w:leftChars="200" w:firstLine="300" w:firstLineChars="100"/>
        <w:textAlignment w:val="auto"/>
        <w:rPr>
          <w:rFonts w:hint="eastAsia" w:eastAsia="仿宋_GB2312"/>
          <w:sz w:val="30"/>
          <w:szCs w:val="30"/>
        </w:rPr>
      </w:pPr>
      <w:r>
        <w:rPr>
          <w:rFonts w:hint="eastAsia" w:eastAsia="仿宋_GB2312"/>
          <w:sz w:val="30"/>
          <w:szCs w:val="30"/>
        </w:rPr>
        <w:t>1、社会效益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县残联以《湖南省人民政府关于加快推进残疾人小康进程的实施意见》和《湖南省残疾人事业"十三五"发展纲要》为工作目标，扎实做好残疾人基本民生保障服务，帮助残疾人落实"两项补贴"，适时利用助残日、元旦、春节等节假日对残疾人进行走访慰问，支持残疾人体育运动，通过实施残疾人的精准康复、残疾人居家托养和残疾人家庭医生签约服务，执行残疾人机动车轮椅燃油补贴、残疾人家庭无障碍设施改造，对残疾人学生和贫困残疾人家庭子女进行入学资助，为残疾人进行技能培训，扶持残疾人自主创业，确保了残疾人公平享有基本民生保障和基本公共服务，使残疾人体会到政府的关怀和社会的温暖。</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2、可持续影响</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项目的实施，保障了残疾人的基本生活，完成了残疾人的职业技能培训，残疾人的康复、残疾人托养和</w:t>
      </w:r>
      <w:r>
        <w:rPr>
          <w:rFonts w:hint="eastAsia" w:eastAsia="仿宋_GB2312"/>
          <w:sz w:val="30"/>
          <w:szCs w:val="30"/>
          <w:lang w:val="en-US" w:eastAsia="zh-CN"/>
        </w:rPr>
        <w:t>残疾人创业扶持</w:t>
      </w:r>
      <w:r>
        <w:rPr>
          <w:rFonts w:hint="eastAsia" w:eastAsia="仿宋_GB2312"/>
          <w:sz w:val="30"/>
          <w:szCs w:val="30"/>
        </w:rPr>
        <w:t>，使残疾人的生活质量得到明显改善，该项目有较强的可持续性。</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3、满意度</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rPr>
      </w:pPr>
      <w:r>
        <w:rPr>
          <w:rFonts w:hint="eastAsia" w:eastAsia="仿宋_GB2312"/>
          <w:sz w:val="30"/>
          <w:szCs w:val="30"/>
        </w:rPr>
        <w:t>通过50份有效问卷调查，社会公众或服务对象对残保金项目的满意度为9</w:t>
      </w:r>
      <w:r>
        <w:rPr>
          <w:rFonts w:hint="eastAsia" w:eastAsia="仿宋_GB2312"/>
          <w:sz w:val="30"/>
          <w:szCs w:val="30"/>
          <w:lang w:val="en-US" w:eastAsia="zh-CN"/>
        </w:rPr>
        <w:t>0</w:t>
      </w:r>
      <w:r>
        <w:rPr>
          <w:rFonts w:hint="eastAsia" w:eastAsia="仿宋_GB2312"/>
          <w:sz w:val="30"/>
          <w:szCs w:val="30"/>
        </w:rPr>
        <w:t>%，满意度较高。</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420"/>
        <w:jc w:val="both"/>
        <w:rPr>
          <w:rFonts w:hint="eastAsia" w:ascii="楷体" w:hAnsi="楷体" w:eastAsia="楷体" w:cs="楷体"/>
          <w:i w:val="0"/>
          <w:iCs w:val="0"/>
          <w:caps w:val="0"/>
          <w:color w:val="000000"/>
          <w:spacing w:val="0"/>
          <w:sz w:val="30"/>
          <w:szCs w:val="30"/>
          <w:shd w:val="clear" w:fill="FFFFFF"/>
          <w:lang w:val="en-US" w:eastAsia="zh-CN"/>
        </w:rPr>
      </w:pPr>
      <w:r>
        <w:rPr>
          <w:rFonts w:hint="eastAsia" w:ascii="仿宋_GB2312" w:hAnsi="仿宋_GB2312" w:eastAsia="仿宋_GB2312" w:cs="仿宋_GB2312"/>
          <w:kern w:val="2"/>
          <w:sz w:val="32"/>
          <w:szCs w:val="32"/>
          <w:lang w:val="en-US" w:eastAsia="zh-CN" w:bidi="ar-SA"/>
        </w:rPr>
        <w:t>（一</w:t>
      </w:r>
      <w:r>
        <w:rPr>
          <w:rFonts w:ascii="楷体" w:hAnsi="楷体" w:eastAsia="楷体" w:cs="楷体"/>
          <w:i w:val="0"/>
          <w:iCs w:val="0"/>
          <w:caps w:val="0"/>
          <w:color w:val="000000"/>
          <w:spacing w:val="0"/>
          <w:sz w:val="30"/>
          <w:szCs w:val="30"/>
          <w:shd w:val="clear" w:fill="FFFFFF"/>
        </w:rPr>
        <w:t>）</w:t>
      </w:r>
      <w:r>
        <w:rPr>
          <w:rFonts w:hint="eastAsia" w:ascii="楷体" w:hAnsi="楷体" w:eastAsia="楷体" w:cs="楷体"/>
          <w:i w:val="0"/>
          <w:iCs w:val="0"/>
          <w:caps w:val="0"/>
          <w:color w:val="000000"/>
          <w:spacing w:val="0"/>
          <w:sz w:val="30"/>
          <w:szCs w:val="30"/>
          <w:shd w:val="clear" w:fill="FFFFFF"/>
          <w:lang w:val="en-US" w:eastAsia="zh-CN"/>
        </w:rPr>
        <w:t>主要经验及做法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项目开展以来，我会能够提前统筹，积极推进，多次召开县残疾理事长会议部署和推进工作，并不定时赴各机构开展项目步督查，保障项目的顺利实行。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420"/>
        <w:jc w:val="both"/>
        <w:rPr>
          <w:rFonts w:ascii="楷体" w:hAnsi="楷体" w:eastAsia="楷体" w:cs="楷体"/>
          <w:i w:val="0"/>
          <w:iCs w:val="0"/>
          <w:caps w:val="0"/>
          <w:color w:val="000000"/>
          <w:spacing w:val="0"/>
          <w:sz w:val="30"/>
          <w:szCs w:val="30"/>
          <w:shd w:val="clear" w:fill="FFFFFF"/>
        </w:rPr>
      </w:pPr>
      <w:r>
        <w:rPr>
          <w:rFonts w:hint="eastAsia" w:ascii="楷体" w:hAnsi="楷体" w:eastAsia="楷体" w:cs="楷体"/>
          <w:i w:val="0"/>
          <w:iCs w:val="0"/>
          <w:caps w:val="0"/>
          <w:color w:val="000000"/>
          <w:spacing w:val="0"/>
          <w:sz w:val="30"/>
          <w:szCs w:val="30"/>
          <w:shd w:val="clear" w:fill="FFFFFF"/>
          <w:lang w:eastAsia="zh-CN"/>
        </w:rPr>
        <w:t>（</w:t>
      </w:r>
      <w:r>
        <w:rPr>
          <w:rFonts w:hint="eastAsia" w:ascii="楷体" w:hAnsi="楷体" w:eastAsia="楷体" w:cs="楷体"/>
          <w:i w:val="0"/>
          <w:iCs w:val="0"/>
          <w:caps w:val="0"/>
          <w:color w:val="000000"/>
          <w:spacing w:val="0"/>
          <w:sz w:val="30"/>
          <w:szCs w:val="30"/>
          <w:shd w:val="clear" w:fill="FFFFFF"/>
          <w:lang w:val="en-US" w:eastAsia="zh-CN"/>
        </w:rPr>
        <w:t>二）</w:t>
      </w:r>
      <w:r>
        <w:rPr>
          <w:rFonts w:ascii="楷体" w:hAnsi="楷体" w:eastAsia="楷体" w:cs="楷体"/>
          <w:i w:val="0"/>
          <w:iCs w:val="0"/>
          <w:caps w:val="0"/>
          <w:color w:val="000000"/>
          <w:spacing w:val="0"/>
          <w:sz w:val="30"/>
          <w:szCs w:val="30"/>
          <w:shd w:val="clear" w:fill="FFFFFF"/>
        </w:rPr>
        <w:t>存在的问题</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42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预算执行进度还不够细化，量化。</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420"/>
        <w:jc w:val="both"/>
        <w:rPr>
          <w:rFonts w:hint="eastAsia" w:ascii="宋体" w:hAnsi="宋体" w:eastAsia="宋体" w:cs="宋体"/>
          <w:i w:val="0"/>
          <w:iCs w:val="0"/>
          <w:caps w:val="0"/>
          <w:color w:val="000000"/>
          <w:spacing w:val="0"/>
          <w:sz w:val="30"/>
          <w:szCs w:val="30"/>
        </w:rPr>
      </w:pPr>
      <w:r>
        <w:rPr>
          <w:rFonts w:hint="eastAsia" w:ascii="楷体" w:hAnsi="楷体" w:eastAsia="楷体" w:cs="楷体"/>
          <w:i w:val="0"/>
          <w:iCs w:val="0"/>
          <w:caps w:val="0"/>
          <w:color w:val="000000"/>
          <w:spacing w:val="0"/>
          <w:sz w:val="30"/>
          <w:szCs w:val="30"/>
          <w:shd w:val="clear" w:fill="FFFFFF"/>
        </w:rPr>
        <w:t>（</w:t>
      </w:r>
      <w:r>
        <w:rPr>
          <w:rFonts w:hint="eastAsia" w:ascii="楷体" w:hAnsi="楷体" w:eastAsia="楷体" w:cs="楷体"/>
          <w:i w:val="0"/>
          <w:iCs w:val="0"/>
          <w:caps w:val="0"/>
          <w:color w:val="000000"/>
          <w:spacing w:val="0"/>
          <w:sz w:val="30"/>
          <w:szCs w:val="30"/>
          <w:shd w:val="clear" w:fill="FFFFFF"/>
          <w:lang w:val="en-US" w:eastAsia="zh-CN"/>
        </w:rPr>
        <w:t>三</w:t>
      </w:r>
      <w:r>
        <w:rPr>
          <w:rFonts w:hint="eastAsia" w:ascii="楷体" w:hAnsi="楷体" w:eastAsia="楷体" w:cs="楷体"/>
          <w:i w:val="0"/>
          <w:iCs w:val="0"/>
          <w:caps w:val="0"/>
          <w:color w:val="000000"/>
          <w:spacing w:val="0"/>
          <w:sz w:val="30"/>
          <w:szCs w:val="30"/>
          <w:shd w:val="clear" w:fill="FFFFFF"/>
        </w:rPr>
        <w:t>）下一步改进措施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增强绩效管理责任意识，将绩效管理工作纳入常态，完成财政支出绩效评价相关制度，结合绩效考评结果对业务部门及相关人员进行奖惩，充分调动全员参与绩效指标体系制定和开展绩效评价工作的积极性和责任感。二是科学合理编制部门预算，将预算编制编细编实，重视预算执行管理工作，努力提高预算执行效率。合理安排资金，并督促合部门加强资金管理，加快项目实施，确保财政资金发挥效益，避免资金沉淀。</w:t>
      </w:r>
    </w:p>
    <w:p>
      <w:pPr>
        <w:pStyle w:val="2"/>
        <w:rPr>
          <w:rFonts w:hint="eastAsia"/>
        </w:rPr>
      </w:pPr>
    </w:p>
    <w:p>
      <w:pPr>
        <w:pStyle w:val="2"/>
        <w:rPr>
          <w:rFonts w:hint="eastAsia"/>
        </w:rPr>
      </w:pP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黑体" w:hAnsi="黑体" w:eastAsia="黑体" w:cs="黑体"/>
          <w:sz w:val="30"/>
          <w:szCs w:val="30"/>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p>
    <w:p>
      <w:pPr>
        <w:pStyle w:val="2"/>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无</w:t>
      </w: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2F298B7-7850-4C54-9C92-67037C4CD603}"/>
  </w:font>
  <w:font w:name="Arial">
    <w:panose1 w:val="020B0604020202020204"/>
    <w:charset w:val="01"/>
    <w:family w:val="swiss"/>
    <w:pitch w:val="default"/>
    <w:sig w:usb0="E0002EFF" w:usb1="C000785B" w:usb2="00000009" w:usb3="00000000" w:csb0="400001FF" w:csb1="FFFF0000"/>
    <w:embedRegular r:id="rId2" w:fontKey="{0F205830-CF23-4D0D-B1E2-D15FEC5D15D5}"/>
  </w:font>
  <w:font w:name="黑体">
    <w:panose1 w:val="02010609060101010101"/>
    <w:charset w:val="86"/>
    <w:family w:val="auto"/>
    <w:pitch w:val="default"/>
    <w:sig w:usb0="800002BF" w:usb1="38CF7CFA" w:usb2="00000016" w:usb3="00000000" w:csb0="00040001" w:csb1="00000000"/>
    <w:embedRegular r:id="rId3" w:fontKey="{37F5F2D3-8F60-4711-ACCE-1F61CACDC974}"/>
  </w:font>
  <w:font w:name="Courier New">
    <w:panose1 w:val="02070309020205020404"/>
    <w:charset w:val="01"/>
    <w:family w:val="modern"/>
    <w:pitch w:val="default"/>
    <w:sig w:usb0="E0002EFF" w:usb1="C0007843" w:usb2="00000009" w:usb3="00000000" w:csb0="400001FF" w:csb1="FFFF0000"/>
    <w:embedRegular r:id="rId4" w:fontKey="{95494051-F6E7-4CC0-8E78-FA07C45E8AFF}"/>
  </w:font>
  <w:font w:name="Symbol">
    <w:panose1 w:val="05050102010706020507"/>
    <w:charset w:val="02"/>
    <w:family w:val="roman"/>
    <w:pitch w:val="default"/>
    <w:sig w:usb0="00000000" w:usb1="00000000" w:usb2="00000000" w:usb3="00000000" w:csb0="80000000" w:csb1="00000000"/>
    <w:embedRegular r:id="rId5" w:fontKey="{099FBDFC-A00E-4CED-9D89-FC6EB15B2329}"/>
  </w:font>
  <w:font w:name="Calibri">
    <w:panose1 w:val="020F0502020204030204"/>
    <w:charset w:val="00"/>
    <w:family w:val="swiss"/>
    <w:pitch w:val="default"/>
    <w:sig w:usb0="E4002EFF" w:usb1="C000247B" w:usb2="00000009" w:usb3="00000000" w:csb0="200001FF" w:csb1="00000000"/>
    <w:embedRegular r:id="rId6" w:fontKey="{B7997DC8-FA11-4249-8B1D-D1BB1BDDD30E}"/>
  </w:font>
  <w:font w:name="仿宋_GB2312">
    <w:panose1 w:val="02010609030101010101"/>
    <w:charset w:val="86"/>
    <w:family w:val="auto"/>
    <w:pitch w:val="default"/>
    <w:sig w:usb0="00000001" w:usb1="080E0000" w:usb2="00000000" w:usb3="00000000" w:csb0="00040000" w:csb1="00000000"/>
    <w:embedRegular r:id="rId7" w:fontKey="{C2EBEC77-F87D-45F2-9082-562DB5A73976}"/>
  </w:font>
  <w:font w:name="方正小标宋_GBK">
    <w:panose1 w:val="03000509000000000000"/>
    <w:charset w:val="86"/>
    <w:family w:val="script"/>
    <w:pitch w:val="default"/>
    <w:sig w:usb0="00000001" w:usb1="080E0000" w:usb2="00000000" w:usb3="00000000" w:csb0="00040000" w:csb1="00000000"/>
    <w:embedRegular r:id="rId8" w:fontKey="{E080CDC0-00D8-46B4-BAC4-AF8596890D9A}"/>
  </w:font>
  <w:font w:name="楷体_GB2312">
    <w:panose1 w:val="02010609030101010101"/>
    <w:charset w:val="86"/>
    <w:family w:val="auto"/>
    <w:pitch w:val="default"/>
    <w:sig w:usb0="00000001" w:usb1="080E0000" w:usb2="00000000" w:usb3="00000000" w:csb0="00040000" w:csb1="00000000"/>
    <w:embedRegular r:id="rId9" w:fontKey="{AC5665EF-83CA-47A2-A90C-51E47B3C0AEB}"/>
  </w:font>
  <w:font w:name="华文楷体">
    <w:panose1 w:val="02010600040101010101"/>
    <w:charset w:val="86"/>
    <w:family w:val="auto"/>
    <w:pitch w:val="default"/>
    <w:sig w:usb0="00000287" w:usb1="080F0000" w:usb2="00000000" w:usb3="00000000" w:csb0="0004009F" w:csb1="DFD70000"/>
    <w:embedRegular r:id="rId10" w:fontKey="{B47AE5A7-7507-4ED0-BC81-67FD1700C52A}"/>
  </w:font>
  <w:font w:name="方正小标宋简体">
    <w:altName w:val="Arial Unicode MS"/>
    <w:panose1 w:val="02010601030101010101"/>
    <w:charset w:val="86"/>
    <w:family w:val="auto"/>
    <w:pitch w:val="default"/>
    <w:sig w:usb0="00000000" w:usb1="00000000" w:usb2="00000000" w:usb3="00000000" w:csb0="00040000" w:csb1="00000000"/>
    <w:embedRegular r:id="rId11" w:fontKey="{6ABED363-B3AC-43A8-B699-760959A8989E}"/>
  </w:font>
  <w:font w:name="新宋体">
    <w:panose1 w:val="02010609030101010101"/>
    <w:charset w:val="86"/>
    <w:family w:val="auto"/>
    <w:pitch w:val="default"/>
    <w:sig w:usb0="00000283" w:usb1="288F0000" w:usb2="00000006" w:usb3="00000000" w:csb0="00040001" w:csb1="00000000"/>
    <w:embedRegular r:id="rId12" w:fontKey="{17D3EA41-6F04-4B4D-8872-E754A390885D}"/>
  </w:font>
  <w:font w:name="微软雅黑">
    <w:panose1 w:val="020B0503020204020204"/>
    <w:charset w:val="86"/>
    <w:family w:val="auto"/>
    <w:pitch w:val="default"/>
    <w:sig w:usb0="80000287" w:usb1="2ACF3C50" w:usb2="00000016" w:usb3="00000000" w:csb0="0004001F" w:csb1="00000000"/>
    <w:embedRegular r:id="rId13" w:fontKey="{0E56B5B3-87D9-458A-877E-9B8025050C57}"/>
  </w:font>
  <w:font w:name="楷体">
    <w:panose1 w:val="02010609060101010101"/>
    <w:charset w:val="86"/>
    <w:family w:val="auto"/>
    <w:pitch w:val="default"/>
    <w:sig w:usb0="800002BF" w:usb1="38CF7CFA" w:usb2="00000016" w:usb3="00000000" w:csb0="00040001" w:csb1="00000000"/>
    <w:embedRegular r:id="rId14" w:fontKey="{D1F0583C-EE9A-44F2-B8F9-0AB7CAE4E2FA}"/>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E9F63A"/>
    <w:multiLevelType w:val="singleLevel"/>
    <w:tmpl w:val="E4E9F63A"/>
    <w:lvl w:ilvl="0" w:tentative="0">
      <w:start w:val="2"/>
      <w:numFmt w:val="chineseCounting"/>
      <w:lvlText w:val="(%1)"/>
      <w:lvlJc w:val="left"/>
      <w:pPr>
        <w:tabs>
          <w:tab w:val="left" w:pos="312"/>
        </w:tabs>
      </w:pPr>
      <w:rPr>
        <w:rFonts w:hint="eastAsia"/>
      </w:rPr>
    </w:lvl>
  </w:abstractNum>
  <w:abstractNum w:abstractNumId="1">
    <w:nsid w:val="F9F9CBF9"/>
    <w:multiLevelType w:val="singleLevel"/>
    <w:tmpl w:val="F9F9CBF9"/>
    <w:lvl w:ilvl="0" w:tentative="0">
      <w:start w:val="2"/>
      <w:numFmt w:val="chineseCounting"/>
      <w:lvlText w:val="(%1)"/>
      <w:lvlJc w:val="left"/>
      <w:pPr>
        <w:tabs>
          <w:tab w:val="left" w:pos="312"/>
        </w:tabs>
      </w:pPr>
      <w:rPr>
        <w:rFonts w:hint="eastAsia"/>
      </w:rPr>
    </w:lvl>
  </w:abstractNum>
  <w:abstractNum w:abstractNumId="2">
    <w:nsid w:val="04D501BD"/>
    <w:multiLevelType w:val="singleLevel"/>
    <w:tmpl w:val="04D501BD"/>
    <w:lvl w:ilvl="0" w:tentative="0">
      <w:start w:val="1"/>
      <w:numFmt w:val="decimal"/>
      <w:suff w:val="nothing"/>
      <w:lvlText w:val="%1、"/>
      <w:lvlJc w:val="left"/>
    </w:lvl>
  </w:abstractNum>
  <w:abstractNum w:abstractNumId="3">
    <w:nsid w:val="4DC0ADE8"/>
    <w:multiLevelType w:val="singleLevel"/>
    <w:tmpl w:val="4DC0ADE8"/>
    <w:lvl w:ilvl="0" w:tentative="0">
      <w:start w:val="6"/>
      <w:numFmt w:val="chineseCounting"/>
      <w:suff w:val="nothing"/>
      <w:lvlText w:val="%1、"/>
      <w:lvlJc w:val="left"/>
      <w:rPr>
        <w:rFonts w:hint="eastAsia"/>
      </w:rPr>
    </w:lvl>
  </w:abstractNum>
  <w:abstractNum w:abstractNumId="4">
    <w:nsid w:val="5FD30BB5"/>
    <w:multiLevelType w:val="singleLevel"/>
    <w:tmpl w:val="5FD30BB5"/>
    <w:lvl w:ilvl="0" w:tentative="0">
      <w:start w:val="1"/>
      <w:numFmt w:val="chineseCounting"/>
      <w:suff w:val="nothing"/>
      <w:lvlText w:val="%1、"/>
      <w:lvlJc w:val="left"/>
      <w:rPr>
        <w:rFonts w:hint="eastAsia"/>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4YjIwZGJmZmE4NmQzM2IzOGQ4NDRjNmEwZTI5YTkifQ=="/>
  </w:docVars>
  <w:rsids>
    <w:rsidRoot w:val="0CCB7736"/>
    <w:rsid w:val="00047FEF"/>
    <w:rsid w:val="000A3906"/>
    <w:rsid w:val="001776F1"/>
    <w:rsid w:val="006F0A16"/>
    <w:rsid w:val="00773328"/>
    <w:rsid w:val="00821883"/>
    <w:rsid w:val="00917857"/>
    <w:rsid w:val="00A755C2"/>
    <w:rsid w:val="016A347B"/>
    <w:rsid w:val="018A58CB"/>
    <w:rsid w:val="02B50488"/>
    <w:rsid w:val="0338470A"/>
    <w:rsid w:val="034822A9"/>
    <w:rsid w:val="03D86621"/>
    <w:rsid w:val="048731A9"/>
    <w:rsid w:val="04EE6171"/>
    <w:rsid w:val="05395EA9"/>
    <w:rsid w:val="076A1B3A"/>
    <w:rsid w:val="07760A5E"/>
    <w:rsid w:val="09942AE9"/>
    <w:rsid w:val="0ABD557B"/>
    <w:rsid w:val="0B24469B"/>
    <w:rsid w:val="0BBB5A8D"/>
    <w:rsid w:val="0C104906"/>
    <w:rsid w:val="0CCB7736"/>
    <w:rsid w:val="0D1A2DA6"/>
    <w:rsid w:val="0D334C4E"/>
    <w:rsid w:val="0D38267F"/>
    <w:rsid w:val="0D9E0E8D"/>
    <w:rsid w:val="0DFF7519"/>
    <w:rsid w:val="0E1C5AFD"/>
    <w:rsid w:val="0EAB7397"/>
    <w:rsid w:val="0EF755B3"/>
    <w:rsid w:val="0F17035E"/>
    <w:rsid w:val="0F4E168D"/>
    <w:rsid w:val="11404466"/>
    <w:rsid w:val="11963ADD"/>
    <w:rsid w:val="11A42EAE"/>
    <w:rsid w:val="11EB0F5C"/>
    <w:rsid w:val="11F20483"/>
    <w:rsid w:val="12E6167F"/>
    <w:rsid w:val="136F31F8"/>
    <w:rsid w:val="138750E0"/>
    <w:rsid w:val="156F0C08"/>
    <w:rsid w:val="15A620D3"/>
    <w:rsid w:val="16455CB4"/>
    <w:rsid w:val="16A3369E"/>
    <w:rsid w:val="178536BD"/>
    <w:rsid w:val="19516372"/>
    <w:rsid w:val="19575CC2"/>
    <w:rsid w:val="19A80228"/>
    <w:rsid w:val="1A101464"/>
    <w:rsid w:val="1AB74849"/>
    <w:rsid w:val="1AC52FF2"/>
    <w:rsid w:val="1AD85926"/>
    <w:rsid w:val="1AE6175D"/>
    <w:rsid w:val="1B0F43BC"/>
    <w:rsid w:val="1B742AA7"/>
    <w:rsid w:val="1CA34935"/>
    <w:rsid w:val="1D5A640E"/>
    <w:rsid w:val="1F7640EC"/>
    <w:rsid w:val="20D76C5F"/>
    <w:rsid w:val="21057490"/>
    <w:rsid w:val="214A230E"/>
    <w:rsid w:val="21B052C4"/>
    <w:rsid w:val="22FF5445"/>
    <w:rsid w:val="238D0E57"/>
    <w:rsid w:val="23C307ED"/>
    <w:rsid w:val="24256710"/>
    <w:rsid w:val="251E7983"/>
    <w:rsid w:val="25975FC6"/>
    <w:rsid w:val="25BC560B"/>
    <w:rsid w:val="260D5D83"/>
    <w:rsid w:val="284A2254"/>
    <w:rsid w:val="28844573"/>
    <w:rsid w:val="292F1467"/>
    <w:rsid w:val="29786927"/>
    <w:rsid w:val="297B51B4"/>
    <w:rsid w:val="29E40467"/>
    <w:rsid w:val="29F527E2"/>
    <w:rsid w:val="2BF35971"/>
    <w:rsid w:val="2C11611D"/>
    <w:rsid w:val="2C487650"/>
    <w:rsid w:val="2DF07031"/>
    <w:rsid w:val="2E4F43C0"/>
    <w:rsid w:val="2EC7368E"/>
    <w:rsid w:val="2F210D6D"/>
    <w:rsid w:val="306727B0"/>
    <w:rsid w:val="30FB4B41"/>
    <w:rsid w:val="31621165"/>
    <w:rsid w:val="323C5548"/>
    <w:rsid w:val="37450F88"/>
    <w:rsid w:val="37D6106F"/>
    <w:rsid w:val="38F862EB"/>
    <w:rsid w:val="39343807"/>
    <w:rsid w:val="39887BBC"/>
    <w:rsid w:val="3A53023B"/>
    <w:rsid w:val="3AF42D2D"/>
    <w:rsid w:val="3B3A041F"/>
    <w:rsid w:val="3BAE6BF9"/>
    <w:rsid w:val="3CCA47F2"/>
    <w:rsid w:val="3CDE0708"/>
    <w:rsid w:val="3CF67395"/>
    <w:rsid w:val="3D125BB7"/>
    <w:rsid w:val="3D51156A"/>
    <w:rsid w:val="3D5877DF"/>
    <w:rsid w:val="3DC55CAA"/>
    <w:rsid w:val="3DD556CA"/>
    <w:rsid w:val="3F450429"/>
    <w:rsid w:val="3F7E0903"/>
    <w:rsid w:val="40226C80"/>
    <w:rsid w:val="40C451A5"/>
    <w:rsid w:val="4156470B"/>
    <w:rsid w:val="41943ACE"/>
    <w:rsid w:val="425D4066"/>
    <w:rsid w:val="43173FD4"/>
    <w:rsid w:val="44143822"/>
    <w:rsid w:val="44654A12"/>
    <w:rsid w:val="44A7394B"/>
    <w:rsid w:val="457C5F26"/>
    <w:rsid w:val="491E7378"/>
    <w:rsid w:val="49CF255F"/>
    <w:rsid w:val="4B202CE0"/>
    <w:rsid w:val="4B2C5DCD"/>
    <w:rsid w:val="4B7D1173"/>
    <w:rsid w:val="4BC95D16"/>
    <w:rsid w:val="4C150E22"/>
    <w:rsid w:val="4C433C79"/>
    <w:rsid w:val="4C6A38FC"/>
    <w:rsid w:val="4CE74BC3"/>
    <w:rsid w:val="4CF5000E"/>
    <w:rsid w:val="4DB17672"/>
    <w:rsid w:val="4F4A312D"/>
    <w:rsid w:val="50AC44C4"/>
    <w:rsid w:val="50EA6DB9"/>
    <w:rsid w:val="5122367E"/>
    <w:rsid w:val="516128FF"/>
    <w:rsid w:val="517843C5"/>
    <w:rsid w:val="51CA7471"/>
    <w:rsid w:val="521C2FA3"/>
    <w:rsid w:val="522529B2"/>
    <w:rsid w:val="53910AF4"/>
    <w:rsid w:val="54AA6F8B"/>
    <w:rsid w:val="555952B3"/>
    <w:rsid w:val="556B5A36"/>
    <w:rsid w:val="556F179A"/>
    <w:rsid w:val="55AF40BB"/>
    <w:rsid w:val="56F72F7C"/>
    <w:rsid w:val="586243BF"/>
    <w:rsid w:val="58FD3402"/>
    <w:rsid w:val="59D026EA"/>
    <w:rsid w:val="59EC06C3"/>
    <w:rsid w:val="59F97DAC"/>
    <w:rsid w:val="5A4E18A6"/>
    <w:rsid w:val="5A8D2EC5"/>
    <w:rsid w:val="5AAF7799"/>
    <w:rsid w:val="5B5C1753"/>
    <w:rsid w:val="5BB3120D"/>
    <w:rsid w:val="5D356BCC"/>
    <w:rsid w:val="5E134100"/>
    <w:rsid w:val="5EAA4AD8"/>
    <w:rsid w:val="5F7A1C50"/>
    <w:rsid w:val="601C4AB5"/>
    <w:rsid w:val="609075A9"/>
    <w:rsid w:val="60BE691E"/>
    <w:rsid w:val="61444403"/>
    <w:rsid w:val="62265BDF"/>
    <w:rsid w:val="62E1699A"/>
    <w:rsid w:val="64147F0D"/>
    <w:rsid w:val="64D66362"/>
    <w:rsid w:val="657B402C"/>
    <w:rsid w:val="65860217"/>
    <w:rsid w:val="666F18B7"/>
    <w:rsid w:val="667E0AA1"/>
    <w:rsid w:val="68FB17C3"/>
    <w:rsid w:val="69071BDC"/>
    <w:rsid w:val="695F12F9"/>
    <w:rsid w:val="69636C3A"/>
    <w:rsid w:val="69CF7B2C"/>
    <w:rsid w:val="6A0B0004"/>
    <w:rsid w:val="6B0B781A"/>
    <w:rsid w:val="6BA1010E"/>
    <w:rsid w:val="6CCA10E6"/>
    <w:rsid w:val="6CE47E41"/>
    <w:rsid w:val="6CED5810"/>
    <w:rsid w:val="6CF92413"/>
    <w:rsid w:val="6DFE5E04"/>
    <w:rsid w:val="6E87203D"/>
    <w:rsid w:val="6E99449C"/>
    <w:rsid w:val="6F2C3E19"/>
    <w:rsid w:val="6F9278BB"/>
    <w:rsid w:val="70051548"/>
    <w:rsid w:val="71572F19"/>
    <w:rsid w:val="719B7427"/>
    <w:rsid w:val="724A6793"/>
    <w:rsid w:val="733C129F"/>
    <w:rsid w:val="741F26FA"/>
    <w:rsid w:val="74470DF8"/>
    <w:rsid w:val="75FD1676"/>
    <w:rsid w:val="799536BA"/>
    <w:rsid w:val="7ACC2F08"/>
    <w:rsid w:val="7ACD4A29"/>
    <w:rsid w:val="7B170752"/>
    <w:rsid w:val="7B683E3E"/>
    <w:rsid w:val="7B8F681B"/>
    <w:rsid w:val="7DD96C0E"/>
    <w:rsid w:val="7E474F7B"/>
    <w:rsid w:val="7E8F7AC1"/>
    <w:rsid w:val="7FCE327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character" w:default="1" w:styleId="9">
    <w:name w:val="Default Paragraph Font"/>
    <w:semiHidden/>
    <w:qFormat/>
    <w:uiPriority w:val="99"/>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8">
    <w:name w:val="Table Grid"/>
    <w:basedOn w:val="7"/>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99"/>
    <w:rPr>
      <w:rFonts w:cs="Times New Roman"/>
    </w:rPr>
  </w:style>
  <w:style w:type="character" w:customStyle="1" w:styleId="11">
    <w:name w:val="Footer Char"/>
    <w:basedOn w:val="9"/>
    <w:link w:val="4"/>
    <w:semiHidden/>
    <w:qFormat/>
    <w:uiPriority w:val="99"/>
    <w:rPr>
      <w:sz w:val="18"/>
      <w:szCs w:val="18"/>
    </w:rPr>
  </w:style>
  <w:style w:type="character" w:customStyle="1" w:styleId="12">
    <w:name w:val="Header Char"/>
    <w:basedOn w:val="9"/>
    <w:link w:val="5"/>
    <w:semiHidden/>
    <w:qFormat/>
    <w:uiPriority w:val="99"/>
    <w:rPr>
      <w:sz w:val="18"/>
      <w:szCs w:val="18"/>
    </w:rPr>
  </w:style>
  <w:style w:type="paragraph" w:styleId="13">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26</Pages>
  <Words>9893</Words>
  <Characters>10728</Characters>
  <Lines>0</Lines>
  <Paragraphs>0</Paragraphs>
  <TotalTime>1</TotalTime>
  <ScaleCrop>false</ScaleCrop>
  <LinksUpToDate>false</LinksUpToDate>
  <CharactersWithSpaces>11052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Administrator</cp:lastModifiedBy>
  <cp:lastPrinted>2023-06-29T01:04:00Z</cp:lastPrinted>
  <dcterms:modified xsi:type="dcterms:W3CDTF">2023-07-14T03:39:44Z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SaveFontToCloudKey">
    <vt:lpwstr>386772509_embed</vt:lpwstr>
  </property>
  <property fmtid="{D5CDD505-2E9C-101B-9397-08002B2CF9AE}" pid="4" name="ICV">
    <vt:lpwstr>BCEA63DAF624456AADE85B6B06C14A45_13</vt:lpwstr>
  </property>
</Properties>
</file>