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EC" w:rsidRDefault="0039474A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BE5EEC" w:rsidRDefault="0039474A" w:rsidP="00535748">
      <w:pPr>
        <w:spacing w:afterLines="5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年度部门整体支出绩效评价基础数据表</w:t>
      </w:r>
    </w:p>
    <w:tbl>
      <w:tblPr>
        <w:tblW w:w="4999" w:type="pct"/>
        <w:jc w:val="center"/>
        <w:tblLook w:val="04A0"/>
      </w:tblPr>
      <w:tblGrid>
        <w:gridCol w:w="2358"/>
        <w:gridCol w:w="2054"/>
        <w:gridCol w:w="2839"/>
        <w:gridCol w:w="2037"/>
      </w:tblGrid>
      <w:tr w:rsidR="00BE5EEC">
        <w:trPr>
          <w:trHeight w:val="510"/>
          <w:jc w:val="center"/>
        </w:trPr>
        <w:tc>
          <w:tcPr>
            <w:tcW w:w="2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财政供养人员情况（人）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编制数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年实际在职人数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控制率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103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经费控制情况（万元）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2021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年决算数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年预算数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年决算数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一、基本支出：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1785.81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2034.16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2034.16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其中：三公经费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1.87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0.3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公务用车购置和维护经费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其中：公车购置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公车运行维护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出国经费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公务接待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1.87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0.3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二、项目支出：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649.03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150.43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150.43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“三支一扶”人员专项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49.13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53.17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53.17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事业单位招聘、引进人才费用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23.69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87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87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劳动人事争议仲裁平台建设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对伤残、商贸、遗孀配偶的补贴款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100.26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其他资源勘探工业信息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0.26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0.26</w:t>
            </w: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政府基金预算拨款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434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就业专项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17.96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根治拖欠农民工工资专项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24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BE5EEC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E5EEC">
        <w:trPr>
          <w:trHeight w:val="510"/>
          <w:jc w:val="center"/>
        </w:trPr>
        <w:tc>
          <w:tcPr>
            <w:tcW w:w="2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厉行节约保障措施</w:t>
            </w:r>
          </w:p>
        </w:tc>
        <w:tc>
          <w:tcPr>
            <w:tcW w:w="28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535748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535748">
              <w:rPr>
                <w:rFonts w:ascii="仿宋_GB2312" w:eastAsia="仿宋_GB2312" w:hAnsi="仿宋_GB2312" w:cs="仿宋_GB2312" w:hint="eastAsia"/>
                <w:szCs w:val="21"/>
              </w:rPr>
              <w:t>严格执行《关于进一步规范财政财务管理严肃财经纪律的十条规定》，进一步将过“紧日子”的要求落到实处。</w:t>
            </w:r>
          </w:p>
        </w:tc>
      </w:tr>
    </w:tbl>
    <w:p w:rsidR="00BE5EEC" w:rsidRDefault="00BE5EEC">
      <w:pPr>
        <w:widowControl/>
        <w:spacing w:line="320" w:lineRule="exact"/>
        <w:jc w:val="left"/>
        <w:rPr>
          <w:rFonts w:ascii="仿宋_GB2312" w:eastAsia="仿宋_GB2312" w:hAnsi="仿宋_GB2312" w:cs="仿宋_GB2312"/>
          <w:szCs w:val="21"/>
        </w:rPr>
      </w:pPr>
    </w:p>
    <w:p w:rsidR="00BE5EEC" w:rsidRDefault="0039474A">
      <w:pPr>
        <w:widowControl/>
        <w:spacing w:line="320" w:lineRule="exact"/>
        <w:jc w:val="left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说明：以上数据均来源于部门决算报表，其中“基本支出”数据参照基本支出决算明细表（财决</w:t>
      </w:r>
      <w:r>
        <w:rPr>
          <w:rFonts w:ascii="仿宋_GB2312" w:eastAsia="仿宋_GB2312" w:hAnsi="仿宋_GB2312" w:cs="仿宋_GB2312" w:hint="eastAsia"/>
          <w:szCs w:val="21"/>
        </w:rPr>
        <w:t>05-1</w:t>
      </w:r>
      <w:r>
        <w:rPr>
          <w:rFonts w:ascii="仿宋_GB2312" w:eastAsia="仿宋_GB2312" w:hAnsi="仿宋_GB2312" w:cs="仿宋_GB2312" w:hint="eastAsia"/>
          <w:szCs w:val="21"/>
        </w:rPr>
        <w:t>表）；“三公经费”数据参照机构运行信息表（财决附</w:t>
      </w:r>
      <w:r>
        <w:rPr>
          <w:rFonts w:ascii="仿宋_GB2312" w:eastAsia="仿宋_GB2312" w:hAnsi="仿宋_GB2312" w:cs="仿宋_GB2312" w:hint="eastAsia"/>
          <w:szCs w:val="21"/>
        </w:rPr>
        <w:t>03</w:t>
      </w:r>
      <w:r>
        <w:rPr>
          <w:rFonts w:ascii="仿宋_GB2312" w:eastAsia="仿宋_GB2312" w:hAnsi="仿宋_GB2312" w:cs="仿宋_GB2312" w:hint="eastAsia"/>
          <w:szCs w:val="21"/>
        </w:rPr>
        <w:t>表）；“项目支出”数据参照项目支出决算明细表（财决</w:t>
      </w:r>
      <w:r>
        <w:rPr>
          <w:rFonts w:ascii="仿宋_GB2312" w:eastAsia="仿宋_GB2312" w:hAnsi="仿宋_GB2312" w:cs="仿宋_GB2312" w:hint="eastAsia"/>
          <w:szCs w:val="21"/>
        </w:rPr>
        <w:t>05-2</w:t>
      </w:r>
      <w:r>
        <w:rPr>
          <w:rFonts w:ascii="仿宋_GB2312" w:eastAsia="仿宋_GB2312" w:hAnsi="仿宋_GB2312" w:cs="仿宋_GB2312" w:hint="eastAsia"/>
          <w:szCs w:val="21"/>
        </w:rPr>
        <w:t>表）。</w:t>
      </w:r>
    </w:p>
    <w:p w:rsidR="00BE5EEC" w:rsidRDefault="0039474A">
      <w:pPr>
        <w:widowControl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填表人：戚颖</w:t>
      </w:r>
      <w:r>
        <w:rPr>
          <w:rFonts w:ascii="仿宋_GB2312" w:eastAsia="仿宋_GB2312" w:hAnsi="仿宋_GB2312" w:cs="仿宋_GB2312" w:hint="eastAsia"/>
          <w:szCs w:val="21"/>
        </w:rPr>
        <w:t xml:space="preserve">     </w:t>
      </w:r>
      <w:r>
        <w:rPr>
          <w:rFonts w:ascii="仿宋_GB2312" w:eastAsia="仿宋_GB2312" w:hAnsi="仿宋_GB2312" w:cs="仿宋_GB2312" w:hint="eastAsia"/>
          <w:szCs w:val="21"/>
        </w:rPr>
        <w:t>填报日期：</w:t>
      </w:r>
      <w:r>
        <w:rPr>
          <w:rFonts w:ascii="仿宋_GB2312" w:eastAsia="仿宋_GB2312" w:hAnsi="仿宋_GB2312" w:cs="仿宋_GB2312" w:hint="eastAsia"/>
          <w:szCs w:val="21"/>
        </w:rPr>
        <w:t xml:space="preserve">2023.7.11     </w:t>
      </w:r>
      <w:r>
        <w:rPr>
          <w:rFonts w:ascii="仿宋_GB2312" w:eastAsia="仿宋_GB2312" w:hAnsi="仿宋_GB2312" w:cs="仿宋_GB2312" w:hint="eastAsia"/>
          <w:szCs w:val="21"/>
        </w:rPr>
        <w:t>联系电话：</w:t>
      </w:r>
      <w:r>
        <w:rPr>
          <w:rFonts w:ascii="仿宋_GB2312" w:eastAsia="仿宋_GB2312" w:hAnsi="仿宋_GB2312" w:cs="仿宋_GB2312" w:hint="eastAsia"/>
          <w:szCs w:val="21"/>
        </w:rPr>
        <w:t xml:space="preserve">18975022079    </w:t>
      </w:r>
      <w:r>
        <w:rPr>
          <w:rFonts w:ascii="仿宋_GB2312" w:eastAsia="仿宋_GB2312" w:hAnsi="仿宋_GB2312" w:cs="仿宋_GB2312" w:hint="eastAsia"/>
          <w:szCs w:val="21"/>
        </w:rPr>
        <w:t>单位负责人签字：</w:t>
      </w:r>
      <w:r>
        <w:rPr>
          <w:rFonts w:ascii="仿宋_GB2312" w:eastAsia="仿宋_GB2312" w:hAnsi="仿宋_GB2312" w:cs="仿宋_GB2312" w:hint="eastAsia"/>
          <w:szCs w:val="21"/>
        </w:rPr>
        <w:br w:type="page"/>
      </w:r>
      <w:r>
        <w:rPr>
          <w:rFonts w:ascii="仿宋_GB2312" w:eastAsia="仿宋_GB2312" w:hAnsi="仿宋_GB2312" w:cs="仿宋_GB2312" w:hint="eastAsia"/>
          <w:szCs w:val="21"/>
        </w:rPr>
        <w:lastRenderedPageBreak/>
        <w:br w:type="page"/>
      </w: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BE5EEC" w:rsidRDefault="003947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年度部门整体支出绩效自评表</w:t>
      </w:r>
    </w:p>
    <w:tbl>
      <w:tblPr>
        <w:tblW w:w="6017" w:type="pct"/>
        <w:jc w:val="center"/>
        <w:tblLayout w:type="fixed"/>
        <w:tblLook w:val="04A0"/>
      </w:tblPr>
      <w:tblGrid>
        <w:gridCol w:w="412"/>
        <w:gridCol w:w="669"/>
        <w:gridCol w:w="739"/>
        <w:gridCol w:w="184"/>
        <w:gridCol w:w="3711"/>
        <w:gridCol w:w="201"/>
        <w:gridCol w:w="1294"/>
        <w:gridCol w:w="1502"/>
        <w:gridCol w:w="648"/>
        <w:gridCol w:w="1026"/>
        <w:gridCol w:w="791"/>
      </w:tblGrid>
      <w:tr w:rsidR="00BE5EEC">
        <w:trPr>
          <w:trHeight w:val="1616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县级预算部门名称</w:t>
            </w:r>
          </w:p>
        </w:tc>
        <w:tc>
          <w:tcPr>
            <w:tcW w:w="481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华容县人力资源和社会保障局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预算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申请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万元）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年初预算数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全年预算数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全年执行数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分值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执行率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得分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年度资金总额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1401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2184.59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2184.59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按收入性质分：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按支出性质分：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其中：一般公共预算：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2184.59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其中：基本支出：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2034.16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ind w:firstLineChars="300" w:firstLine="63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项目支出：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150.43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其他资金：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总体目标</w:t>
            </w:r>
          </w:p>
        </w:tc>
        <w:tc>
          <w:tcPr>
            <w:tcW w:w="30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预期目标</w:t>
            </w:r>
          </w:p>
        </w:tc>
        <w:tc>
          <w:tcPr>
            <w:tcW w:w="17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实际完成情况</w:t>
            </w:r>
          </w:p>
        </w:tc>
      </w:tr>
      <w:tr w:rsidR="00BE5EEC">
        <w:trPr>
          <w:trHeight w:val="2551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0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年度总体目标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在今年收支预算内，确保完成以下整体目标：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：保障人社局在职人员的正常办公、生活秩序；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：围绕目标任务，突出规划引领，扎实推进人社工作；立足工作职能，深入实施就业优先战略。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：立足服务民生，提高服务质量。强化扩面参保和社会保险待遇支付工作，加强社会保险经办服务能力建设。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：加大劳动保障监察执法力度，构建和谐劳动关系。</w:t>
            </w:r>
          </w:p>
        </w:tc>
        <w:tc>
          <w:tcPr>
            <w:tcW w:w="17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年度总体目标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在今年收支预算内，已完成以下整体目标：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：保障人社局在职人员的正常办公、生活秩序；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：围绕目标任务，突出规划引领，扎实推进人社工作；立足工作职能，深入实施就业优先战略。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：立足服务民生，提高服务质量。强化扩面参保和社会保险待遇支付工作，加强社会保险经办服务能力建设。</w:t>
            </w:r>
          </w:p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目标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：加大劳动保障监察执法力度，构建和谐劳动关系。</w:t>
            </w:r>
          </w:p>
        </w:tc>
      </w:tr>
      <w:tr w:rsidR="00BE5EEC">
        <w:trPr>
          <w:trHeight w:val="1247"/>
          <w:jc w:val="center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绩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一级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二级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三级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指标值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实际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完成值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分值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得分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偏差原因分析及改进措施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产出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(50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数量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退休老干部慰问人数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51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51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“三支一扶”助学代偿补助及慰问人数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新增城镇就业人数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103.5%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5488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失业人员再就业人数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185.6%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5569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举办线上线下招聘活动达成就业意向人数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3600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3600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组织“四海揽才”事业单位公开招聘等各类事业单位招聘与选调考试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次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次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完成全县事业单位人事档案复审工作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3950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卷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3950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卷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质量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及时足额完成基金征缴任务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及时足额发放各项社会保障费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深入开展根治欠薪工作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劳动仲裁受理案件结案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工伤认定受理案件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人事人才档案收件率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职称评定通过率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70%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70%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公益性岗位补贴到位率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基础养老金补贴到位率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企业养老支出政府补助任务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高效毕业生招聘成功率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时效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资金给付的及时性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认真开展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年度事业单位年度考核工作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年度事业单位招录工作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425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整体项目和工作完成及时性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12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月底完成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425"/>
          <w:jc w:val="center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成本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严格控制工作经费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工作经费同比下降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已完成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1344"/>
          <w:jc w:val="center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绩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</w:t>
            </w:r>
          </w:p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</w:t>
            </w:r>
          </w:p>
          <w:p w:rsidR="00BE5EEC" w:rsidRDefault="0039474A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标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一级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二级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三级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年度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指标值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实际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完成值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分值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得分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偏差原因分析及改进措施</w:t>
            </w: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效益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分）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经济效益指标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“三支一扶”人员待遇提高率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1191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落实创业补贴政策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中小微企业担保贷款实现“零突破”，就业创业形势整体稳中向好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发放创业贷款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3900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多万元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12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资金使用效率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pStyle w:val="a8"/>
              <w:widowControl/>
              <w:spacing w:line="22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425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社会效益指标</w:t>
            </w: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劳动仲裁及劳动能力鉴定的社会效益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维护劳动者合法权益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维护劳动者合法权益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964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妥善管理人事档案的社会效益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促进人才流通，保护和利用档案，更好服务社会经济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促进人才流通，保护和利用档案，更好服务社会经济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1247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党建工作经费用于开展活动的影响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为机关党组织开展活动创造良好条件，确保机关党员活动有效开展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为机关党组织开展活动创造良好条件，确保机关党员活动有效开展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425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招录事业单位工作人员对政府工作的影响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提高政府工作办事效率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提高政府工作办事效率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567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生态效益指标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0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提高劳动者素质、加快人力资源开发，拓宽就业渠道等，确保就业形势总体稳定，促进社会和谐进步，提高人民生活水平。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程度较高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425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完善流动人员档案管理，提高服务标准和服务流程，满足服务对象的需求。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程度较高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90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可持续影响指标</w:t>
            </w:r>
          </w:p>
          <w:p w:rsidR="00BE5EEC" w:rsidRDefault="0039474A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人社部门工作持续发展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人社工作持续发展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人社工作持续发展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1191"/>
          <w:jc w:val="center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满意度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指标</w:t>
            </w:r>
          </w:p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分）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spacing w:line="220" w:lineRule="exac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服务对象满意度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≥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95%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BE5EEC">
        <w:trPr>
          <w:trHeight w:val="397"/>
          <w:jc w:val="center"/>
        </w:trPr>
        <w:tc>
          <w:tcPr>
            <w:tcW w:w="38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总分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39474A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EEC" w:rsidRDefault="00BE5EEC">
            <w:pPr>
              <w:widowControl/>
              <w:spacing w:line="22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</w:tbl>
    <w:p w:rsidR="00BE5EEC" w:rsidRDefault="0039474A">
      <w:pPr>
        <w:spacing w:line="240" w:lineRule="exact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说明：以上数据参照</w:t>
      </w:r>
      <w:r>
        <w:rPr>
          <w:rFonts w:ascii="仿宋_GB2312" w:eastAsia="仿宋_GB2312" w:hAnsi="仿宋_GB2312" w:cs="仿宋_GB2312" w:hint="eastAsia"/>
          <w:szCs w:val="21"/>
        </w:rPr>
        <w:t>2022</w:t>
      </w:r>
      <w:r>
        <w:rPr>
          <w:rFonts w:ascii="仿宋_GB2312" w:eastAsia="仿宋_GB2312" w:hAnsi="仿宋_GB2312" w:cs="仿宋_GB2312" w:hint="eastAsia"/>
          <w:szCs w:val="21"/>
        </w:rPr>
        <w:t>年部门决算报表中的“收入支出决算总表”</w:t>
      </w:r>
      <w:r>
        <w:rPr>
          <w:rFonts w:ascii="仿宋_GB2312" w:eastAsia="仿宋_GB2312" w:hAnsi="仿宋_GB2312" w:cs="仿宋_GB2312" w:hint="eastAsia"/>
          <w:szCs w:val="21"/>
        </w:rPr>
        <w:t>(</w:t>
      </w:r>
      <w:r>
        <w:rPr>
          <w:rFonts w:ascii="仿宋_GB2312" w:eastAsia="仿宋_GB2312" w:hAnsi="仿宋_GB2312" w:cs="仿宋_GB2312" w:hint="eastAsia"/>
          <w:szCs w:val="21"/>
        </w:rPr>
        <w:t>财决</w:t>
      </w:r>
      <w:r>
        <w:rPr>
          <w:rFonts w:ascii="仿宋_GB2312" w:eastAsia="仿宋_GB2312" w:hAnsi="仿宋_GB2312" w:cs="仿宋_GB2312" w:hint="eastAsia"/>
          <w:szCs w:val="21"/>
        </w:rPr>
        <w:t>01</w:t>
      </w:r>
      <w:r>
        <w:rPr>
          <w:rFonts w:ascii="仿宋_GB2312" w:eastAsia="仿宋_GB2312" w:hAnsi="仿宋_GB2312" w:cs="仿宋_GB2312" w:hint="eastAsia"/>
          <w:szCs w:val="21"/>
        </w:rPr>
        <w:t>表</w:t>
      </w:r>
      <w:r>
        <w:rPr>
          <w:rFonts w:ascii="仿宋_GB2312" w:eastAsia="仿宋_GB2312" w:hAnsi="仿宋_GB2312" w:cs="仿宋_GB2312" w:hint="eastAsia"/>
          <w:szCs w:val="21"/>
        </w:rPr>
        <w:t>)</w:t>
      </w:r>
      <w:r>
        <w:rPr>
          <w:rFonts w:ascii="仿宋_GB2312" w:eastAsia="仿宋_GB2312" w:hAnsi="仿宋_GB2312" w:cs="仿宋_GB2312" w:hint="eastAsia"/>
          <w:szCs w:val="21"/>
        </w:rPr>
        <w:t>。</w:t>
      </w:r>
    </w:p>
    <w:p w:rsidR="00BE5EEC" w:rsidRDefault="0039474A">
      <w:pPr>
        <w:spacing w:line="2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填表人：戚颖</w:t>
      </w:r>
      <w:r>
        <w:rPr>
          <w:rFonts w:ascii="仿宋_GB2312" w:eastAsia="仿宋_GB2312" w:hAnsi="仿宋_GB2312" w:cs="仿宋_GB2312" w:hint="eastAsia"/>
          <w:szCs w:val="21"/>
        </w:rPr>
        <w:t xml:space="preserve">    </w:t>
      </w:r>
      <w:r>
        <w:rPr>
          <w:rFonts w:ascii="仿宋_GB2312" w:eastAsia="仿宋_GB2312" w:hAnsi="仿宋_GB2312" w:cs="仿宋_GB2312" w:hint="eastAsia"/>
          <w:szCs w:val="21"/>
        </w:rPr>
        <w:t>填报日期：</w:t>
      </w:r>
      <w:r>
        <w:rPr>
          <w:rFonts w:ascii="仿宋_GB2312" w:eastAsia="仿宋_GB2312" w:hAnsi="仿宋_GB2312" w:cs="仿宋_GB2312" w:hint="eastAsia"/>
          <w:szCs w:val="21"/>
        </w:rPr>
        <w:t xml:space="preserve">2023.7.11 </w:t>
      </w:r>
      <w:r>
        <w:rPr>
          <w:rFonts w:ascii="仿宋_GB2312" w:eastAsia="仿宋_GB2312" w:hAnsi="仿宋_GB2312" w:cs="仿宋_GB2312" w:hint="eastAsia"/>
          <w:szCs w:val="21"/>
        </w:rPr>
        <w:t>联系电话：</w:t>
      </w:r>
      <w:r>
        <w:rPr>
          <w:rFonts w:ascii="仿宋_GB2312" w:eastAsia="仿宋_GB2312" w:hAnsi="仿宋_GB2312" w:cs="仿宋_GB2312" w:hint="eastAsia"/>
          <w:szCs w:val="21"/>
        </w:rPr>
        <w:t>18975022079</w:t>
      </w:r>
      <w:r>
        <w:rPr>
          <w:rFonts w:ascii="仿宋_GB2312" w:eastAsia="仿宋_GB2312" w:hAnsi="仿宋_GB2312" w:cs="仿宋_GB2312" w:hint="eastAsia"/>
          <w:szCs w:val="21"/>
        </w:rPr>
        <w:t>单位负责人签字：</w:t>
      </w:r>
    </w:p>
    <w:p w:rsidR="00BE5EEC" w:rsidRDefault="0039474A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BE5EEC" w:rsidRDefault="00BE5EEC">
      <w:pPr>
        <w:jc w:val="center"/>
        <w:rPr>
          <w:rFonts w:eastAsia="方正小标宋_GBK"/>
          <w:sz w:val="52"/>
          <w:szCs w:val="52"/>
        </w:rPr>
      </w:pPr>
    </w:p>
    <w:p w:rsidR="00BE5EEC" w:rsidRDefault="003947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年度人社局整体支出</w:t>
      </w:r>
    </w:p>
    <w:p w:rsidR="00BE5EEC" w:rsidRDefault="0039474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BE5EEC" w:rsidRDefault="00BE5EEC">
      <w:pPr>
        <w:jc w:val="center"/>
        <w:rPr>
          <w:rFonts w:eastAsia="方正小标宋_GBK"/>
          <w:b/>
          <w:sz w:val="52"/>
          <w:szCs w:val="5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楷体_GB2312"/>
          <w:b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jc w:val="center"/>
        <w:rPr>
          <w:rFonts w:eastAsia="黑体"/>
          <w:sz w:val="32"/>
          <w:szCs w:val="32"/>
        </w:rPr>
      </w:pPr>
    </w:p>
    <w:p w:rsidR="00BE5EEC" w:rsidRDefault="00BE5EEC">
      <w:pPr>
        <w:rPr>
          <w:rFonts w:eastAsia="黑体"/>
          <w:sz w:val="32"/>
          <w:szCs w:val="32"/>
        </w:rPr>
      </w:pPr>
    </w:p>
    <w:p w:rsidR="00BE5EEC" w:rsidRDefault="0039474A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部门（单位）名称：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（盖章）</w:t>
      </w:r>
    </w:p>
    <w:p w:rsidR="00BE5EEC" w:rsidRDefault="0039474A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07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BE5EEC" w:rsidRDefault="0039474A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（此页为封面）</w:t>
      </w:r>
    </w:p>
    <w:p w:rsidR="00BE5EEC" w:rsidRDefault="0039474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BE5EEC" w:rsidRDefault="00BE5EEC">
      <w:pPr>
        <w:pStyle w:val="a0"/>
      </w:pPr>
    </w:p>
    <w:p w:rsidR="00BE5EEC" w:rsidRDefault="00BE5EEC">
      <w:pPr>
        <w:sectPr w:rsidR="00BE5EEC">
          <w:footerReference w:type="default" r:id="rId6"/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BE5EEC" w:rsidRDefault="0039474A">
      <w:pPr>
        <w:spacing w:line="55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年度人社局整体支出绩效自评报告</w:t>
      </w:r>
    </w:p>
    <w:p w:rsidR="00BE5EEC" w:rsidRDefault="00BE5EEC">
      <w:pPr>
        <w:spacing w:line="55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部门（单位）基本情况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我局下辖华容县人力资源和社会保障局机关（含人事档案管理服务中心、人事考试中心、劳动人事争议仲裁院）、劳动保障监察大队、养老和工伤保险服务中心、劳动就业服务中心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人才服务中心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个本级单位和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个财务独立的二级单位。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主管着全县的促进就业、事业单位人员工资管理、合同鉴证、劳动争议仲裁、职业技能开发、社会保障基金监督及劳动执法等业务工作，涉及面广、业务量大、关乎全县的社会稳定大局及全县劳动者的切身利益。</w:t>
      </w: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二、基本支出情况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年基本支出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2034.16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万元。其中：人员支出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1511.85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万元，公用支出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522.31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万元。其中人员支出占基本支出的</w:t>
      </w:r>
      <w:r>
        <w:rPr>
          <w:rFonts w:ascii="仿宋_GB2312" w:eastAsia="仿宋_GB2312" w:hAnsi="仿宋_GB2312" w:cs="仿宋_GB2312" w:hint="eastAsia"/>
          <w:sz w:val="32"/>
          <w:szCs w:val="32"/>
        </w:rPr>
        <w:t>74.32%</w:t>
      </w:r>
      <w:r>
        <w:rPr>
          <w:rFonts w:ascii="仿宋_GB2312" w:eastAsia="仿宋_GB2312" w:hAnsi="仿宋_GB2312" w:cs="仿宋_GB2312" w:hint="eastAsia"/>
          <w:sz w:val="32"/>
          <w:szCs w:val="32"/>
        </w:rPr>
        <w:t>，公用支出占基本支出的</w:t>
      </w:r>
      <w:r>
        <w:rPr>
          <w:rFonts w:ascii="仿宋_GB2312" w:eastAsia="仿宋_GB2312" w:hAnsi="仿宋_GB2312" w:cs="仿宋_GB2312" w:hint="eastAsia"/>
          <w:sz w:val="32"/>
          <w:szCs w:val="32"/>
        </w:rPr>
        <w:t>25.68%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三、项目支出情况</w:t>
      </w:r>
    </w:p>
    <w:p w:rsidR="00BE5EEC" w:rsidRDefault="0039474A" w:rsidP="00535748">
      <w:pPr>
        <w:spacing w:line="55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专项资金安排落实、总投入等情况分析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年项目支出包括“三支一扶”人员专项经费、事业单位招聘、引进人才费用、劳动人事争议仲裁平台建设等工作，共安排专项资金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150.43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BE5EEC" w:rsidRDefault="0039474A" w:rsidP="00535748">
      <w:pPr>
        <w:spacing w:line="55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专项资金实际使用情况分析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年项目支出包括“三支一扶”人员专项支出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53.17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万元、事业单位招聘、引进人才费用等支出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87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万元、劳动人</w:t>
      </w:r>
      <w:r>
        <w:rPr>
          <w:rFonts w:ascii="仿宋_GB2312" w:eastAsia="仿宋_GB2312" w:hAnsi="仿宋_GB2312" w:cs="仿宋_GB2312" w:hint="eastAsia"/>
          <w:sz w:val="32"/>
          <w:szCs w:val="32"/>
        </w:rPr>
        <w:t>事争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议仲裁平台建设资金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万元、其他资源勘探工业信息等工作，共安排专项资金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0.26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</w:t>
      </w:r>
    </w:p>
    <w:p w:rsidR="00BE5EEC" w:rsidRDefault="0039474A" w:rsidP="00535748">
      <w:pPr>
        <w:spacing w:line="550" w:lineRule="exact"/>
        <w:ind w:firstLineChars="200" w:firstLine="641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.</w:t>
      </w:r>
      <w:r>
        <w:rPr>
          <w:rFonts w:ascii="楷体_GB2312" w:eastAsia="楷体_GB2312" w:hAnsi="楷体_GB2312" w:cs="楷体_GB2312" w:hint="eastAsia"/>
          <w:b/>
          <w:sz w:val="32"/>
          <w:szCs w:val="32"/>
        </w:rPr>
        <w:t>专项资金管理情况分析</w:t>
      </w:r>
    </w:p>
    <w:p w:rsidR="00BE5EEC" w:rsidRDefault="0039474A">
      <w:pPr>
        <w:spacing w:line="55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为确保各项工作的完成，我局高度重视专项资金的使用，严格坚持先做事，后验收，再拨付的原则，规范运用，做到专项专用。</w:t>
      </w: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四、部门整体支出绩效情况</w:t>
      </w:r>
    </w:p>
    <w:p w:rsidR="00BE5EEC" w:rsidRDefault="0039474A">
      <w:pPr>
        <w:spacing w:line="55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局在县委、县人大、县政府的正确领导下，在县财政局的精心指导和监督下，按照“部门编制经费预算”的指标和要求，严格财务管理，厉行节约，依法收支，确保全局各项工作的正常开展。出色完成了县委县政府下达的各项工作任务，确保了各项社保基金运行的安全完整，</w:t>
      </w:r>
      <w:r>
        <w:rPr>
          <w:rFonts w:ascii="仿宋_GB2312" w:eastAsia="仿宋_GB2312" w:hAnsi="仿宋_GB2312" w:cs="仿宋_GB2312" w:hint="eastAsia"/>
          <w:sz w:val="32"/>
          <w:szCs w:val="32"/>
        </w:rPr>
        <w:t>切实维护了劳动者的合法权益，确保社会和谐稳定。</w:t>
      </w: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五、存在的问题及原因分析</w:t>
      </w:r>
    </w:p>
    <w:p w:rsidR="00BE5EEC" w:rsidRDefault="0039474A">
      <w:pPr>
        <w:spacing w:line="55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由于预算绩效管理的专业性、复杂性等特性，业务水平和专业素质有待提高；预算绩效管理基础工作有待进一步加强。</w:t>
      </w:r>
    </w:p>
    <w:p w:rsidR="00BE5EEC" w:rsidRDefault="0039474A">
      <w:pPr>
        <w:spacing w:line="55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六、下一步改进措施</w:t>
      </w:r>
    </w:p>
    <w:p w:rsidR="00BE5EEC" w:rsidRDefault="0039474A">
      <w:pPr>
        <w:spacing w:line="55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科学合理编制预算，严格执行预算。要按照《预算法》及其实施条例的相关规定，参考上一年的预算执行情况和年度的收支预测科学编制预算，避免年中大幅追加以及超预算。同时严格预算执行，提高资金使用效率。</w:t>
      </w:r>
    </w:p>
    <w:p w:rsidR="00BE5EEC" w:rsidRDefault="0039474A">
      <w:pPr>
        <w:spacing w:line="55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BE5EEC">
          <w:pgSz w:w="11906" w:h="16838"/>
          <w:pgMar w:top="2098" w:right="1474" w:bottom="1984" w:left="1587" w:header="851" w:footer="1417" w:gutter="0"/>
          <w:cols w:space="0"/>
          <w:docGrid w:type="lines" w:linePitch="312"/>
        </w:sectPr>
      </w:pPr>
      <w:r>
        <w:rPr>
          <w:rFonts w:ascii="黑体" w:eastAsia="黑体" w:hAnsi="黑体" w:cs="黑体" w:hint="eastAsia"/>
          <w:sz w:val="32"/>
          <w:szCs w:val="32"/>
        </w:rPr>
        <w:t>七、其他需要说明的情况</w:t>
      </w:r>
      <w:bookmarkStart w:id="0" w:name="_GoBack"/>
      <w:bookmarkEnd w:id="0"/>
    </w:p>
    <w:p w:rsidR="00BE5EEC" w:rsidRDefault="00BE5EEC">
      <w:pPr>
        <w:widowControl/>
        <w:spacing w:line="610" w:lineRule="exact"/>
        <w:rPr>
          <w:rFonts w:ascii="仿宋_GB2312" w:eastAsia="仿宋_GB2312"/>
          <w:sz w:val="32"/>
          <w:szCs w:val="32"/>
        </w:rPr>
      </w:pPr>
    </w:p>
    <w:sectPr w:rsidR="00BE5EEC" w:rsidSect="00BE5EEC">
      <w:pgSz w:w="11906" w:h="16838"/>
      <w:pgMar w:top="1984" w:right="1701" w:bottom="1984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74A" w:rsidRDefault="0039474A" w:rsidP="00BE5EEC">
      <w:r>
        <w:separator/>
      </w:r>
    </w:p>
  </w:endnote>
  <w:endnote w:type="continuationSeparator" w:id="1">
    <w:p w:rsidR="0039474A" w:rsidRDefault="0039474A" w:rsidP="00BE5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CA25F70-26FF-4AB2-96E8-0D17D09242F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A746CA86-6679-4C5E-97E5-D8E4F56671DD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52FA8E74-32EA-4ECA-871E-C170DE2EDF31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4" w:subsetted="1" w:fontKey="{6C1BEE2C-0437-4897-8AC4-F539B82C2575}"/>
    <w:embedBold r:id="rId5" w:subsetted="1" w:fontKey="{6492B057-C4A7-48E7-87E2-F409039B74EA}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charset w:val="86"/>
    <w:family w:val="auto"/>
    <w:pitch w:val="default"/>
    <w:sig w:usb0="00000001" w:usb1="080E0000" w:usb2="00000000" w:usb3="00000000" w:csb0="00040000" w:csb1="00000000"/>
    <w:embedBold r:id="rId6" w:subsetted="1" w:fontKey="{2B5CA124-D4A6-41A0-ADAB-A885726B1B5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5781FE04-6B96-455D-A4A5-50FBE4E1B7C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EEC" w:rsidRDefault="00BE5EEC">
    <w:pPr>
      <w:pStyle w:val="a4"/>
      <w:jc w:val="right"/>
      <w:rPr>
        <w:rFonts w:ascii="仿宋_GB2312" w:eastAsia="仿宋_GB2312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74A" w:rsidRDefault="0039474A" w:rsidP="00BE5EEC">
      <w:r>
        <w:separator/>
      </w:r>
    </w:p>
  </w:footnote>
  <w:footnote w:type="continuationSeparator" w:id="1">
    <w:p w:rsidR="0039474A" w:rsidRDefault="0039474A" w:rsidP="00BE5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kwODI5ZWYwZDMxZjg0YTEzN2ZlOWM1MzNmMmY2ZGEifQ=="/>
  </w:docVars>
  <w:rsids>
    <w:rsidRoot w:val="0CCB7736"/>
    <w:rsid w:val="00023C9B"/>
    <w:rsid w:val="00047FEF"/>
    <w:rsid w:val="000A3906"/>
    <w:rsid w:val="000B069B"/>
    <w:rsid w:val="001776F1"/>
    <w:rsid w:val="00193EE5"/>
    <w:rsid w:val="00284AB5"/>
    <w:rsid w:val="002A6FD0"/>
    <w:rsid w:val="002F2597"/>
    <w:rsid w:val="0030142F"/>
    <w:rsid w:val="00317A51"/>
    <w:rsid w:val="0039474A"/>
    <w:rsid w:val="003D4E8F"/>
    <w:rsid w:val="00490869"/>
    <w:rsid w:val="004F61AD"/>
    <w:rsid w:val="00535748"/>
    <w:rsid w:val="0054373D"/>
    <w:rsid w:val="005F205E"/>
    <w:rsid w:val="006B100C"/>
    <w:rsid w:val="006F0A16"/>
    <w:rsid w:val="00736750"/>
    <w:rsid w:val="00773328"/>
    <w:rsid w:val="00821883"/>
    <w:rsid w:val="00845FD2"/>
    <w:rsid w:val="00854AEE"/>
    <w:rsid w:val="00917857"/>
    <w:rsid w:val="0091792F"/>
    <w:rsid w:val="00956C08"/>
    <w:rsid w:val="0097380F"/>
    <w:rsid w:val="009761BC"/>
    <w:rsid w:val="009D7BB0"/>
    <w:rsid w:val="00A755C2"/>
    <w:rsid w:val="00BC074D"/>
    <w:rsid w:val="00BE26E6"/>
    <w:rsid w:val="00BE5EEC"/>
    <w:rsid w:val="00C64EC8"/>
    <w:rsid w:val="00CA067E"/>
    <w:rsid w:val="00D16634"/>
    <w:rsid w:val="00DF5C73"/>
    <w:rsid w:val="00EA7A05"/>
    <w:rsid w:val="00F30C11"/>
    <w:rsid w:val="00FB0892"/>
    <w:rsid w:val="016A347B"/>
    <w:rsid w:val="02B50488"/>
    <w:rsid w:val="0338470A"/>
    <w:rsid w:val="034723DA"/>
    <w:rsid w:val="034822A9"/>
    <w:rsid w:val="038B1E0E"/>
    <w:rsid w:val="03D86621"/>
    <w:rsid w:val="04EE6171"/>
    <w:rsid w:val="05395EA9"/>
    <w:rsid w:val="06F76D30"/>
    <w:rsid w:val="0ABD557B"/>
    <w:rsid w:val="0BBB5A8D"/>
    <w:rsid w:val="0C104906"/>
    <w:rsid w:val="0CCB7736"/>
    <w:rsid w:val="0D4B167E"/>
    <w:rsid w:val="0D9E0E8D"/>
    <w:rsid w:val="0EAB7397"/>
    <w:rsid w:val="0EF755B3"/>
    <w:rsid w:val="0F17035E"/>
    <w:rsid w:val="0F4E168D"/>
    <w:rsid w:val="11404466"/>
    <w:rsid w:val="11963ADD"/>
    <w:rsid w:val="11AC01B4"/>
    <w:rsid w:val="11EB0F5C"/>
    <w:rsid w:val="11F20483"/>
    <w:rsid w:val="12D348D5"/>
    <w:rsid w:val="136F31F8"/>
    <w:rsid w:val="138750E0"/>
    <w:rsid w:val="15A620D3"/>
    <w:rsid w:val="16A3369E"/>
    <w:rsid w:val="178536BD"/>
    <w:rsid w:val="18C05A58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53637F"/>
    <w:rsid w:val="22FF5445"/>
    <w:rsid w:val="238C7853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CF97536"/>
    <w:rsid w:val="2E4F43C0"/>
    <w:rsid w:val="2EC7368E"/>
    <w:rsid w:val="308F6C04"/>
    <w:rsid w:val="309506D3"/>
    <w:rsid w:val="30FB4B41"/>
    <w:rsid w:val="31621165"/>
    <w:rsid w:val="323C5548"/>
    <w:rsid w:val="37450F88"/>
    <w:rsid w:val="37D6106F"/>
    <w:rsid w:val="38B05A93"/>
    <w:rsid w:val="38E67E8D"/>
    <w:rsid w:val="38F862EB"/>
    <w:rsid w:val="39343807"/>
    <w:rsid w:val="39671A73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2712E74"/>
    <w:rsid w:val="43173FD4"/>
    <w:rsid w:val="44143822"/>
    <w:rsid w:val="44654A12"/>
    <w:rsid w:val="457C5F26"/>
    <w:rsid w:val="45A76946"/>
    <w:rsid w:val="481F0C82"/>
    <w:rsid w:val="494B4547"/>
    <w:rsid w:val="49CF255F"/>
    <w:rsid w:val="4B2C5DCD"/>
    <w:rsid w:val="4B7D1173"/>
    <w:rsid w:val="4C150E22"/>
    <w:rsid w:val="4C6A38FC"/>
    <w:rsid w:val="4C85783A"/>
    <w:rsid w:val="4CE74BC3"/>
    <w:rsid w:val="4CF5000E"/>
    <w:rsid w:val="4DB17672"/>
    <w:rsid w:val="4DF52B42"/>
    <w:rsid w:val="50AC44C4"/>
    <w:rsid w:val="50EA6DB9"/>
    <w:rsid w:val="51CA7471"/>
    <w:rsid w:val="521C2FA3"/>
    <w:rsid w:val="522529B2"/>
    <w:rsid w:val="52495C63"/>
    <w:rsid w:val="528F3353"/>
    <w:rsid w:val="53910AF4"/>
    <w:rsid w:val="54A5650C"/>
    <w:rsid w:val="555952B3"/>
    <w:rsid w:val="556B5A36"/>
    <w:rsid w:val="55AF40BB"/>
    <w:rsid w:val="56F72F7C"/>
    <w:rsid w:val="586243BF"/>
    <w:rsid w:val="58FD3402"/>
    <w:rsid w:val="5AAF7799"/>
    <w:rsid w:val="5B5C1753"/>
    <w:rsid w:val="5DB84B4C"/>
    <w:rsid w:val="5E134100"/>
    <w:rsid w:val="5F7A1C50"/>
    <w:rsid w:val="601C4AB5"/>
    <w:rsid w:val="60BE691E"/>
    <w:rsid w:val="61444403"/>
    <w:rsid w:val="62265BDF"/>
    <w:rsid w:val="62E1699A"/>
    <w:rsid w:val="64147F0D"/>
    <w:rsid w:val="647B094D"/>
    <w:rsid w:val="64D66362"/>
    <w:rsid w:val="65515A4A"/>
    <w:rsid w:val="65860217"/>
    <w:rsid w:val="667E0AA1"/>
    <w:rsid w:val="67E437FB"/>
    <w:rsid w:val="683A1779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6FF137EC"/>
    <w:rsid w:val="70F93651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DE2125B"/>
    <w:rsid w:val="7E474F7B"/>
    <w:rsid w:val="7E8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E5EE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BE5EEC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BE5EEC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BE5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BE5EE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BE5E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BE5EEC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BE5EEC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BE5EEC"/>
    <w:rPr>
      <w:sz w:val="18"/>
      <w:szCs w:val="18"/>
    </w:rPr>
  </w:style>
  <w:style w:type="paragraph" w:styleId="a8">
    <w:name w:val="List Paragraph"/>
    <w:basedOn w:val="a"/>
    <w:uiPriority w:val="99"/>
    <w:qFormat/>
    <w:rsid w:val="00BE5EEC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9</Pages>
  <Words>593</Words>
  <Characters>3386</Characters>
  <Application>Microsoft Office Word</Application>
  <DocSecurity>0</DocSecurity>
  <Lines>28</Lines>
  <Paragraphs>7</Paragraphs>
  <ScaleCrop>false</ScaleCrop>
  <Company>china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cp:lastPrinted>2023-07-10T09:23:00Z</cp:lastPrinted>
  <dcterms:created xsi:type="dcterms:W3CDTF">2020-06-04T01:07:00Z</dcterms:created>
  <dcterms:modified xsi:type="dcterms:W3CDTF">2023-07-14T01:15:00Z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56008FE3200A42899F4476C3D6ACC711</vt:lpwstr>
  </property>
</Properties>
</file>