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97D" w:rsidRDefault="00D1539C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BB597D" w:rsidRDefault="00D1539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年度部门整体支出绩效评价基础数据表</w:t>
      </w:r>
    </w:p>
    <w:tbl>
      <w:tblPr>
        <w:tblW w:w="4997" w:type="pct"/>
        <w:jc w:val="center"/>
        <w:tblLook w:val="04A0"/>
      </w:tblPr>
      <w:tblGrid>
        <w:gridCol w:w="2316"/>
        <w:gridCol w:w="2177"/>
        <w:gridCol w:w="2693"/>
        <w:gridCol w:w="1875"/>
      </w:tblGrid>
      <w:tr w:rsidR="00BB597D">
        <w:trPr>
          <w:trHeight w:val="510"/>
          <w:jc w:val="center"/>
        </w:trPr>
        <w:tc>
          <w:tcPr>
            <w:tcW w:w="1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控制率</w:t>
            </w:r>
          </w:p>
        </w:tc>
      </w:tr>
      <w:tr w:rsidR="00BB597D">
        <w:trPr>
          <w:trHeight w:val="510"/>
          <w:jc w:val="center"/>
        </w:trPr>
        <w:tc>
          <w:tcPr>
            <w:tcW w:w="1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35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65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B597D">
        <w:trPr>
          <w:trHeight w:val="510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2021</w:t>
            </w: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年决算数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年决算数</w:t>
            </w:r>
          </w:p>
        </w:tc>
      </w:tr>
      <w:tr w:rsidR="00BB597D">
        <w:trPr>
          <w:trHeight w:val="510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一、基本支出：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1086.36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1078.06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1078.06</w:t>
            </w:r>
          </w:p>
        </w:tc>
      </w:tr>
      <w:tr w:rsidR="00BB597D">
        <w:trPr>
          <w:trHeight w:val="510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其中：三公经费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0.5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0</w:t>
            </w:r>
          </w:p>
        </w:tc>
      </w:tr>
      <w:tr w:rsidR="00BB597D">
        <w:trPr>
          <w:trHeight w:val="510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B597D">
        <w:trPr>
          <w:trHeight w:val="510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B597D">
        <w:trPr>
          <w:trHeight w:val="510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B597D">
        <w:trPr>
          <w:trHeight w:val="510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B597D">
        <w:trPr>
          <w:trHeight w:val="510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0.5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0</w:t>
            </w:r>
          </w:p>
        </w:tc>
      </w:tr>
      <w:tr w:rsidR="00BB597D">
        <w:trPr>
          <w:trHeight w:val="510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二、项目支出：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96.82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150.17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150.17</w:t>
            </w:r>
          </w:p>
        </w:tc>
      </w:tr>
      <w:tr w:rsidR="00BB597D">
        <w:trPr>
          <w:trHeight w:val="510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人事考试经费、人才引进考试费用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23.69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87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87</w:t>
            </w:r>
          </w:p>
        </w:tc>
      </w:tr>
      <w:tr w:rsidR="00BB597D">
        <w:trPr>
          <w:trHeight w:val="510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“三支一扶”人员专项支出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49.13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53.17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53.17</w:t>
            </w:r>
          </w:p>
        </w:tc>
      </w:tr>
      <w:tr w:rsidR="00BB597D">
        <w:trPr>
          <w:trHeight w:val="510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农民工工资专项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24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B597D">
        <w:trPr>
          <w:trHeight w:val="510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4.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劳动人事争议仲裁平台建设资金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BB597D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</w:p>
        </w:tc>
      </w:tr>
      <w:tr w:rsidR="00BB597D">
        <w:trPr>
          <w:trHeight w:val="510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Pr="000905D5" w:rsidRDefault="000905D5">
            <w:pPr>
              <w:widowControl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严格执行</w:t>
            </w:r>
            <w:r w:rsidRPr="000905D5">
              <w:rPr>
                <w:rFonts w:ascii="宋体" w:hAnsi="宋体" w:cs="宋体" w:hint="eastAsia"/>
                <w:szCs w:val="21"/>
              </w:rPr>
              <w:t>《</w:t>
            </w:r>
            <w:r>
              <w:rPr>
                <w:rFonts w:ascii="宋体" w:hAnsi="宋体" w:cs="宋体" w:hint="eastAsia"/>
                <w:szCs w:val="21"/>
              </w:rPr>
              <w:t>关于进一步规范财政财务管理严肃财经纪律的十条规定</w:t>
            </w:r>
            <w:r w:rsidRPr="000905D5">
              <w:rPr>
                <w:rFonts w:ascii="宋体" w:hAnsi="宋体" w:cs="宋体" w:hint="eastAsia"/>
                <w:szCs w:val="21"/>
              </w:rPr>
              <w:t>》</w:t>
            </w:r>
            <w:r>
              <w:rPr>
                <w:rFonts w:ascii="宋体" w:hAnsi="宋体" w:cs="宋体" w:hint="eastAsia"/>
                <w:szCs w:val="21"/>
              </w:rPr>
              <w:t>，进一步将过“紧日子”的要求落到实处。</w:t>
            </w:r>
          </w:p>
        </w:tc>
      </w:tr>
    </w:tbl>
    <w:p w:rsidR="00BB597D" w:rsidRDefault="00D1539C">
      <w:pPr>
        <w:widowControl/>
        <w:spacing w:line="300" w:lineRule="exact"/>
        <w:jc w:val="left"/>
        <w:rPr>
          <w:rFonts w:ascii="仿宋_GB2312" w:eastAsia="仿宋_GB2312" w:hAnsi="仿宋_GB2312" w:cs="仿宋_GB2312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说明：以上数据均来源于部门决算报表，其中“基本支出”数据参照基本支出决算明细表（财决</w:t>
      </w:r>
      <w:r>
        <w:rPr>
          <w:rFonts w:ascii="仿宋_GB2312" w:eastAsia="仿宋_GB2312" w:hAnsi="仿宋_GB2312" w:cs="仿宋_GB2312" w:hint="eastAsia"/>
          <w:szCs w:val="21"/>
        </w:rPr>
        <w:t>05-1</w:t>
      </w:r>
      <w:r>
        <w:rPr>
          <w:rFonts w:ascii="仿宋_GB2312" w:eastAsia="仿宋_GB2312" w:hAnsi="仿宋_GB2312" w:cs="仿宋_GB2312" w:hint="eastAsia"/>
          <w:szCs w:val="21"/>
        </w:rPr>
        <w:t>表）；“三公经费”数据参照机构运行信息表（财决附</w:t>
      </w:r>
      <w:r>
        <w:rPr>
          <w:rFonts w:ascii="仿宋_GB2312" w:eastAsia="仿宋_GB2312" w:hAnsi="仿宋_GB2312" w:cs="仿宋_GB2312" w:hint="eastAsia"/>
          <w:szCs w:val="21"/>
        </w:rPr>
        <w:t>03</w:t>
      </w:r>
      <w:r>
        <w:rPr>
          <w:rFonts w:ascii="仿宋_GB2312" w:eastAsia="仿宋_GB2312" w:hAnsi="仿宋_GB2312" w:cs="仿宋_GB2312" w:hint="eastAsia"/>
          <w:szCs w:val="21"/>
        </w:rPr>
        <w:t>表）；“项目支出”数据参照项目支出决算明细表（财决</w:t>
      </w:r>
      <w:r>
        <w:rPr>
          <w:rFonts w:ascii="仿宋_GB2312" w:eastAsia="仿宋_GB2312" w:hAnsi="仿宋_GB2312" w:cs="仿宋_GB2312" w:hint="eastAsia"/>
          <w:szCs w:val="21"/>
        </w:rPr>
        <w:t>05-2</w:t>
      </w:r>
      <w:r>
        <w:rPr>
          <w:rFonts w:ascii="仿宋_GB2312" w:eastAsia="仿宋_GB2312" w:hAnsi="仿宋_GB2312" w:cs="仿宋_GB2312" w:hint="eastAsia"/>
          <w:szCs w:val="21"/>
        </w:rPr>
        <w:t>表）。</w:t>
      </w:r>
    </w:p>
    <w:p w:rsidR="00BB597D" w:rsidRDefault="00BB597D">
      <w:pPr>
        <w:widowControl/>
        <w:spacing w:line="300" w:lineRule="exact"/>
        <w:jc w:val="left"/>
        <w:rPr>
          <w:rFonts w:ascii="仿宋_GB2312" w:eastAsia="仿宋_GB2312" w:hAnsi="仿宋_GB2312" w:cs="仿宋_GB2312"/>
          <w:szCs w:val="21"/>
        </w:rPr>
      </w:pPr>
    </w:p>
    <w:p w:rsidR="00BB597D" w:rsidRDefault="00D1539C">
      <w:pPr>
        <w:rPr>
          <w:rFonts w:ascii="仿宋_GB2312" w:eastAsia="仿宋_GB2312" w:hAnsi="仿宋_GB2312" w:cs="仿宋_GB2312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填表人：戚颖</w:t>
      </w:r>
      <w:r>
        <w:rPr>
          <w:rFonts w:ascii="仿宋_GB2312" w:eastAsia="仿宋_GB2312" w:hAnsi="仿宋_GB2312" w:cs="仿宋_GB2312" w:hint="eastAsia"/>
          <w:szCs w:val="21"/>
        </w:rPr>
        <w:t xml:space="preserve">    </w:t>
      </w:r>
      <w:r>
        <w:rPr>
          <w:rFonts w:ascii="仿宋_GB2312" w:eastAsia="仿宋_GB2312" w:hAnsi="仿宋_GB2312" w:cs="仿宋_GB2312" w:hint="eastAsia"/>
          <w:szCs w:val="21"/>
        </w:rPr>
        <w:t>填报日期：</w:t>
      </w:r>
      <w:r>
        <w:rPr>
          <w:rFonts w:ascii="仿宋_GB2312" w:eastAsia="仿宋_GB2312" w:hAnsi="仿宋_GB2312" w:cs="仿宋_GB2312" w:hint="eastAsia"/>
          <w:szCs w:val="21"/>
        </w:rPr>
        <w:t xml:space="preserve">2023.7.10   </w:t>
      </w:r>
      <w:r>
        <w:rPr>
          <w:rFonts w:ascii="仿宋_GB2312" w:eastAsia="仿宋_GB2312" w:hAnsi="仿宋_GB2312" w:cs="仿宋_GB2312" w:hint="eastAsia"/>
          <w:szCs w:val="21"/>
        </w:rPr>
        <w:t>联系电话：</w:t>
      </w:r>
      <w:r>
        <w:rPr>
          <w:rFonts w:ascii="仿宋_GB2312" w:eastAsia="仿宋_GB2312" w:hAnsi="仿宋_GB2312" w:cs="仿宋_GB2312" w:hint="eastAsia"/>
          <w:szCs w:val="21"/>
        </w:rPr>
        <w:t xml:space="preserve">18975022079   </w:t>
      </w:r>
      <w:r>
        <w:rPr>
          <w:rFonts w:ascii="仿宋_GB2312" w:eastAsia="仿宋_GB2312" w:hAnsi="仿宋_GB2312" w:cs="仿宋_GB2312" w:hint="eastAsia"/>
          <w:szCs w:val="21"/>
        </w:rPr>
        <w:t>单位负责人签字：</w:t>
      </w:r>
      <w:r>
        <w:rPr>
          <w:rFonts w:ascii="仿宋_GB2312" w:eastAsia="仿宋_GB2312" w:hAnsi="仿宋_GB2312" w:cs="仿宋_GB2312" w:hint="eastAsia"/>
          <w:szCs w:val="21"/>
        </w:rPr>
        <w:br w:type="page"/>
      </w:r>
      <w:r>
        <w:rPr>
          <w:rFonts w:ascii="仿宋_GB2312" w:eastAsia="仿宋_GB2312" w:hAnsi="仿宋_GB2312" w:cs="仿宋_GB2312" w:hint="eastAsia"/>
          <w:szCs w:val="21"/>
        </w:rPr>
        <w:lastRenderedPageBreak/>
        <w:br w:type="page"/>
      </w:r>
    </w:p>
    <w:p w:rsidR="00BB597D" w:rsidRDefault="00D1539C">
      <w:pPr>
        <w:widowControl/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BB597D" w:rsidRDefault="00D1539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年度部门整体支出绩效自评表</w:t>
      </w:r>
    </w:p>
    <w:tbl>
      <w:tblPr>
        <w:tblW w:w="5994" w:type="pct"/>
        <w:jc w:val="center"/>
        <w:tblLayout w:type="fixed"/>
        <w:tblLook w:val="04A0"/>
      </w:tblPr>
      <w:tblGrid>
        <w:gridCol w:w="375"/>
        <w:gridCol w:w="761"/>
        <w:gridCol w:w="750"/>
        <w:gridCol w:w="3241"/>
        <w:gridCol w:w="1271"/>
        <w:gridCol w:w="1314"/>
        <w:gridCol w:w="704"/>
        <w:gridCol w:w="875"/>
        <w:gridCol w:w="1571"/>
      </w:tblGrid>
      <w:tr w:rsidR="00BB597D">
        <w:trPr>
          <w:trHeight w:val="907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县级预算部门名称</w:t>
            </w:r>
          </w:p>
        </w:tc>
        <w:tc>
          <w:tcPr>
            <w:tcW w:w="482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华容县人力资源和社会保障局（本级）</w:t>
            </w: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年度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预算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申请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）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万元）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年初预算数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全年预算数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全年执行数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分值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执行率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得分</w:t>
            </w: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年度资金总额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716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1228.23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1228.23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100%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7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按收入性质分：</w:t>
            </w:r>
          </w:p>
        </w:tc>
        <w:tc>
          <w:tcPr>
            <w:tcW w:w="205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按支出性质分：</w:t>
            </w: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7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其中：一般公共预算：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1228.23</w:t>
            </w:r>
          </w:p>
        </w:tc>
        <w:tc>
          <w:tcPr>
            <w:tcW w:w="205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其中：基本支出：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1078.06</w:t>
            </w: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7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ind w:firstLineChars="300" w:firstLine="630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政府性基金拨款：</w:t>
            </w:r>
          </w:p>
        </w:tc>
        <w:tc>
          <w:tcPr>
            <w:tcW w:w="205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ind w:firstLineChars="300" w:firstLine="630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项目支出：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150.17</w:t>
            </w: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7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纳入专户管理的非税收入拨款：</w:t>
            </w:r>
          </w:p>
        </w:tc>
        <w:tc>
          <w:tcPr>
            <w:tcW w:w="205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7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ind w:firstLineChars="600" w:firstLine="1260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其他资金：</w:t>
            </w:r>
          </w:p>
        </w:tc>
        <w:tc>
          <w:tcPr>
            <w:tcW w:w="205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年度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总体目标</w:t>
            </w:r>
          </w:p>
        </w:tc>
        <w:tc>
          <w:tcPr>
            <w:tcW w:w="2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预期目标</w:t>
            </w:r>
          </w:p>
        </w:tc>
        <w:tc>
          <w:tcPr>
            <w:tcW w:w="20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实际完成情况　</w:t>
            </w:r>
          </w:p>
        </w:tc>
      </w:tr>
      <w:tr w:rsidR="00BB597D">
        <w:trPr>
          <w:trHeight w:val="397"/>
          <w:jc w:val="center"/>
        </w:trPr>
        <w:tc>
          <w:tcPr>
            <w:tcW w:w="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7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left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1.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保证人员经费正常发放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br/>
              <w:t>2.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保证单位经费正常运转，工作顺利开展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br/>
              <w:t>3.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保证人事及企业职工档案工作正常运转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br/>
              <w:t>4.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保证仲裁及工伤办案工作顺利开展</w:t>
            </w:r>
          </w:p>
          <w:p w:rsidR="00BB597D" w:rsidRDefault="00D1539C">
            <w:pPr>
              <w:widowControl/>
              <w:spacing w:line="220" w:lineRule="exact"/>
              <w:jc w:val="left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5.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保证“三支一扶”、老干部慰问工作顺利开展</w:t>
            </w:r>
          </w:p>
          <w:p w:rsidR="00BB597D" w:rsidRDefault="00D1539C">
            <w:pPr>
              <w:widowControl/>
              <w:spacing w:line="220" w:lineRule="exact"/>
              <w:jc w:val="left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6.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保证职称评定工作顺利进行</w:t>
            </w:r>
          </w:p>
          <w:p w:rsidR="00BB597D" w:rsidRDefault="00D1539C">
            <w:pPr>
              <w:autoSpaceDN w:val="0"/>
              <w:spacing w:line="220" w:lineRule="exact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7.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保证高校毕业生招聘工作顺利进行</w:t>
            </w:r>
          </w:p>
          <w:p w:rsidR="00BB597D" w:rsidRDefault="00D1539C">
            <w:pPr>
              <w:autoSpaceDN w:val="0"/>
              <w:spacing w:line="2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8.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完成县委县政府各项工作任务。</w:t>
            </w:r>
          </w:p>
          <w:p w:rsidR="00BB597D" w:rsidRDefault="00D1539C">
            <w:pPr>
              <w:autoSpaceDN w:val="0"/>
              <w:spacing w:line="2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9.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加强社保基金监督管理，确保基金安全完整。</w:t>
            </w:r>
          </w:p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10.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切实维护劳动者的合法权益，确保社会和谐稳定。</w:t>
            </w:r>
          </w:p>
        </w:tc>
        <w:tc>
          <w:tcPr>
            <w:tcW w:w="20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出色完成了县委县政府下达的各项工作任务，确保了各项社保基金运行的安全完整，切实维护了劳动者的合法权益，确保社会和谐稳定。</w:t>
            </w:r>
          </w:p>
        </w:tc>
      </w:tr>
      <w:tr w:rsidR="00BB597D">
        <w:trPr>
          <w:trHeight w:val="454"/>
          <w:jc w:val="center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绩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效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标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一级指标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二级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三级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年度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指标值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实际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完成值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分值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得分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偏差原因分析及改进措施</w:t>
            </w: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产出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(50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分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)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数量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退休老干部慰问人数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≥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51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51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454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“三支一扶”助学代偿补助及慰问人数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≥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新增城镇就业人数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≥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103.5%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5488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失业人员再就业人数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≥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185.6%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5569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454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组织“四海揽才”事业单位公开招聘等各类事业单位招聘与选调考试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≥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次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454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完成全县事业单位人事档案复审工作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≥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3950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3950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卷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质量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及时足额完成基金征缴任务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ind w:firstLineChars="100" w:firstLine="21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及时足额发放各项社会保障费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劳动仲裁受理案件结案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深入开展根治欠薪工作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工伤认定受理案件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人事人才档案收件率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公益性岗位补贴到位率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基础养老金补贴到位率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职称评定通过率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70%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70%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时效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资金给付的及时性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454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认真开展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年度事业单位年度考核工作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完成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年度事业单位招录工作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整体项目和工作完成及时性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454"/>
          <w:jc w:val="center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成本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严格控制工作经费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工作经费同比下降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已完成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454"/>
          <w:jc w:val="center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绩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效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</w:t>
            </w:r>
          </w:p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标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一级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二级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三级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年度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指标值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实际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完成值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分值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得分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偏差原因分析及改进措施</w:t>
            </w: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效益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（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分）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经济效益指标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“三支一扶”人员待遇提高率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资金使用效率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454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社会效益指标</w:t>
            </w:r>
          </w:p>
        </w:tc>
        <w:tc>
          <w:tcPr>
            <w:tcW w:w="1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劳动仲裁及劳动能力鉴定的社会效益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维护劳动者合法权益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维护劳动者合法权益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454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妥善管理人事档案的社会效益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促进人才流通，保护和利用档案，更好服务社会经济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促进人才流通，保护和利用档案，更好服务社会经济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462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党建工作经费用于开展活动的影响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为机关党组织开展活动创造良好条件，确保机关党员活动有效开展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为机关党组织开展活动创造良好条件，确保机关党员活动有效开展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454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招录事业单位工作人员对政府工作的影响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提高政府工作办事效率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提高政府工作办事效率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97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生态效益指标</w:t>
            </w:r>
          </w:p>
        </w:tc>
        <w:tc>
          <w:tcPr>
            <w:tcW w:w="1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提高劳动者素质、加快人力资源开发，拓宽就业渠道等，确保就业形势总体稳定，促进社会和谐进步，提高人民生活水平。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程度较高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100%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4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462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完善流动人员档案管理，提高服务标准和服务流程，满足服务对象的需求。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程度较高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100%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B597D">
        <w:trPr>
          <w:trHeight w:val="454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可持续影响指标</w:t>
            </w:r>
          </w:p>
        </w:tc>
        <w:tc>
          <w:tcPr>
            <w:tcW w:w="1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人社部门工作持续发展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人社工作持续发展</w:t>
            </w:r>
          </w:p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人社工作持续发展</w:t>
            </w:r>
          </w:p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4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40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满意度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（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分）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服务对象满意度指标</w:t>
            </w:r>
          </w:p>
        </w:tc>
        <w:tc>
          <w:tcPr>
            <w:tcW w:w="1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办理案件服务满意度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≥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97%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95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4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454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5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spacing w:line="22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办理档案管理服务满意率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≥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95%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95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4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BB597D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B597D">
        <w:trPr>
          <w:trHeight w:val="397"/>
          <w:jc w:val="center"/>
        </w:trPr>
        <w:tc>
          <w:tcPr>
            <w:tcW w:w="35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总分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　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94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7D" w:rsidRDefault="00D1539C">
            <w:pPr>
              <w:widowControl/>
              <w:spacing w:line="22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　</w:t>
            </w:r>
          </w:p>
        </w:tc>
      </w:tr>
    </w:tbl>
    <w:p w:rsidR="00BB597D" w:rsidRDefault="00D1539C">
      <w:pPr>
        <w:rPr>
          <w:rFonts w:ascii="仿宋_GB2312" w:eastAsia="仿宋_GB2312" w:hAnsi="仿宋_GB2312" w:cs="仿宋_GB2312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说明：以上数据参照</w:t>
      </w:r>
      <w:r>
        <w:rPr>
          <w:rFonts w:ascii="仿宋_GB2312" w:eastAsia="仿宋_GB2312" w:hAnsi="仿宋_GB2312" w:cs="仿宋_GB2312" w:hint="eastAsia"/>
          <w:szCs w:val="21"/>
        </w:rPr>
        <w:t>2022</w:t>
      </w:r>
      <w:r>
        <w:rPr>
          <w:rFonts w:ascii="仿宋_GB2312" w:eastAsia="仿宋_GB2312" w:hAnsi="仿宋_GB2312" w:cs="仿宋_GB2312" w:hint="eastAsia"/>
          <w:szCs w:val="21"/>
        </w:rPr>
        <w:t>年部门决算报表中的“收入支出决算总表”</w:t>
      </w:r>
      <w:r>
        <w:rPr>
          <w:rFonts w:ascii="仿宋_GB2312" w:eastAsia="仿宋_GB2312" w:hAnsi="仿宋_GB2312" w:cs="仿宋_GB2312" w:hint="eastAsia"/>
          <w:szCs w:val="21"/>
        </w:rPr>
        <w:t>(</w:t>
      </w:r>
      <w:r>
        <w:rPr>
          <w:rFonts w:ascii="仿宋_GB2312" w:eastAsia="仿宋_GB2312" w:hAnsi="仿宋_GB2312" w:cs="仿宋_GB2312" w:hint="eastAsia"/>
          <w:szCs w:val="21"/>
        </w:rPr>
        <w:t>财决</w:t>
      </w:r>
      <w:r>
        <w:rPr>
          <w:rFonts w:ascii="仿宋_GB2312" w:eastAsia="仿宋_GB2312" w:hAnsi="仿宋_GB2312" w:cs="仿宋_GB2312" w:hint="eastAsia"/>
          <w:szCs w:val="21"/>
        </w:rPr>
        <w:t>01</w:t>
      </w:r>
      <w:r>
        <w:rPr>
          <w:rFonts w:ascii="仿宋_GB2312" w:eastAsia="仿宋_GB2312" w:hAnsi="仿宋_GB2312" w:cs="仿宋_GB2312" w:hint="eastAsia"/>
          <w:szCs w:val="21"/>
        </w:rPr>
        <w:t>表</w:t>
      </w:r>
      <w:r>
        <w:rPr>
          <w:rFonts w:ascii="仿宋_GB2312" w:eastAsia="仿宋_GB2312" w:hAnsi="仿宋_GB2312" w:cs="仿宋_GB2312" w:hint="eastAsia"/>
          <w:szCs w:val="21"/>
        </w:rPr>
        <w:t>)</w:t>
      </w:r>
      <w:r>
        <w:rPr>
          <w:rFonts w:ascii="仿宋_GB2312" w:eastAsia="仿宋_GB2312" w:hAnsi="仿宋_GB2312" w:cs="仿宋_GB2312" w:hint="eastAsia"/>
          <w:szCs w:val="21"/>
        </w:rPr>
        <w:t>。</w:t>
      </w:r>
    </w:p>
    <w:p w:rsidR="00BB597D" w:rsidRDefault="00D1539C">
      <w:pPr>
        <w:rPr>
          <w:rFonts w:eastAsia="方正小标宋_GBK"/>
          <w:sz w:val="52"/>
          <w:szCs w:val="52"/>
        </w:rPr>
      </w:pPr>
      <w:r>
        <w:rPr>
          <w:rFonts w:ascii="仿宋_GB2312" w:eastAsia="仿宋_GB2312" w:hAnsi="仿宋_GB2312" w:cs="仿宋_GB2312" w:hint="eastAsia"/>
          <w:szCs w:val="21"/>
        </w:rPr>
        <w:t>填表人：戚颖</w:t>
      </w:r>
      <w:r>
        <w:rPr>
          <w:rFonts w:ascii="仿宋_GB2312" w:eastAsia="仿宋_GB2312" w:hAnsi="仿宋_GB2312" w:cs="仿宋_GB2312" w:hint="eastAsia"/>
          <w:szCs w:val="21"/>
        </w:rPr>
        <w:t xml:space="preserve">  </w:t>
      </w:r>
      <w:r>
        <w:rPr>
          <w:rFonts w:ascii="仿宋_GB2312" w:eastAsia="仿宋_GB2312" w:hAnsi="仿宋_GB2312" w:cs="仿宋_GB2312" w:hint="eastAsia"/>
          <w:szCs w:val="21"/>
        </w:rPr>
        <w:t xml:space="preserve">  </w:t>
      </w:r>
      <w:r>
        <w:rPr>
          <w:rFonts w:ascii="仿宋_GB2312" w:eastAsia="仿宋_GB2312" w:hAnsi="仿宋_GB2312" w:cs="仿宋_GB2312" w:hint="eastAsia"/>
          <w:szCs w:val="21"/>
        </w:rPr>
        <w:t>填报日期：</w:t>
      </w:r>
      <w:r>
        <w:rPr>
          <w:rFonts w:ascii="仿宋_GB2312" w:eastAsia="仿宋_GB2312" w:hAnsi="仿宋_GB2312" w:cs="仿宋_GB2312" w:hint="eastAsia"/>
          <w:szCs w:val="21"/>
        </w:rPr>
        <w:t xml:space="preserve">2023.7.10   </w:t>
      </w:r>
      <w:r>
        <w:rPr>
          <w:rFonts w:ascii="仿宋_GB2312" w:eastAsia="仿宋_GB2312" w:hAnsi="仿宋_GB2312" w:cs="仿宋_GB2312" w:hint="eastAsia"/>
          <w:szCs w:val="21"/>
        </w:rPr>
        <w:t>联系电话：</w:t>
      </w:r>
      <w:r>
        <w:rPr>
          <w:rFonts w:ascii="仿宋_GB2312" w:eastAsia="仿宋_GB2312" w:hAnsi="仿宋_GB2312" w:cs="仿宋_GB2312" w:hint="eastAsia"/>
          <w:szCs w:val="21"/>
        </w:rPr>
        <w:t xml:space="preserve">18975022079   </w:t>
      </w:r>
      <w:r>
        <w:rPr>
          <w:rFonts w:ascii="仿宋_GB2312" w:eastAsia="仿宋_GB2312" w:hAnsi="仿宋_GB2312" w:cs="仿宋_GB2312" w:hint="eastAsia"/>
          <w:szCs w:val="21"/>
        </w:rPr>
        <w:t>单位负责人签字：</w:t>
      </w:r>
      <w:r>
        <w:rPr>
          <w:rFonts w:ascii="仿宋_GB2312" w:eastAsia="仿宋_GB2312" w:hAnsi="仿宋_GB2312" w:cs="仿宋_GB2312" w:hint="eastAsia"/>
          <w:szCs w:val="21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:rsidR="00BB597D" w:rsidRDefault="00D1539C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年度人社局（本级）整体支出</w:t>
      </w:r>
    </w:p>
    <w:p w:rsidR="00BB597D" w:rsidRDefault="00D1539C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绩效自评报告</w:t>
      </w:r>
    </w:p>
    <w:p w:rsidR="00BB597D" w:rsidRDefault="00BB597D">
      <w:pPr>
        <w:jc w:val="center"/>
        <w:rPr>
          <w:rFonts w:eastAsia="方正小标宋_GBK"/>
          <w:b/>
          <w:sz w:val="52"/>
          <w:szCs w:val="52"/>
        </w:rPr>
      </w:pPr>
    </w:p>
    <w:p w:rsidR="00BB597D" w:rsidRDefault="00BB597D">
      <w:pPr>
        <w:jc w:val="center"/>
        <w:rPr>
          <w:rFonts w:eastAsia="楷体_GB2312"/>
          <w:b/>
          <w:sz w:val="32"/>
          <w:szCs w:val="32"/>
        </w:rPr>
      </w:pPr>
    </w:p>
    <w:p w:rsidR="00BB597D" w:rsidRDefault="00BB597D">
      <w:pPr>
        <w:jc w:val="center"/>
        <w:rPr>
          <w:rFonts w:eastAsia="楷体_GB2312"/>
          <w:b/>
          <w:sz w:val="32"/>
          <w:szCs w:val="32"/>
        </w:rPr>
      </w:pPr>
    </w:p>
    <w:p w:rsidR="00BB597D" w:rsidRDefault="00BB597D">
      <w:pPr>
        <w:jc w:val="center"/>
        <w:rPr>
          <w:rFonts w:eastAsia="楷体_GB2312"/>
          <w:b/>
          <w:sz w:val="32"/>
          <w:szCs w:val="32"/>
        </w:rPr>
      </w:pPr>
    </w:p>
    <w:p w:rsidR="00BB597D" w:rsidRDefault="00BB597D">
      <w:pPr>
        <w:jc w:val="center"/>
        <w:rPr>
          <w:rFonts w:eastAsia="楷体_GB2312"/>
          <w:b/>
          <w:sz w:val="32"/>
          <w:szCs w:val="32"/>
        </w:rPr>
      </w:pPr>
    </w:p>
    <w:p w:rsidR="00BB597D" w:rsidRDefault="00BB597D">
      <w:pPr>
        <w:jc w:val="center"/>
        <w:rPr>
          <w:rFonts w:eastAsia="楷体_GB2312"/>
          <w:b/>
          <w:sz w:val="32"/>
          <w:szCs w:val="32"/>
        </w:rPr>
      </w:pPr>
    </w:p>
    <w:p w:rsidR="00BB597D" w:rsidRDefault="00BB597D">
      <w:pPr>
        <w:jc w:val="center"/>
        <w:rPr>
          <w:rFonts w:eastAsia="楷体_GB2312"/>
          <w:b/>
          <w:sz w:val="32"/>
          <w:szCs w:val="32"/>
        </w:rPr>
      </w:pPr>
    </w:p>
    <w:p w:rsidR="00BB597D" w:rsidRDefault="00BB597D">
      <w:pPr>
        <w:jc w:val="center"/>
        <w:rPr>
          <w:rFonts w:eastAsia="黑体"/>
          <w:sz w:val="32"/>
          <w:szCs w:val="32"/>
        </w:rPr>
      </w:pPr>
    </w:p>
    <w:p w:rsidR="00BB597D" w:rsidRDefault="00BB597D">
      <w:pPr>
        <w:jc w:val="center"/>
        <w:rPr>
          <w:rFonts w:eastAsia="黑体"/>
          <w:sz w:val="32"/>
          <w:szCs w:val="32"/>
        </w:rPr>
      </w:pPr>
    </w:p>
    <w:p w:rsidR="00BB597D" w:rsidRDefault="00BB597D">
      <w:pPr>
        <w:jc w:val="center"/>
        <w:rPr>
          <w:rFonts w:eastAsia="黑体"/>
          <w:sz w:val="32"/>
          <w:szCs w:val="32"/>
        </w:rPr>
      </w:pPr>
    </w:p>
    <w:p w:rsidR="00BB597D" w:rsidRDefault="00BB597D">
      <w:pPr>
        <w:rPr>
          <w:rFonts w:eastAsia="黑体"/>
          <w:sz w:val="32"/>
          <w:szCs w:val="32"/>
        </w:rPr>
      </w:pPr>
    </w:p>
    <w:p w:rsidR="00BB597D" w:rsidRDefault="00BB597D">
      <w:pPr>
        <w:jc w:val="center"/>
        <w:rPr>
          <w:rFonts w:eastAsia="黑体"/>
          <w:sz w:val="32"/>
          <w:szCs w:val="32"/>
        </w:rPr>
      </w:pPr>
    </w:p>
    <w:p w:rsidR="00BB597D" w:rsidRDefault="00BB597D">
      <w:pPr>
        <w:rPr>
          <w:rFonts w:eastAsia="黑体"/>
          <w:sz w:val="32"/>
          <w:szCs w:val="32"/>
        </w:rPr>
      </w:pPr>
    </w:p>
    <w:p w:rsidR="00BB597D" w:rsidRDefault="00D1539C">
      <w:pPr>
        <w:spacing w:line="600" w:lineRule="exact"/>
        <w:jc w:val="center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部门（单位）名称：</w:t>
      </w:r>
      <w:r>
        <w:rPr>
          <w:rFonts w:eastAsia="仿宋_GB2312"/>
          <w:sz w:val="32"/>
          <w:szCs w:val="32"/>
          <w:u w:val="single"/>
        </w:rPr>
        <w:t>（盖章）</w:t>
      </w:r>
    </w:p>
    <w:p w:rsidR="00BB597D" w:rsidRDefault="00D1539C">
      <w:pPr>
        <w:spacing w:line="600" w:lineRule="exact"/>
        <w:jc w:val="center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2023</w:t>
      </w:r>
      <w:r>
        <w:rPr>
          <w:rFonts w:eastAsia="楷体_GB2312"/>
          <w:sz w:val="32"/>
          <w:szCs w:val="32"/>
        </w:rPr>
        <w:t>年</w:t>
      </w:r>
      <w:r>
        <w:rPr>
          <w:rFonts w:eastAsia="楷体_GB2312"/>
          <w:sz w:val="32"/>
          <w:szCs w:val="32"/>
        </w:rPr>
        <w:t xml:space="preserve"> </w:t>
      </w:r>
      <w:r>
        <w:rPr>
          <w:rFonts w:eastAsia="楷体_GB2312" w:hint="eastAsia"/>
          <w:sz w:val="32"/>
          <w:szCs w:val="32"/>
        </w:rPr>
        <w:t>07</w:t>
      </w:r>
      <w:r>
        <w:rPr>
          <w:rFonts w:eastAsia="楷体_GB2312"/>
          <w:sz w:val="32"/>
          <w:szCs w:val="32"/>
        </w:rPr>
        <w:t>月</w:t>
      </w:r>
      <w:r>
        <w:rPr>
          <w:rFonts w:eastAsia="楷体_GB2312" w:hint="eastAsia"/>
          <w:sz w:val="32"/>
          <w:szCs w:val="32"/>
        </w:rPr>
        <w:t>10</w:t>
      </w:r>
      <w:r>
        <w:rPr>
          <w:rFonts w:eastAsia="楷体_GB2312"/>
          <w:sz w:val="32"/>
          <w:szCs w:val="32"/>
        </w:rPr>
        <w:t>日</w:t>
      </w:r>
    </w:p>
    <w:p w:rsidR="00BB597D" w:rsidRDefault="00D1539C">
      <w:pPr>
        <w:jc w:val="center"/>
        <w:rPr>
          <w:rFonts w:eastAsia="仿宋_GB2312"/>
          <w:sz w:val="32"/>
          <w:szCs w:val="32"/>
        </w:rPr>
        <w:sectPr w:rsidR="00BB597D">
          <w:footerReference w:type="default" r:id="rId6"/>
          <w:pgSz w:w="11906" w:h="16838"/>
          <w:pgMar w:top="2098" w:right="1474" w:bottom="1984" w:left="1587" w:header="851" w:footer="1417" w:gutter="0"/>
          <w:cols w:space="0"/>
          <w:docGrid w:type="lines" w:linePitch="312"/>
        </w:sectPr>
      </w:pPr>
      <w:r>
        <w:rPr>
          <w:rFonts w:eastAsia="仿宋_GB2312"/>
          <w:sz w:val="32"/>
          <w:szCs w:val="32"/>
        </w:rPr>
        <w:t>（此页为封面）</w:t>
      </w:r>
    </w:p>
    <w:p w:rsidR="00BB597D" w:rsidRDefault="00D1539C">
      <w:pPr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br w:type="page"/>
      </w:r>
    </w:p>
    <w:p w:rsidR="00BB597D" w:rsidRDefault="00D1539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年度人社局（本级）整体支出绩效</w:t>
      </w:r>
    </w:p>
    <w:p w:rsidR="00BB597D" w:rsidRDefault="00D1539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自评报告</w:t>
      </w:r>
    </w:p>
    <w:p w:rsidR="00BB597D" w:rsidRDefault="00BB597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BB597D" w:rsidRDefault="00D1539C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部门（单位）基本情况</w:t>
      </w:r>
    </w:p>
    <w:p w:rsidR="00BB597D" w:rsidRDefault="00D1539C">
      <w:pPr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我局设人力资源和社会保障局本级（含华容县人事考试中心、华容县人事档案管理服务中心、华容县劳动人事争议仲裁院）。</w:t>
      </w:r>
    </w:p>
    <w:p w:rsidR="00BB597D" w:rsidRDefault="00D1539C">
      <w:pPr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我局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年局机关实有人员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人，其中行政</w:t>
      </w:r>
      <w:r>
        <w:rPr>
          <w:rFonts w:ascii="仿宋_GB2312" w:eastAsia="仿宋_GB2312" w:hAnsi="仿宋_GB2312" w:cs="仿宋_GB2312" w:hint="eastAsia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sz w:val="32"/>
          <w:szCs w:val="32"/>
        </w:rPr>
        <w:t>人，参公事业单位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17</w:t>
      </w:r>
      <w:r>
        <w:rPr>
          <w:rFonts w:ascii="仿宋_GB2312" w:eastAsia="仿宋_GB2312" w:hAnsi="仿宋_GB2312" w:cs="仿宋_GB2312" w:hint="eastAsia"/>
          <w:sz w:val="32"/>
          <w:szCs w:val="32"/>
        </w:rPr>
        <w:t>人，非参公事业人员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33</w:t>
      </w:r>
      <w:r>
        <w:rPr>
          <w:rFonts w:ascii="仿宋_GB2312" w:eastAsia="仿宋_GB2312" w:hAnsi="仿宋_GB2312" w:cs="仿宋_GB2312" w:hint="eastAsia"/>
          <w:sz w:val="32"/>
          <w:szCs w:val="32"/>
        </w:rPr>
        <w:t>人。较上年增加了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人。</w:t>
      </w:r>
    </w:p>
    <w:p w:rsidR="00BB597D" w:rsidRDefault="00D1539C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二、基本支出情况</w:t>
      </w:r>
    </w:p>
    <w:p w:rsidR="00BB597D" w:rsidRDefault="00D1539C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年基本支出</w:t>
      </w:r>
      <w:r>
        <w:rPr>
          <w:rFonts w:ascii="仿宋_GB2312" w:eastAsia="仿宋_GB2312" w:hAnsi="仿宋_GB2312" w:cs="仿宋_GB2312" w:hint="eastAsia"/>
          <w:sz w:val="32"/>
          <w:szCs w:val="32"/>
        </w:rPr>
        <w:t>1078.06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万元。其中：人员支出</w:t>
      </w:r>
      <w:r>
        <w:rPr>
          <w:rFonts w:ascii="仿宋_GB2312" w:eastAsia="仿宋_GB2312" w:hAnsi="仿宋_GB2312" w:cs="仿宋_GB2312" w:hint="eastAsia"/>
          <w:sz w:val="32"/>
          <w:szCs w:val="32"/>
        </w:rPr>
        <w:t>794.38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万元，公用支出</w:t>
      </w:r>
      <w:r>
        <w:rPr>
          <w:rFonts w:ascii="仿宋_GB2312" w:eastAsia="仿宋_GB2312" w:hAnsi="仿宋_GB2312" w:cs="仿宋_GB2312" w:hint="eastAsia"/>
          <w:sz w:val="32"/>
          <w:szCs w:val="32"/>
        </w:rPr>
        <w:t>283.68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万元。其中人员支出占基本支出的</w:t>
      </w:r>
      <w:r>
        <w:rPr>
          <w:rFonts w:ascii="仿宋_GB2312" w:eastAsia="仿宋_GB2312" w:hAnsi="仿宋_GB2312" w:cs="仿宋_GB2312" w:hint="eastAsia"/>
          <w:sz w:val="32"/>
          <w:szCs w:val="32"/>
        </w:rPr>
        <w:t>73.69%</w:t>
      </w:r>
      <w:r>
        <w:rPr>
          <w:rFonts w:ascii="仿宋_GB2312" w:eastAsia="仿宋_GB2312" w:hAnsi="仿宋_GB2312" w:cs="仿宋_GB2312" w:hint="eastAsia"/>
          <w:sz w:val="32"/>
          <w:szCs w:val="32"/>
        </w:rPr>
        <w:t>，公用支出占基本支出的</w:t>
      </w:r>
      <w:r>
        <w:rPr>
          <w:rFonts w:ascii="仿宋_GB2312" w:eastAsia="仿宋_GB2312" w:hAnsi="仿宋_GB2312" w:cs="仿宋_GB2312" w:hint="eastAsia"/>
          <w:sz w:val="32"/>
          <w:szCs w:val="32"/>
        </w:rPr>
        <w:t>26.31%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BB597D" w:rsidRDefault="00D1539C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三、项目支出情况</w:t>
      </w:r>
    </w:p>
    <w:p w:rsidR="00BB597D" w:rsidRDefault="00D1539C" w:rsidP="000905D5">
      <w:pPr>
        <w:spacing w:line="560" w:lineRule="exact"/>
        <w:ind w:firstLineChars="200" w:firstLine="641"/>
        <w:rPr>
          <w:rFonts w:ascii="楷体_GB2312" w:eastAsia="楷体_GB2312" w:hAnsi="楷体_GB2312" w:cs="楷体_GB2312"/>
          <w:b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b/>
          <w:sz w:val="32"/>
          <w:szCs w:val="32"/>
        </w:rPr>
        <w:t>.</w:t>
      </w:r>
      <w:r>
        <w:rPr>
          <w:rFonts w:ascii="楷体_GB2312" w:eastAsia="楷体_GB2312" w:hAnsi="楷体_GB2312" w:cs="楷体_GB2312" w:hint="eastAsia"/>
          <w:b/>
          <w:sz w:val="32"/>
          <w:szCs w:val="32"/>
        </w:rPr>
        <w:t>专项资金安排落实、总投入等情况分析</w:t>
      </w:r>
    </w:p>
    <w:p w:rsidR="00BB597D" w:rsidRDefault="00D1539C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年项目支出包括“三支一扶”人员专项经费、人事考试经费、劳动人事争议仲裁平台建设等工作，共安排专项资金</w:t>
      </w:r>
      <w:r>
        <w:rPr>
          <w:rFonts w:ascii="仿宋_GB2312" w:eastAsia="仿宋_GB2312" w:hAnsi="仿宋_GB2312" w:cs="仿宋_GB2312" w:hint="eastAsia"/>
          <w:sz w:val="32"/>
          <w:szCs w:val="32"/>
        </w:rPr>
        <w:t>150.17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</w:t>
      </w:r>
    </w:p>
    <w:p w:rsidR="00BB597D" w:rsidRDefault="00D1539C" w:rsidP="000905D5">
      <w:pPr>
        <w:spacing w:line="560" w:lineRule="exact"/>
        <w:ind w:firstLineChars="200" w:firstLine="641"/>
        <w:rPr>
          <w:rFonts w:ascii="楷体_GB2312" w:eastAsia="楷体_GB2312" w:hAnsi="楷体_GB2312" w:cs="楷体_GB2312"/>
          <w:b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sz w:val="32"/>
          <w:szCs w:val="32"/>
        </w:rPr>
        <w:t>2</w:t>
      </w:r>
      <w:r>
        <w:rPr>
          <w:rFonts w:ascii="楷体_GB2312" w:eastAsia="楷体_GB2312" w:hAnsi="楷体_GB2312" w:cs="楷体_GB2312" w:hint="eastAsia"/>
          <w:b/>
          <w:sz w:val="32"/>
          <w:szCs w:val="32"/>
        </w:rPr>
        <w:t>.</w:t>
      </w:r>
      <w:r>
        <w:rPr>
          <w:rFonts w:ascii="楷体_GB2312" w:eastAsia="楷体_GB2312" w:hAnsi="楷体_GB2312" w:cs="楷体_GB2312" w:hint="eastAsia"/>
          <w:b/>
          <w:sz w:val="32"/>
          <w:szCs w:val="32"/>
        </w:rPr>
        <w:t>专项资金实际使用情况分析</w:t>
      </w:r>
    </w:p>
    <w:p w:rsidR="00BB597D" w:rsidRDefault="00D1539C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年项目支出包括“三支一扶”人员专项支出</w:t>
      </w:r>
      <w:r>
        <w:rPr>
          <w:rFonts w:ascii="仿宋_GB2312" w:eastAsia="仿宋_GB2312" w:hAnsi="仿宋_GB2312" w:cs="仿宋_GB2312" w:hint="eastAsia"/>
          <w:sz w:val="32"/>
          <w:szCs w:val="32"/>
        </w:rPr>
        <w:t>53.17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万元、人事考试经费等支出</w:t>
      </w:r>
      <w:r>
        <w:rPr>
          <w:rFonts w:ascii="仿宋_GB2312" w:eastAsia="仿宋_GB2312" w:hAnsi="仿宋_GB2312" w:cs="仿宋_GB2312" w:hint="eastAsia"/>
          <w:sz w:val="32"/>
          <w:szCs w:val="32"/>
        </w:rPr>
        <w:t>87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万元、劳动人事争议仲裁平台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建设资金</w:t>
      </w: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万元等工作，共安排专项资金</w:t>
      </w:r>
      <w:r>
        <w:rPr>
          <w:rFonts w:ascii="仿宋_GB2312" w:eastAsia="仿宋_GB2312" w:hAnsi="仿宋_GB2312" w:cs="仿宋_GB2312" w:hint="eastAsia"/>
          <w:sz w:val="32"/>
          <w:szCs w:val="32"/>
        </w:rPr>
        <w:t>150.17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</w:t>
      </w:r>
    </w:p>
    <w:p w:rsidR="00BB597D" w:rsidRDefault="00D1539C" w:rsidP="000905D5">
      <w:pPr>
        <w:spacing w:line="560" w:lineRule="exact"/>
        <w:ind w:firstLineChars="200" w:firstLine="641"/>
        <w:rPr>
          <w:rFonts w:ascii="楷体_GB2312" w:eastAsia="楷体_GB2312" w:hAnsi="楷体_GB2312" w:cs="楷体_GB2312"/>
          <w:b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sz w:val="32"/>
          <w:szCs w:val="32"/>
        </w:rPr>
        <w:t>3</w:t>
      </w:r>
      <w:r>
        <w:rPr>
          <w:rFonts w:ascii="楷体_GB2312" w:eastAsia="楷体_GB2312" w:hAnsi="楷体_GB2312" w:cs="楷体_GB2312" w:hint="eastAsia"/>
          <w:b/>
          <w:sz w:val="32"/>
          <w:szCs w:val="32"/>
        </w:rPr>
        <w:t>.</w:t>
      </w:r>
      <w:r>
        <w:rPr>
          <w:rFonts w:ascii="楷体_GB2312" w:eastAsia="楷体_GB2312" w:hAnsi="楷体_GB2312" w:cs="楷体_GB2312" w:hint="eastAsia"/>
          <w:b/>
          <w:sz w:val="32"/>
          <w:szCs w:val="32"/>
        </w:rPr>
        <w:t>专项资金管理情况分析</w:t>
      </w:r>
    </w:p>
    <w:p w:rsidR="00BB597D" w:rsidRDefault="00D1539C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为确保各项工作的完成，我局高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度重视专项资金的使用，严格坚持先做事，后验收，再拨付的原则，规范运用，做到专项专用。</w:t>
      </w:r>
    </w:p>
    <w:p w:rsidR="00BB597D" w:rsidRDefault="00D1539C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四、部门整体支出绩效情况</w:t>
      </w:r>
    </w:p>
    <w:p w:rsidR="00BB597D" w:rsidRDefault="00D1539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年，我局在县</w:t>
      </w:r>
      <w:r>
        <w:rPr>
          <w:rFonts w:ascii="仿宋_GB2312" w:eastAsia="仿宋_GB2312" w:hAnsi="仿宋_GB2312" w:cs="仿宋_GB2312" w:hint="eastAsia"/>
          <w:sz w:val="32"/>
          <w:szCs w:val="32"/>
        </w:rPr>
        <w:t>委、县人大、县政府的正确领导下，在县财政局的精心指导和监督下，按照“部门编制经费预算”的指标和要求，严格财务管理，厉行节约，依法收支，确保全局各项工作的正常开展。出色完成了县委县政府下达的各项工作任务，确保了各项社保基金运行的安全完整，切实维护了劳动者的合法权益，确保社会和谐稳定。</w:t>
      </w:r>
    </w:p>
    <w:p w:rsidR="00BB597D" w:rsidRDefault="00D1539C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五、存在的问题及原因分析</w:t>
      </w:r>
    </w:p>
    <w:p w:rsidR="00BB597D" w:rsidRDefault="00D1539C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由于预算绩效管理的专业性、复杂性等特性，业务水平和专业素质有待提高；预算绩效管理基础工作有待进一步加强。</w:t>
      </w:r>
    </w:p>
    <w:p w:rsidR="00BB597D" w:rsidRDefault="00D1539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六、下一步改进措施</w:t>
      </w:r>
    </w:p>
    <w:p w:rsidR="00BB597D" w:rsidRDefault="00D1539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科学合理编制预算，严格执行预算。要按照《预算法》及其实施条例的相关规定，参考上一年的预算执行情况和年度的收支预测科学编制预算，避免年中大幅追加以及超预算。同时严格预算执行，提高资金使用效率。</w:t>
      </w:r>
    </w:p>
    <w:p w:rsidR="00BB597D" w:rsidRDefault="00D1539C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  <w:sectPr w:rsidR="00BB597D">
          <w:pgSz w:w="11906" w:h="16838"/>
          <w:pgMar w:top="1984" w:right="1701" w:bottom="1984" w:left="1701" w:header="851" w:footer="992" w:gutter="0"/>
          <w:cols w:space="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七、其他需要说明的情况</w:t>
      </w:r>
    </w:p>
    <w:p w:rsidR="00BB597D" w:rsidRDefault="00BB597D">
      <w:pPr>
        <w:widowControl/>
        <w:spacing w:line="560" w:lineRule="exact"/>
        <w:rPr>
          <w:rFonts w:ascii="仿宋_GB2312" w:eastAsia="仿宋_GB2312"/>
          <w:sz w:val="32"/>
          <w:szCs w:val="32"/>
        </w:rPr>
      </w:pPr>
    </w:p>
    <w:sectPr w:rsidR="00BB597D" w:rsidSect="00BB597D">
      <w:pgSz w:w="11906" w:h="16838"/>
      <w:pgMar w:top="1984" w:right="1701" w:bottom="1984" w:left="170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39C" w:rsidRDefault="00D1539C" w:rsidP="00BB597D">
      <w:r>
        <w:separator/>
      </w:r>
    </w:p>
  </w:endnote>
  <w:endnote w:type="continuationSeparator" w:id="1">
    <w:p w:rsidR="00D1539C" w:rsidRDefault="00D1539C" w:rsidP="00BB5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BBEEB63-6C86-41DA-916D-48140E163639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415FB10C-6D28-4DFB-9E94-A0277C534AE2}"/>
  </w:font>
  <w:font w:name="方正小标宋简体">
    <w:charset w:val="86"/>
    <w:family w:val="auto"/>
    <w:pitch w:val="default"/>
    <w:sig w:usb0="00000001" w:usb1="080E0000" w:usb2="00000000" w:usb3="00000000" w:csb0="00040000" w:csb1="00000000"/>
    <w:embedRegular r:id="rId3" w:subsetted="1" w:fontKey="{917F6EE6-DCD5-4F96-95D5-B414890858CB}"/>
  </w:font>
  <w:font w:name="仿宋_GB2312">
    <w:charset w:val="86"/>
    <w:family w:val="auto"/>
    <w:pitch w:val="default"/>
    <w:sig w:usb0="00000001" w:usb1="080E0000" w:usb2="00000000" w:usb3="00000000" w:csb0="00040000" w:csb1="00000000"/>
    <w:embedRegular r:id="rId4" w:subsetted="1" w:fontKey="{2325B59C-D5AC-4EFB-BD1A-BE486B7FA5A1}"/>
    <w:embedBold r:id="rId5" w:subsetted="1" w:fontKey="{EBB44995-A422-4AA5-A161-C75B7EFC228D}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楷体_GB2312">
    <w:charset w:val="86"/>
    <w:family w:val="auto"/>
    <w:pitch w:val="default"/>
    <w:sig w:usb0="00000001" w:usb1="080E0000" w:usb2="00000000" w:usb3="00000000" w:csb0="00040000" w:csb1="00000000"/>
    <w:embedRegular r:id="rId6" w:subsetted="1" w:fontKey="{FCECEB66-A2A8-4481-AB98-2C5774225AE8}"/>
    <w:embedBold r:id="rId7" w:subsetted="1" w:fontKey="{AA88EFCB-97D9-4830-BAA4-17B5C900CE8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41DE5A5E-725D-42F0-9E53-4E954052A60B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97D" w:rsidRDefault="00BB597D">
    <w:pPr>
      <w:pStyle w:val="a4"/>
      <w:jc w:val="right"/>
      <w:rPr>
        <w:rFonts w:ascii="仿宋_GB2312" w:eastAsia="仿宋_GB2312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39C" w:rsidRDefault="00D1539C" w:rsidP="00BB597D">
      <w:r>
        <w:separator/>
      </w:r>
    </w:p>
  </w:footnote>
  <w:footnote w:type="continuationSeparator" w:id="1">
    <w:p w:rsidR="00D1539C" w:rsidRDefault="00D1539C" w:rsidP="00BB5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jkwODI5ZWYwZDMxZjg0YTEzN2ZlOWM1MzNmMmY2ZGEifQ=="/>
  </w:docVars>
  <w:rsids>
    <w:rsidRoot w:val="0CCB7736"/>
    <w:rsid w:val="00047FEF"/>
    <w:rsid w:val="00073E36"/>
    <w:rsid w:val="000905D5"/>
    <w:rsid w:val="000A3906"/>
    <w:rsid w:val="001629F6"/>
    <w:rsid w:val="001776F1"/>
    <w:rsid w:val="00190637"/>
    <w:rsid w:val="00200186"/>
    <w:rsid w:val="002427AE"/>
    <w:rsid w:val="00295A19"/>
    <w:rsid w:val="003836CB"/>
    <w:rsid w:val="00433CBF"/>
    <w:rsid w:val="00496460"/>
    <w:rsid w:val="004B6A20"/>
    <w:rsid w:val="00537328"/>
    <w:rsid w:val="00623EC3"/>
    <w:rsid w:val="00694E0C"/>
    <w:rsid w:val="006D575A"/>
    <w:rsid w:val="006F0A16"/>
    <w:rsid w:val="00773328"/>
    <w:rsid w:val="007B2A86"/>
    <w:rsid w:val="00821883"/>
    <w:rsid w:val="00824CB7"/>
    <w:rsid w:val="008A3B62"/>
    <w:rsid w:val="008C6C42"/>
    <w:rsid w:val="00917857"/>
    <w:rsid w:val="009222C5"/>
    <w:rsid w:val="0094753C"/>
    <w:rsid w:val="00953CE9"/>
    <w:rsid w:val="00A755C2"/>
    <w:rsid w:val="00A85B87"/>
    <w:rsid w:val="00AE13B6"/>
    <w:rsid w:val="00AF3FB4"/>
    <w:rsid w:val="00B6320B"/>
    <w:rsid w:val="00BB597D"/>
    <w:rsid w:val="00CE7147"/>
    <w:rsid w:val="00D1539C"/>
    <w:rsid w:val="016A347B"/>
    <w:rsid w:val="02B50488"/>
    <w:rsid w:val="02E579CC"/>
    <w:rsid w:val="031E0CA9"/>
    <w:rsid w:val="0338470A"/>
    <w:rsid w:val="034822A9"/>
    <w:rsid w:val="038D1CCC"/>
    <w:rsid w:val="03D86621"/>
    <w:rsid w:val="049D2EBC"/>
    <w:rsid w:val="04EE6171"/>
    <w:rsid w:val="05395EA9"/>
    <w:rsid w:val="085C2444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2FC34A4"/>
    <w:rsid w:val="13214EDE"/>
    <w:rsid w:val="136F31F8"/>
    <w:rsid w:val="138750E0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F7640EC"/>
    <w:rsid w:val="20D76C5F"/>
    <w:rsid w:val="21057490"/>
    <w:rsid w:val="214A230E"/>
    <w:rsid w:val="21B052C4"/>
    <w:rsid w:val="21E51C90"/>
    <w:rsid w:val="22FF5445"/>
    <w:rsid w:val="238D0E57"/>
    <w:rsid w:val="24256710"/>
    <w:rsid w:val="251E7983"/>
    <w:rsid w:val="260D5D83"/>
    <w:rsid w:val="284A2254"/>
    <w:rsid w:val="28AE44C7"/>
    <w:rsid w:val="292F1467"/>
    <w:rsid w:val="29786927"/>
    <w:rsid w:val="297B51B4"/>
    <w:rsid w:val="29E40467"/>
    <w:rsid w:val="29F527E2"/>
    <w:rsid w:val="2BF35971"/>
    <w:rsid w:val="2C487650"/>
    <w:rsid w:val="2E4F43C0"/>
    <w:rsid w:val="2EC7368E"/>
    <w:rsid w:val="30B86F17"/>
    <w:rsid w:val="30FB4B41"/>
    <w:rsid w:val="31621165"/>
    <w:rsid w:val="323C5548"/>
    <w:rsid w:val="35537089"/>
    <w:rsid w:val="35F61264"/>
    <w:rsid w:val="37450F88"/>
    <w:rsid w:val="37D6106F"/>
    <w:rsid w:val="38F862EB"/>
    <w:rsid w:val="39343807"/>
    <w:rsid w:val="39887BBC"/>
    <w:rsid w:val="3989366E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3F83227A"/>
    <w:rsid w:val="40226C80"/>
    <w:rsid w:val="40C451A5"/>
    <w:rsid w:val="4156470B"/>
    <w:rsid w:val="41943ACE"/>
    <w:rsid w:val="41E74895"/>
    <w:rsid w:val="425D4066"/>
    <w:rsid w:val="43173FD4"/>
    <w:rsid w:val="44143822"/>
    <w:rsid w:val="44654A12"/>
    <w:rsid w:val="457C5F26"/>
    <w:rsid w:val="471527CA"/>
    <w:rsid w:val="49CF255F"/>
    <w:rsid w:val="4A74591B"/>
    <w:rsid w:val="4B2C5DCD"/>
    <w:rsid w:val="4B7D1173"/>
    <w:rsid w:val="4C150E22"/>
    <w:rsid w:val="4C6A38FC"/>
    <w:rsid w:val="4CE74BC3"/>
    <w:rsid w:val="4CF5000E"/>
    <w:rsid w:val="4D136687"/>
    <w:rsid w:val="4DB17672"/>
    <w:rsid w:val="4DFE0752"/>
    <w:rsid w:val="50AC44C4"/>
    <w:rsid w:val="50EA6DB9"/>
    <w:rsid w:val="51CA7471"/>
    <w:rsid w:val="52081105"/>
    <w:rsid w:val="521C2FA3"/>
    <w:rsid w:val="522529B2"/>
    <w:rsid w:val="53910AF4"/>
    <w:rsid w:val="555952B3"/>
    <w:rsid w:val="556B5A36"/>
    <w:rsid w:val="55AF40BB"/>
    <w:rsid w:val="56F72F7C"/>
    <w:rsid w:val="586243BF"/>
    <w:rsid w:val="58FD3402"/>
    <w:rsid w:val="59652771"/>
    <w:rsid w:val="5AAF7799"/>
    <w:rsid w:val="5B5C1753"/>
    <w:rsid w:val="5E134100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67E0AA1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6D38F7"/>
    <w:rsid w:val="6DB602F7"/>
    <w:rsid w:val="6DFE5E04"/>
    <w:rsid w:val="6E87203D"/>
    <w:rsid w:val="6F9278BB"/>
    <w:rsid w:val="71572F19"/>
    <w:rsid w:val="719B7427"/>
    <w:rsid w:val="724A6793"/>
    <w:rsid w:val="741F26FA"/>
    <w:rsid w:val="74470DF8"/>
    <w:rsid w:val="75FD1676"/>
    <w:rsid w:val="799536BA"/>
    <w:rsid w:val="79DC3BA1"/>
    <w:rsid w:val="7B170752"/>
    <w:rsid w:val="7B8F681B"/>
    <w:rsid w:val="7D81117F"/>
    <w:rsid w:val="7DA51E19"/>
    <w:rsid w:val="7DD96C0E"/>
    <w:rsid w:val="7E474F7B"/>
    <w:rsid w:val="7E8F7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B597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locked/>
    <w:rsid w:val="00BB597D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next w:val="a"/>
    <w:qFormat/>
    <w:rsid w:val="00BB597D"/>
    <w:pPr>
      <w:snapToGrid w:val="0"/>
      <w:jc w:val="left"/>
    </w:pPr>
    <w:rPr>
      <w:sz w:val="18"/>
      <w:szCs w:val="18"/>
    </w:rPr>
  </w:style>
  <w:style w:type="paragraph" w:styleId="a4">
    <w:name w:val="footer"/>
    <w:basedOn w:val="a"/>
    <w:link w:val="Char"/>
    <w:uiPriority w:val="99"/>
    <w:qFormat/>
    <w:rsid w:val="00BB59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qFormat/>
    <w:rsid w:val="00BB597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2"/>
    <w:uiPriority w:val="99"/>
    <w:qFormat/>
    <w:rsid w:val="00BB597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1"/>
    <w:uiPriority w:val="99"/>
    <w:qFormat/>
    <w:rsid w:val="00BB597D"/>
    <w:rPr>
      <w:rFonts w:cs="Times New Roman"/>
    </w:rPr>
  </w:style>
  <w:style w:type="character" w:customStyle="1" w:styleId="Char">
    <w:name w:val="页脚 Char"/>
    <w:basedOn w:val="a1"/>
    <w:link w:val="a4"/>
    <w:uiPriority w:val="99"/>
    <w:semiHidden/>
    <w:qFormat/>
    <w:rsid w:val="00BB597D"/>
    <w:rPr>
      <w:sz w:val="18"/>
      <w:szCs w:val="18"/>
    </w:rPr>
  </w:style>
  <w:style w:type="character" w:customStyle="1" w:styleId="Char0">
    <w:name w:val="页眉 Char"/>
    <w:basedOn w:val="a1"/>
    <w:link w:val="a5"/>
    <w:uiPriority w:val="99"/>
    <w:semiHidden/>
    <w:qFormat/>
    <w:rsid w:val="00BB597D"/>
    <w:rPr>
      <w:sz w:val="18"/>
      <w:szCs w:val="18"/>
    </w:rPr>
  </w:style>
  <w:style w:type="paragraph" w:styleId="a8">
    <w:name w:val="List Paragraph"/>
    <w:basedOn w:val="a"/>
    <w:uiPriority w:val="99"/>
    <w:qFormat/>
    <w:rsid w:val="00BB597D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528</Words>
  <Characters>3010</Characters>
  <Application>Microsoft Office Word</Application>
  <DocSecurity>0</DocSecurity>
  <Lines>25</Lines>
  <Paragraphs>7</Paragraphs>
  <ScaleCrop>false</ScaleCrop>
  <Company>china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cp:lastPrinted>2023-06-29T01:04:00Z</cp:lastPrinted>
  <dcterms:created xsi:type="dcterms:W3CDTF">2020-06-04T01:07:00Z</dcterms:created>
  <dcterms:modified xsi:type="dcterms:W3CDTF">2023-07-14T01:14:00Z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KSOSaveFontToCloudKey">
    <vt:lpwstr>386772509_embed</vt:lpwstr>
  </property>
  <property fmtid="{D5CDD505-2E9C-101B-9397-08002B2CF9AE}" pid="4" name="ICV">
    <vt:lpwstr>01C9494EFBF9443D9787FAAB7D91FBDA</vt:lpwstr>
  </property>
</Properties>
</file>