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</w:p>
    <w:p>
      <w:pPr>
        <w:spacing w:after="120" w:afterLines="50" w:line="60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年度部门整体支出绩效评价基础数据表</w:t>
      </w:r>
    </w:p>
    <w:tbl>
      <w:tblPr>
        <w:tblStyle w:val="8"/>
        <w:tblW w:w="928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8"/>
        <w:gridCol w:w="1956"/>
        <w:gridCol w:w="2437"/>
        <w:gridCol w:w="167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2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财政供养人员情况（人）</w:t>
            </w: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编制数</w:t>
            </w: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年实际在职人数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控制率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2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78.57%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经费控制情况（万元）</w:t>
            </w: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2021年决算数</w:t>
            </w: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年预算数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年决算数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一、基本支出：</w:t>
            </w: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314.84 </w:t>
            </w: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253.99 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253.99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其中：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三公经费</w:t>
            </w: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4.25 </w:t>
            </w: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17.62 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17.62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公务用车购置和维护经费</w:t>
            </w: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2.39 </w:t>
            </w: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17.10 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17.10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其中：公车购置</w:t>
            </w: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bookmarkStart w:id="0" w:name="_GoBack"/>
            <w:bookmarkEnd w:id="0"/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14.83 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14.83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公车运行维护</w:t>
            </w: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2.39 </w:t>
            </w: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2.27 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2.27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2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出国经费</w:t>
            </w: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3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公务接待</w:t>
            </w: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1.86 </w:t>
            </w: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0.52 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0.52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二、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项目支出：</w:t>
            </w: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 </w:t>
            </w: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123.5 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中央转移支付资金</w:t>
            </w: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新宋体" w:hAnsi="新宋体" w:eastAsia="新宋体" w:cs="新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102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2.警务辅助人员经费</w:t>
            </w: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新宋体" w:hAnsi="新宋体" w:eastAsia="新宋体" w:cs="新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21.5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新宋体" w:hAnsi="新宋体" w:eastAsia="新宋体" w:cs="新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21.5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厉行节约保障措施</w:t>
            </w:r>
          </w:p>
        </w:tc>
        <w:tc>
          <w:tcPr>
            <w:tcW w:w="60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牢固树立过“紧日子”思想</w:t>
            </w:r>
          </w:p>
        </w:tc>
      </w:tr>
    </w:tbl>
    <w:p>
      <w:pPr>
        <w:widowControl/>
        <w:spacing w:afterLines="0" w:line="400" w:lineRule="exact"/>
        <w:jc w:val="left"/>
        <w:rPr>
          <w:rFonts w:hint="eastAsia" w:ascii="新宋体" w:hAnsi="新宋体" w:eastAsia="新宋体" w:cs="新宋体"/>
          <w:sz w:val="21"/>
          <w:szCs w:val="21"/>
          <w:lang w:eastAsia="zh-CN"/>
        </w:rPr>
      </w:pPr>
      <w:r>
        <w:rPr>
          <w:rFonts w:hint="eastAsia" w:ascii="新宋体" w:hAnsi="新宋体" w:eastAsia="新宋体" w:cs="新宋体"/>
          <w:sz w:val="21"/>
          <w:szCs w:val="21"/>
        </w:rPr>
        <w:t>说明：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以上数据均来源于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部门决算报表，其中</w:t>
      </w:r>
      <w:r>
        <w:rPr>
          <w:rFonts w:hint="eastAsia" w:ascii="新宋体" w:hAnsi="新宋体" w:eastAsia="新宋体" w:cs="新宋体"/>
          <w:sz w:val="21"/>
          <w:szCs w:val="21"/>
        </w:rPr>
        <w:t>“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基本支出</w:t>
      </w:r>
      <w:r>
        <w:rPr>
          <w:rFonts w:hint="eastAsia" w:ascii="新宋体" w:hAnsi="新宋体" w:eastAsia="新宋体" w:cs="新宋体"/>
          <w:sz w:val="21"/>
          <w:szCs w:val="21"/>
        </w:rPr>
        <w:t>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数据参照基本支出决算明细表（财决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05-1表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）；“三公经费”数据参照机构运行信息表（财决附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03表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</w:t>
      </w:r>
      <w:r>
        <w:rPr>
          <w:rFonts w:hint="eastAsia" w:ascii="新宋体" w:hAnsi="新宋体" w:eastAsia="新宋体" w:cs="新宋体"/>
          <w:sz w:val="21"/>
          <w:szCs w:val="21"/>
        </w:rPr>
        <w:t>“项目支出”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数据参照项目支出决算明细表（财决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05-2表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）。</w:t>
      </w:r>
    </w:p>
    <w:p>
      <w:pPr>
        <w:widowControl/>
        <w:spacing w:after="0" w:afterLines="0" w:line="400" w:lineRule="exact"/>
        <w:jc w:val="left"/>
        <w:rPr>
          <w:rFonts w:hint="default" w:ascii="Times New Roman" w:hAnsi="Times New Roman" w:eastAsia="仿宋_GB2312" w:cs="Times New Roman"/>
          <w:sz w:val="22"/>
        </w:rPr>
      </w:pPr>
    </w:p>
    <w:p>
      <w:pPr>
        <w:widowControl/>
        <w:spacing w:after="0" w:afterLines="0" w:line="400" w:lineRule="exact"/>
        <w:jc w:val="left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填表人：</w:t>
      </w:r>
      <w:r>
        <w:rPr>
          <w:rFonts w:hint="eastAsia" w:eastAsia="仿宋_GB2312" w:cs="Times New Roman"/>
          <w:sz w:val="22"/>
          <w:lang w:eastAsia="zh-CN"/>
        </w:rPr>
        <w:t>刘崇诚</w:t>
      </w:r>
      <w:r>
        <w:rPr>
          <w:rFonts w:hint="default" w:ascii="Times New Roman" w:hAnsi="Times New Roman" w:eastAsia="仿宋_GB2312" w:cs="Times New Roman"/>
          <w:sz w:val="22"/>
        </w:rPr>
        <w:t xml:space="preserve"> 填报日期：</w:t>
      </w:r>
      <w:r>
        <w:rPr>
          <w:rFonts w:hint="eastAsia" w:eastAsia="仿宋_GB2312" w:cs="Times New Roman"/>
          <w:sz w:val="22"/>
          <w:lang w:val="en-US" w:eastAsia="zh-CN"/>
        </w:rPr>
        <w:t>2023.7.4</w:t>
      </w:r>
      <w:r>
        <w:rPr>
          <w:rFonts w:hint="default" w:ascii="Times New Roman" w:hAnsi="Times New Roman" w:eastAsia="仿宋_GB2312" w:cs="Times New Roman"/>
          <w:sz w:val="22"/>
        </w:rPr>
        <w:t xml:space="preserve"> 联系电话：</w:t>
      </w:r>
      <w:r>
        <w:rPr>
          <w:rFonts w:hint="eastAsia" w:eastAsia="仿宋_GB2312" w:cs="Times New Roman"/>
          <w:sz w:val="22"/>
          <w:lang w:val="en-US" w:eastAsia="zh-CN"/>
        </w:rPr>
        <w:t>0730-4251027</w:t>
      </w:r>
      <w:r>
        <w:rPr>
          <w:rFonts w:hint="default" w:ascii="Times New Roman" w:hAnsi="Times New Roman" w:eastAsia="仿宋_GB2312" w:cs="Times New Roman"/>
          <w:sz w:val="22"/>
        </w:rPr>
        <w:t xml:space="preserve"> 单位负责人签字：</w:t>
      </w:r>
      <w:r>
        <w:rPr>
          <w:rFonts w:hint="eastAsia" w:eastAsia="仿宋_GB2312" w:cs="Times New Roman"/>
          <w:sz w:val="22"/>
          <w:lang w:eastAsia="zh-CN"/>
        </w:rPr>
        <w:t>马克金</w:t>
      </w:r>
      <w:r>
        <w:rPr>
          <w:rFonts w:hint="default" w:ascii="Times New Roman" w:hAnsi="Times New Roman" w:eastAsia="仿宋_GB2312" w:cs="Times New Roman"/>
          <w:sz w:val="22"/>
        </w:rPr>
        <w:br w:type="page"/>
      </w:r>
      <w:r>
        <w:rPr>
          <w:rFonts w:hint="default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年度部门整体支出绩效自评表</w:t>
      </w:r>
    </w:p>
    <w:tbl>
      <w:tblPr>
        <w:tblStyle w:val="8"/>
        <w:tblW w:w="928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9"/>
        <w:gridCol w:w="881"/>
        <w:gridCol w:w="867"/>
        <w:gridCol w:w="1152"/>
        <w:gridCol w:w="1008"/>
        <w:gridCol w:w="1005"/>
        <w:gridCol w:w="656"/>
        <w:gridCol w:w="1024"/>
        <w:gridCol w:w="159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县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级预算部门名称</w:t>
            </w:r>
          </w:p>
        </w:tc>
        <w:tc>
          <w:tcPr>
            <w:tcW w:w="8187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华容县森林公安局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1099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预算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申请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（万元）</w:t>
            </w:r>
          </w:p>
        </w:tc>
        <w:tc>
          <w:tcPr>
            <w:tcW w:w="17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年初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执行数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分值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执行率</w:t>
            </w:r>
          </w:p>
        </w:tc>
        <w:tc>
          <w:tcPr>
            <w:tcW w:w="1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得分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99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17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年度资金总额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287.00 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377.49 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377.49 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1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9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390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按收入性质分：</w:t>
            </w:r>
          </w:p>
        </w:tc>
        <w:tc>
          <w:tcPr>
            <w:tcW w:w="427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按支出性质分：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9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390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其中：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一般公共预算：377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4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427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其中：基本支出：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 xml:space="preserve">253.99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9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390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政府性基金拨款：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27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项目支出：123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9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390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纳入专户管理的非税收入拨款：</w:t>
            </w:r>
          </w:p>
        </w:tc>
        <w:tc>
          <w:tcPr>
            <w:tcW w:w="427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99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390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1260" w:firstLineChars="60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其他资金：</w:t>
            </w:r>
          </w:p>
        </w:tc>
        <w:tc>
          <w:tcPr>
            <w:tcW w:w="427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9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总体目标</w:t>
            </w:r>
          </w:p>
        </w:tc>
        <w:tc>
          <w:tcPr>
            <w:tcW w:w="390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预期目标</w:t>
            </w:r>
          </w:p>
        </w:tc>
        <w:tc>
          <w:tcPr>
            <w:tcW w:w="42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实际完成情况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9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390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（一）负责全县森林公安工作和森林公安队伍建设；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（二）负责侦办全县森林火灾、破坏森林、野生动植物资源的刑事、治安、林业行政案件，对上述案件依法行使调查、立案、侦查、采取强制措施、提请批准逮捕、移送审查起诉以及进行治安、林业行政处罚等职权；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（三）负责全县林区治安管理工作、森林公安基层基础工作；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（四）负责全县森林公安法制建设，监督、检查全县森林公安机关的执法活动，依法承担行政复议和参加行政诉讼；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（五）负责全县森林公安队伍的政治、业务建设，负责全县森林公安警力配备的报批，协调民警的招录工作，负责民警的警籍、警衔管理和各项政治业务培训、立功受奖、优抚、宣传等工作；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（六）负责全县森林公安机关的警务督察和党风廉政建设工作，按权限处理森林公安民警违规违纪事件；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（七）负责全县森林公安装备、基础设施建设，承担警用装备的申请、购置、调拨、发放和管理等保障工作；</w:t>
            </w:r>
          </w:p>
        </w:tc>
        <w:tc>
          <w:tcPr>
            <w:tcW w:w="42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.坚持政治建警。积极开展“坚持政治建警，全面从严治警”教育整顿活动，通过学原文悟原理、观看警示片、接受红色教育，坚持“两个确立”、做到“两个维护”，筑牢政治忠诚、推动公正执法。2.坚持民主治队。坚持民主管理、制度公开、结果透明，营造风清气正、心稳气顺的工作环境。3.坚持主责主业。牵头部署多项专项行动。4.坚持服务大局。在打击森林领域犯罪、突出问题整治的牵头工作，实行专责联络员制度，任务到岗、责任到人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8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产出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(50分)</w:t>
            </w:r>
          </w:p>
        </w:tc>
        <w:tc>
          <w:tcPr>
            <w:tcW w:w="8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质量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坚持政治建警，坚持“两个确立”，做到“两个维护”，筑牢政治忠诚，推动公正执法。</w:t>
            </w: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80</w:t>
            </w:r>
          </w:p>
        </w:tc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12.5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坚持政治建警，坚持严厉打击各类违法犯罪，维护大局稳定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0" w:hRule="atLeast"/>
          <w:jc w:val="center"/>
        </w:trPr>
        <w:tc>
          <w:tcPr>
            <w:tcW w:w="10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8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民警与警务辅助人员配比率》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2.2:1</w:t>
            </w: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12.5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12.5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时效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年底前完成</w:t>
            </w: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12.5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12.5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成本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控制在预算内</w:t>
            </w: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12.5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12.5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9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9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效益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（30分）</w:t>
            </w: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促进全县发展林业经济，建设秀美城市</w:t>
            </w: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92</w:t>
            </w:r>
          </w:p>
        </w:tc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5.52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强化责任担当，维护林业资源安全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9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8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u w:val="none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u w:val="none"/>
              </w:rPr>
              <w:t>益指标</w:t>
            </w: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坚持服务大局。在打击森林领域犯罪、突出问题整治的牵头工作，实行专责联络员制度，任务到岗、责任到人。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90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5.4</w:t>
            </w:r>
          </w:p>
        </w:tc>
        <w:tc>
          <w:tcPr>
            <w:tcW w:w="1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严厉打击各类违法犯罪，维护全县大局稳定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9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8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6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对社会公众开展安全宣传次数》10次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9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8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县域内植被恢复情况持续性向好。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95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5.7</w:t>
            </w:r>
          </w:p>
        </w:tc>
        <w:tc>
          <w:tcPr>
            <w:tcW w:w="1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促进警民合作，加大民众监督力度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9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8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可持续影响指标</w:t>
            </w: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服务中心大局，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整治安全问题及隐患</w:t>
            </w: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98</w:t>
            </w:r>
          </w:p>
        </w:tc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5.88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安全隐患排查，强化重点水域预警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9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81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（10分）</w:t>
            </w:r>
          </w:p>
        </w:tc>
        <w:tc>
          <w:tcPr>
            <w:tcW w:w="867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服务对象满意度指标</w:t>
            </w: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新宋体"/>
                <w:color w:val="FF0000"/>
                <w:sz w:val="21"/>
                <w:szCs w:val="21"/>
                <w:lang w:val="en-US"/>
              </w:rPr>
            </w:pPr>
            <w:r>
              <w:rPr>
                <w:rFonts w:hint="eastAsia" w:ascii="新宋体" w:hAnsi="新宋体" w:eastAsia="新宋体" w:cs="新宋体"/>
                <w:color w:val="auto"/>
                <w:sz w:val="21"/>
                <w:szCs w:val="21"/>
                <w:lang w:val="en-US" w:eastAsia="zh-CN"/>
              </w:rPr>
              <w:t>社会公众或服务对象满意度》85%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60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总分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96</w:t>
            </w:r>
          </w:p>
        </w:tc>
        <w:tc>
          <w:tcPr>
            <w:tcW w:w="1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</w:tbl>
    <w:p>
      <w:pPr>
        <w:rPr>
          <w:rFonts w:hint="eastAsia" w:eastAsia="仿宋_GB2312" w:cs="Times New Roman"/>
          <w:sz w:val="2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说明：</w:t>
      </w:r>
      <w:r>
        <w:rPr>
          <w:rFonts w:hint="eastAsia" w:eastAsia="仿宋_GB2312" w:cs="Times New Roman"/>
          <w:sz w:val="22"/>
          <w:lang w:eastAsia="zh-CN"/>
        </w:rPr>
        <w:t>以上数据参照</w:t>
      </w:r>
      <w:r>
        <w:rPr>
          <w:rFonts w:hint="eastAsia" w:eastAsia="仿宋_GB2312" w:cs="Times New Roman"/>
          <w:sz w:val="22"/>
          <w:lang w:val="en-US" w:eastAsia="zh-CN"/>
        </w:rPr>
        <w:t>2022年部门决算报表中的“收入支出决算总表”(财决01表)。</w:t>
      </w: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  <w:szCs w:val="22"/>
        </w:rPr>
        <w:t>填表人：</w:t>
      </w:r>
      <w:r>
        <w:rPr>
          <w:rFonts w:hint="eastAsia" w:eastAsia="仿宋_GB2312" w:cs="Times New Roman"/>
          <w:sz w:val="22"/>
          <w:szCs w:val="22"/>
          <w:lang w:eastAsia="zh-CN"/>
        </w:rPr>
        <w:t>刘崇诚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2"/>
          <w:szCs w:val="22"/>
        </w:rPr>
        <w:t>填报日期：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>2023.7.4</w:t>
      </w: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 联系电话：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>0730-4251027</w:t>
      </w: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 单位负责人签字：</w:t>
      </w:r>
      <w:r>
        <w:rPr>
          <w:rFonts w:hint="eastAsia" w:eastAsia="仿宋_GB2312" w:cs="Times New Roman"/>
          <w:sz w:val="22"/>
          <w:szCs w:val="22"/>
          <w:lang w:eastAsia="zh-CN"/>
        </w:rPr>
        <w:t>马克金</w:t>
      </w:r>
      <w:r>
        <w:rPr>
          <w:rFonts w:hint="default" w:ascii="Times New Roman" w:hAnsi="Times New Roman" w:eastAsia="仿宋_GB2312" w:cs="Times New Roman"/>
          <w:sz w:val="22"/>
          <w:szCs w:val="22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华容县森林公安局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整体支出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jc w:val="center"/>
        <w:rPr>
          <w:rFonts w:hint="default" w:ascii="Times New Roman" w:hAnsi="Times New Roman" w:eastAsia="方正小标宋_GBK" w:cs="Times New Roman"/>
          <w:b/>
          <w:sz w:val="52"/>
          <w:szCs w:val="5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jc w:val="center"/>
        <w:rPr>
          <w:rFonts w:hint="eastAsia" w:ascii="Times New Roman" w:hAnsi="Times New Roman" w:eastAsia="仿宋_GB2312" w:cs="Times New Roman"/>
          <w:sz w:val="32"/>
          <w:szCs w:val="32"/>
          <w:u w:val="single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部门（单位）名称：</w:t>
      </w:r>
      <w:r>
        <w:rPr>
          <w:rFonts w:hint="eastAsia" w:eastAsia="仿宋_GB2312" w:cs="Times New Roman"/>
          <w:sz w:val="32"/>
          <w:szCs w:val="32"/>
          <w:u w:val="single"/>
          <w:lang w:eastAsia="zh-CN"/>
        </w:rPr>
        <w:t>华容县森林公安局</w:t>
      </w:r>
    </w:p>
    <w:p>
      <w:pPr>
        <w:spacing w:line="60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eastAsia" w:eastAsia="楷体_GB2312" w:cs="Times New Roman"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年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月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华容县森林公安局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整体支出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部门（单位）基本情况</w:t>
      </w:r>
    </w:p>
    <w:p>
      <w:pPr>
        <w:pageBreakBefore w:val="0"/>
        <w:kinsoku/>
        <w:wordWrap/>
        <w:overflowPunct/>
        <w:topLinePunct w:val="0"/>
        <w:bidi w:val="0"/>
        <w:spacing w:line="240" w:lineRule="auto"/>
        <w:ind w:firstLine="560" w:firstLineChars="200"/>
        <w:textAlignment w:val="auto"/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</w:pP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  <w:t>单位为财政全额预算拨款单位，核定人员编制14人，实有人数为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  <w:lang w:val="en-US" w:eastAsia="zh-CN"/>
        </w:rPr>
        <w:t>11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  <w:t>人。</w:t>
      </w:r>
    </w:p>
    <w:p>
      <w:pPr>
        <w:pageBreakBefore w:val="0"/>
        <w:kinsoku/>
        <w:wordWrap/>
        <w:overflowPunct/>
        <w:topLinePunct w:val="0"/>
        <w:bidi w:val="0"/>
        <w:spacing w:line="240" w:lineRule="auto"/>
        <w:ind w:firstLine="560" w:firstLineChars="200"/>
        <w:textAlignment w:val="auto"/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</w:pP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  <w:t>职责职能：</w:t>
      </w:r>
    </w:p>
    <w:p>
      <w:pPr>
        <w:pageBreakBefore w:val="0"/>
        <w:kinsoku/>
        <w:wordWrap/>
        <w:overflowPunct/>
        <w:topLinePunct w:val="0"/>
        <w:bidi w:val="0"/>
        <w:spacing w:line="240" w:lineRule="auto"/>
        <w:ind w:firstLine="560" w:firstLineChars="200"/>
        <w:textAlignment w:val="auto"/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</w:pP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  <w:t>（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  <w:lang w:eastAsia="zh-CN"/>
        </w:rPr>
        <w:t>一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  <w:t>）负责全县森林公安工作和森林公安队伍建设；</w:t>
      </w:r>
    </w:p>
    <w:p>
      <w:pPr>
        <w:pageBreakBefore w:val="0"/>
        <w:kinsoku/>
        <w:wordWrap/>
        <w:overflowPunct/>
        <w:topLinePunct w:val="0"/>
        <w:bidi w:val="0"/>
        <w:spacing w:line="240" w:lineRule="auto"/>
        <w:ind w:firstLine="560" w:firstLineChars="200"/>
        <w:textAlignment w:val="auto"/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</w:pP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  <w:t>（二）负责侦办全县森林火灾、破坏森林、野生动植物资源的刑事、治安、林业行政案件，对上述案件依法行使调查、立案、侦查、采取强制措施、提请批准逮捕、移送审查起诉以及进行治安、林业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  <w:lang w:eastAsia="zh-CN"/>
        </w:rPr>
        <w:t>行政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  <w:t>处罚等职权；</w:t>
      </w:r>
    </w:p>
    <w:p>
      <w:pPr>
        <w:pageBreakBefore w:val="0"/>
        <w:kinsoku/>
        <w:wordWrap/>
        <w:overflowPunct/>
        <w:topLinePunct w:val="0"/>
        <w:bidi w:val="0"/>
        <w:spacing w:line="240" w:lineRule="auto"/>
        <w:ind w:firstLine="560" w:firstLineChars="200"/>
        <w:textAlignment w:val="auto"/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</w:pP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  <w:t>（三）负责全县林区治安管理工作、森林公安基层基础工作；</w:t>
      </w:r>
    </w:p>
    <w:p>
      <w:pPr>
        <w:pageBreakBefore w:val="0"/>
        <w:kinsoku/>
        <w:wordWrap/>
        <w:overflowPunct/>
        <w:topLinePunct w:val="0"/>
        <w:bidi w:val="0"/>
        <w:spacing w:line="240" w:lineRule="auto"/>
        <w:ind w:firstLine="560" w:firstLineChars="200"/>
        <w:textAlignment w:val="auto"/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</w:pP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  <w:t>（四）负责全县森林公安法制建设，监督、检查全县森林公安机关的执法活动，依法承担行政复议和参加行政诉讼；</w:t>
      </w:r>
    </w:p>
    <w:p>
      <w:pPr>
        <w:pageBreakBefore w:val="0"/>
        <w:kinsoku/>
        <w:wordWrap/>
        <w:overflowPunct/>
        <w:topLinePunct w:val="0"/>
        <w:bidi w:val="0"/>
        <w:spacing w:line="240" w:lineRule="auto"/>
        <w:ind w:firstLine="560" w:firstLineChars="200"/>
        <w:textAlignment w:val="auto"/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</w:pP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  <w:t>（五）负责全县森林公安队伍的政治、业务建设，负责全县森林公安警力配备的报批，协调民警的招录工作，负责民警的警籍、警衔管理和各项政治业务培训、立功受奖、优抚、宣传等工作；</w:t>
      </w:r>
    </w:p>
    <w:p>
      <w:pPr>
        <w:pageBreakBefore w:val="0"/>
        <w:kinsoku/>
        <w:wordWrap/>
        <w:overflowPunct/>
        <w:topLinePunct w:val="0"/>
        <w:bidi w:val="0"/>
        <w:spacing w:line="240" w:lineRule="auto"/>
        <w:ind w:firstLine="560" w:firstLineChars="200"/>
        <w:textAlignment w:val="auto"/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</w:pP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  <w:t>（六）负责全县森林公安机关的警务督察和党风廉政建设工作，按权限处理森林公安民警违规违纪事件；</w:t>
      </w:r>
    </w:p>
    <w:p>
      <w:pPr>
        <w:pageBreakBefore w:val="0"/>
        <w:kinsoku/>
        <w:wordWrap/>
        <w:overflowPunct/>
        <w:topLinePunct w:val="0"/>
        <w:bidi w:val="0"/>
        <w:spacing w:line="240" w:lineRule="auto"/>
        <w:ind w:firstLine="560" w:firstLineChars="200"/>
        <w:textAlignment w:val="auto"/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</w:pP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  <w:t>（七）负责全县森林公安装备、基础设施建设，承担警用装备的申请、购置、调拨、发放和管理等保障工作；</w:t>
      </w:r>
    </w:p>
    <w:p>
      <w:pPr>
        <w:pStyle w:val="2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240" w:lineRule="auto"/>
        <w:ind w:firstLine="360" w:firstLineChars="200"/>
        <w:textAlignment w:val="auto"/>
        <w:rPr>
          <w:rFonts w:hint="default"/>
        </w:rPr>
      </w:pPr>
    </w:p>
    <w:p>
      <w:pPr>
        <w:pStyle w:val="12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基本支出情况</w:t>
      </w:r>
    </w:p>
    <w:p>
      <w:pPr>
        <w:pageBreakBefore w:val="0"/>
        <w:kinsoku/>
        <w:wordWrap/>
        <w:overflowPunct/>
        <w:topLinePunct w:val="0"/>
        <w:bidi w:val="0"/>
        <w:spacing w:line="240" w:lineRule="auto"/>
        <w:ind w:firstLine="560" w:firstLineChars="200"/>
        <w:textAlignment w:val="auto"/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</w:pP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  <w:t>1、收入情况：全年收入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  <w:lang w:val="en-US" w:eastAsia="zh-CN"/>
        </w:rPr>
        <w:t>377.49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  <w:t>万元，其中：财政拨款收入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  <w:lang w:val="en-US" w:eastAsia="zh-CN"/>
        </w:rPr>
        <w:t>377.49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  <w:t>万元。</w:t>
      </w:r>
    </w:p>
    <w:p>
      <w:pPr>
        <w:pageBreakBefore w:val="0"/>
        <w:kinsoku/>
        <w:wordWrap/>
        <w:overflowPunct/>
        <w:topLinePunct w:val="0"/>
        <w:bidi w:val="0"/>
        <w:spacing w:line="240" w:lineRule="auto"/>
        <w:ind w:firstLine="560" w:firstLineChars="200"/>
        <w:textAlignment w:val="auto"/>
        <w:rPr>
          <w:rFonts w:hint="default" w:ascii="仿宋_GB2312" w:hAnsi="宋体" w:eastAsia="仿宋_GB2312" w:cs="宋体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  <w:t xml:space="preserve">2、支出情况:全年支出 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  <w:lang w:val="en-US" w:eastAsia="zh-CN"/>
        </w:rPr>
        <w:t>377.49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  <w:t>万元，其中：基本支出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  <w:lang w:val="en-US" w:eastAsia="zh-CN"/>
        </w:rPr>
        <w:t>253.99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  <w:t>万元（人员支出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  <w:lang w:val="en-US" w:eastAsia="zh-CN"/>
        </w:rPr>
        <w:t>208.61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  <w:t>万元，公用支出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  <w:lang w:val="en-US" w:eastAsia="zh-CN"/>
        </w:rPr>
        <w:t>45.38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  <w:t>万元）；项目支出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  <w:lang w:val="en-US" w:eastAsia="zh-CN"/>
        </w:rPr>
        <w:t>123.5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  <w:t>万元。</w:t>
      </w:r>
    </w:p>
    <w:p>
      <w:pPr>
        <w:pStyle w:val="12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项目支出情况</w:t>
      </w:r>
    </w:p>
    <w:p>
      <w:pPr>
        <w:pageBreakBefore w:val="0"/>
        <w:kinsoku/>
        <w:wordWrap/>
        <w:overflowPunct/>
        <w:topLinePunct w:val="0"/>
        <w:bidi w:val="0"/>
        <w:spacing w:line="240" w:lineRule="auto"/>
        <w:ind w:firstLine="560" w:firstLineChars="200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  <w:lang w:val="en-US" w:eastAsia="zh-CN"/>
        </w:rPr>
        <w:t>项目支出123.5万元，其中中央和省级资金102万元，警务辅助人员经费21.5万元。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部门整体支出绩效情况</w:t>
      </w:r>
    </w:p>
    <w:p>
      <w:pPr>
        <w:pageBreakBefore w:val="0"/>
        <w:kinsoku/>
        <w:wordWrap/>
        <w:overflowPunct/>
        <w:topLinePunct w:val="0"/>
        <w:bidi w:val="0"/>
        <w:spacing w:line="240" w:lineRule="auto"/>
        <w:ind w:firstLine="560" w:firstLineChars="200"/>
        <w:textAlignment w:val="auto"/>
        <w:rPr>
          <w:rFonts w:hint="eastAsia" w:ascii="仿宋_GB2312" w:hAnsi="宋体" w:eastAsia="仿宋_GB2312" w:cs="宋体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  <w:lang w:val="en-US" w:eastAsia="zh-CN"/>
        </w:rPr>
        <w:t>2022年，根据年初工作规划和重点工作，围绕县委、县政府的工作部署，积极履行职责，强化管理，较好地完成了年度工作目标，同时加强预算收支的管理，建立健全内部管理制度，严格内部管理流程，部门整体支出管理得到了提升。2022年度部门整体支出绩效情况如下：</w:t>
      </w:r>
    </w:p>
    <w:p>
      <w:pPr>
        <w:pageBreakBefore w:val="0"/>
        <w:kinsoku/>
        <w:wordWrap/>
        <w:overflowPunct/>
        <w:topLinePunct w:val="0"/>
        <w:bidi w:val="0"/>
        <w:spacing w:line="240" w:lineRule="auto"/>
        <w:ind w:firstLine="560" w:firstLineChars="200"/>
        <w:textAlignment w:val="auto"/>
        <w:rPr>
          <w:rFonts w:hint="eastAsia" w:ascii="仿宋_GB2312" w:hAnsi="宋体" w:eastAsia="仿宋_GB2312" w:cs="宋体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  <w:lang w:val="en-US" w:eastAsia="zh-CN"/>
        </w:rPr>
        <w:t>1.严格预算支出管理。根据“总量控制、计划管理”的要求从严控制行政经费，压缩一般性支出，严格控制“三公”经费，资产的配置严格政府采购，保障部门整体支出的规范化、制度化。</w:t>
      </w:r>
    </w:p>
    <w:p>
      <w:pPr>
        <w:pageBreakBefore w:val="0"/>
        <w:kinsoku/>
        <w:wordWrap/>
        <w:overflowPunct/>
        <w:topLinePunct w:val="0"/>
        <w:bidi w:val="0"/>
        <w:spacing w:line="240" w:lineRule="auto"/>
        <w:ind w:firstLine="560" w:firstLineChars="200"/>
        <w:textAlignment w:val="auto"/>
        <w:rPr>
          <w:rFonts w:hint="eastAsia" w:ascii="仿宋_GB2312" w:hAnsi="宋体" w:eastAsia="仿宋_GB2312" w:cs="宋体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  <w:lang w:val="en-US" w:eastAsia="zh-CN"/>
        </w:rPr>
        <w:t>2.财务管理上，按照国家相关法律法规，制定完善了单位内部控制制度，并严格按照制度管理和执行，防范风险，保证财政资金的安全和高效运行。</w:t>
      </w:r>
    </w:p>
    <w:p>
      <w:pPr>
        <w:pageBreakBefore w:val="0"/>
        <w:kinsoku/>
        <w:wordWrap/>
        <w:overflowPunct/>
        <w:topLinePunct w:val="0"/>
        <w:bidi w:val="0"/>
        <w:spacing w:line="240" w:lineRule="auto"/>
        <w:ind w:firstLine="560" w:firstLineChars="200"/>
        <w:textAlignment w:val="auto"/>
        <w:rPr>
          <w:rFonts w:hint="eastAsia" w:ascii="仿宋_GB2312" w:hAnsi="宋体" w:eastAsia="仿宋_GB2312" w:cs="宋体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  <w:lang w:val="en-US" w:eastAsia="zh-CN"/>
        </w:rPr>
        <w:t>通过对2022年的预算配置、预算管理、资产管理、职责履行、履职效益等内容的绩效考评，提高财政资金的使用效率，保障了机构的正常运转。2022年，较好地完成了年度工作目标，部门整体支出绩效评价为优。</w:t>
      </w:r>
    </w:p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黑体" w:cs="Times New Roman"/>
          <w:sz w:val="32"/>
          <w:szCs w:val="32"/>
        </w:rPr>
        <w:t>、存在的问题及原因分析</w:t>
      </w:r>
    </w:p>
    <w:p>
      <w:pPr>
        <w:pageBreakBefore w:val="0"/>
        <w:kinsoku/>
        <w:wordWrap/>
        <w:overflowPunct/>
        <w:topLinePunct w:val="0"/>
        <w:bidi w:val="0"/>
        <w:spacing w:line="240" w:lineRule="auto"/>
        <w:ind w:firstLine="560" w:firstLineChars="200"/>
        <w:textAlignment w:val="auto"/>
        <w:rPr>
          <w:rFonts w:hint="eastAsia" w:ascii="仿宋_GB2312" w:hAnsi="宋体" w:eastAsia="仿宋_GB2312" w:cs="宋体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  <w:lang w:val="en-US" w:eastAsia="zh-CN"/>
        </w:rPr>
        <w:t>在预算执行过程中存在执行偏离绩效目标的情况，主要体现在以下几个方面：</w:t>
      </w:r>
    </w:p>
    <w:p>
      <w:pPr>
        <w:pageBreakBefore w:val="0"/>
        <w:kinsoku/>
        <w:wordWrap/>
        <w:overflowPunct/>
        <w:topLinePunct w:val="0"/>
        <w:bidi w:val="0"/>
        <w:spacing w:line="240" w:lineRule="auto"/>
        <w:ind w:firstLine="560" w:firstLineChars="200"/>
        <w:textAlignment w:val="auto"/>
        <w:rPr>
          <w:rFonts w:hint="eastAsia" w:ascii="仿宋_GB2312" w:hAnsi="宋体" w:eastAsia="仿宋_GB2312" w:cs="宋体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  <w:lang w:val="en-US" w:eastAsia="zh-CN"/>
        </w:rPr>
        <w:t>（一）预算完成率有待提高。由于部分项目资金、结余资金下达时间较晚未能及时使用拨付，有关项目工作开展时间较晚、结算支出时间滞后导致预算完成率较低，有待进一步提高。</w:t>
      </w:r>
    </w:p>
    <w:p>
      <w:pPr>
        <w:pageBreakBefore w:val="0"/>
        <w:kinsoku/>
        <w:wordWrap/>
        <w:overflowPunct/>
        <w:topLinePunct w:val="0"/>
        <w:bidi w:val="0"/>
        <w:spacing w:line="240" w:lineRule="auto"/>
        <w:ind w:firstLine="560" w:firstLineChars="200"/>
        <w:textAlignment w:val="auto"/>
        <w:rPr>
          <w:rFonts w:hint="eastAsia" w:ascii="仿宋_GB2312" w:hAnsi="宋体" w:eastAsia="仿宋_GB2312" w:cs="宋体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  <w:lang w:val="en-US" w:eastAsia="zh-CN"/>
        </w:rPr>
        <w:t>（二）预算绩效管理工作有待健全。对于预算绩效管理工作重视不够，对于预算绩效管理的计划性不足，我局配套的工作机制还不成熟，相应的预算绩效管理办法还在制定中。在预算执行过程中，绩效管理的参与性不足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六、</w:t>
      </w:r>
      <w:r>
        <w:rPr>
          <w:rFonts w:hint="default" w:ascii="Times New Roman" w:hAnsi="Times New Roman" w:eastAsia="黑体" w:cs="Times New Roman"/>
          <w:sz w:val="32"/>
          <w:szCs w:val="32"/>
        </w:rPr>
        <w:t>下一步改进措施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default" w:ascii="仿宋_GB2312" w:hAnsi="宋体" w:eastAsia="仿宋_GB2312" w:cs="宋体"/>
          <w:sz w:val="28"/>
          <w:szCs w:val="28"/>
          <w:shd w:val="clear" w:color="auto" w:fill="FFFFFF"/>
          <w:lang w:val="en-US" w:eastAsia="zh-CN"/>
        </w:rPr>
      </w:pPr>
      <w:r>
        <w:rPr>
          <w:rFonts w:hint="default" w:ascii="仿宋_GB2312" w:hAnsi="宋体" w:eastAsia="仿宋_GB2312" w:cs="宋体"/>
          <w:sz w:val="28"/>
          <w:szCs w:val="28"/>
          <w:shd w:val="clear" w:color="auto" w:fill="FFFFFF"/>
          <w:lang w:val="en-US" w:eastAsia="zh-CN"/>
        </w:rPr>
        <w:t>一是把预算管理纳入项目管理体系，把预算编制与预算的执行工作贯穿于项目执行的全过程；二是加强与财政部门的沟通衔接，及时了解财政、财务规章制度，约束财经纪律，特别是对与当前财政经济环境不适用的事项，要及时征求财政意见，提供充分理由说服党委暂缓或停止事项；三是对业务类项目要实行深度整合，除财政据实核定项外，根据大类业务设立项目，既确保资金使用，又能应对年中临时新增业务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七</w:t>
      </w:r>
      <w:r>
        <w:rPr>
          <w:rFonts w:hint="default" w:ascii="Times New Roman" w:hAnsi="Times New Roman" w:eastAsia="黑体" w:cs="Times New Roman"/>
          <w:sz w:val="32"/>
          <w:szCs w:val="32"/>
        </w:rPr>
        <w:t>、其他需要说明的情况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eastAsia" w:ascii="仿宋_GB2312" w:hAnsi="宋体" w:eastAsia="仿宋_GB2312" w:cs="宋体"/>
          <w:sz w:val="28"/>
          <w:szCs w:val="28"/>
          <w:shd w:val="clear" w:color="auto" w:fill="FFFFFF"/>
          <w:lang w:val="en-US" w:eastAsia="zh-CN"/>
        </w:rPr>
        <w:sectPr>
          <w:footerReference r:id="rId3" w:type="default"/>
          <w:pgSz w:w="11906" w:h="16838"/>
          <w:pgMar w:top="1984" w:right="1701" w:bottom="1984" w:left="170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  <w:lang w:val="en-US" w:eastAsia="zh-CN"/>
        </w:rPr>
        <w:t>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项目支出绩效评价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评分表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（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共性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）</w:t>
      </w:r>
    </w:p>
    <w:tbl>
      <w:tblPr>
        <w:tblStyle w:val="8"/>
        <w:tblW w:w="982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540"/>
        <w:gridCol w:w="703"/>
        <w:gridCol w:w="540"/>
        <w:gridCol w:w="803"/>
        <w:gridCol w:w="550"/>
        <w:gridCol w:w="2407"/>
        <w:gridCol w:w="2772"/>
        <w:gridCol w:w="80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tblHeader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一级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7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二级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8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三级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24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具体指标</w:t>
            </w:r>
          </w:p>
        </w:tc>
        <w:tc>
          <w:tcPr>
            <w:tcW w:w="27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评价标准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自评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得分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113" w:right="113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项目决策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项目目标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内容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设立了项目绩效目标；目标明确；目标细化；目标量化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①设有目标（1分）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②目标明确（1分）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③目标细化（1分）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④目标量化（1分）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决策过程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依据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有关法律法规的明确规定；某一经济社会发展规划；某部门年度工作计划；某一实际问题和需求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①符合法律法规（1分）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②符合经济社会发展规划（1分）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③部门年度工作计划（1分）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④针对某一实际问题和需求（1分）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以上③需提供佐证资料。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程序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项目符合申报条件；申报、批复程序符合相关管理办法；项目调整履行了相应手续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①符合申报条件（2分）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②项目申报、批复程序符合管理办法（1分）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③项目调整履行了相应手续（1分）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办法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根据需要制定的相关资金管理办法；管理办法中有明确资金分配办法；资金分配因素全面、合理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①有相应的资金管理办法（1分）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②办法健全、规范（1分）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③因素全面合理（1分）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结果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资金分配符合相关管理办法；分配结果公平合理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①符合分配办法（2分）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②分配公平合理（3分）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此项需提供相应的资金分配方案。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  <w:sz w:val="24"/>
                <w:lang w:val="en-US" w:eastAsia="zh-CN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113" w:right="113" w:firstLine="2520" w:firstLineChars="1400"/>
              <w:jc w:val="both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25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资金到位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到位率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实际到位/计划到位*100%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根据项目资金的实际到位率计算得分（3分）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  <w:sz w:val="24"/>
                <w:lang w:val="en-US" w:eastAsia="zh-CN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到位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资金及时到位；若未及时到位，是否影响项目进度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①到位及时（2分）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color w:val="auto"/>
                <w:spacing w:val="-1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pacing w:val="-10"/>
                <w:kern w:val="0"/>
                <w:sz w:val="18"/>
                <w:szCs w:val="18"/>
              </w:rPr>
              <w:t>②不及时但未影响项目进度 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spacing w:val="-6"/>
                <w:kern w:val="0"/>
                <w:sz w:val="18"/>
                <w:szCs w:val="18"/>
              </w:rPr>
              <w:t>③不及时并影响项目进度（0.5分）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  <w:sz w:val="24"/>
                <w:lang w:val="en-US" w:eastAsia="zh-CN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使用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支出依据合规，无虚列项目支出情况；无截留挤占挪用情况；无超标准开支情况；无超预算情况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①虚列套取扣4-7分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②依据不合规扣2分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③截留、挤占、挪用扣3-6分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④超标准开支扣2-5分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⑤超预算扣2-5分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  <w:sz w:val="24"/>
                <w:lang w:val="en-US" w:eastAsia="zh-CN"/>
              </w:rPr>
              <w:t>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财务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资金管理、费用支出等制度健全；制度执行严格；会计核算规范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①财务制度健全（1分）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②严格执行制度（1分）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③会计核算规范（1分）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组织实施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机构健全、分工明确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①机构健全、分工明确  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  <w:sz w:val="24"/>
                <w:lang w:val="en-US" w:eastAsia="zh-CN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条件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项目实施单位是否提供或具备了必备的人员、场地和设备等条件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具备人员、场地、设备条件（1分）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  <w:sz w:val="24"/>
                <w:lang w:val="en-US" w:eastAsia="zh-CN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实施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项目按计划开工；按计划进度开展；按计划完工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①按计划开工（1分）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②按计划开展（1分）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③按计划完工（1分）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制度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项目管理制度健全；严格执行相关管理制度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①管理制度健全（2分）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②制度执行严格（3分）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  <w:sz w:val="24"/>
                <w:lang w:val="en-US" w:eastAsia="zh-CN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项目绩效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55</w:t>
            </w:r>
          </w:p>
        </w:tc>
        <w:tc>
          <w:tcPr>
            <w:tcW w:w="703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15</w:t>
            </w:r>
          </w:p>
        </w:tc>
        <w:tc>
          <w:tcPr>
            <w:tcW w:w="8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数量</w:t>
            </w:r>
          </w:p>
        </w:tc>
        <w:tc>
          <w:tcPr>
            <w:tcW w:w="5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目标完成率=目标完成数/预定目标数×100%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完成绩效目标100%得5分，未完成100%的同比例扣减。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  <w:sz w:val="24"/>
                <w:lang w:val="en-US" w:eastAsia="zh-CN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质量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目标完成质量=实际达到的效果/预定目标×100%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项目产出质量达到绩效目标100%得4分，未完成100%的同比例扣减。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项目资金使用的预定目标是否如期完成，未完成的理由是否充分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项目产出时效达到绩效目标得3分，未如期完成且无充分理由的扣3分。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成本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项目产出成本是否按绩效目标控制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项目产出成本按绩效目标控制得3分，未完成的，按超支比例扣减。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项目效果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经济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项目实施对经济发展所带来的直接或间接影响情况。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完成绩效目标设定的经济效益得8分，未完成的，按完成情况酌情扣分。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  <w:sz w:val="24"/>
                <w:lang w:val="en-US" w:eastAsia="zh-CN"/>
              </w:rPr>
              <w:t>7.5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项目实施对社会发展所带来的直接或间接影响情况。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完成绩效目标设定的社会效益得8分，未完成的，按完成情况酌情扣分。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  <w:sz w:val="24"/>
                <w:lang w:val="en-US" w:eastAsia="zh-CN"/>
              </w:rPr>
              <w:t>7.5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生态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项目实施对生态环境所带来的直接或间接影响情况。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完成绩效目标设定的积极的环境效益得8分，未完成的，按完成情况酌情扣分。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可持续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影响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项目后续运行及成效发挥的可持续影响情况。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完成绩效设定目标的得8分，未完成的，按完成情况酌情扣分。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对象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服务对象满意率=项目区被调查人数中表示满意的人数(户数)/ 被调查人数(户数)×100%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满意率达90%（含）以上的得8分，80%（含）-90%得6分，70%（含）-80%得4分，60%（含）-70%得2分，60%以下不得分。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70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总分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96</w:t>
            </w:r>
          </w:p>
        </w:tc>
      </w:tr>
    </w:tbl>
    <w:p>
      <w:pPr>
        <w:adjustRightInd w:val="0"/>
        <w:snapToGrid w:val="0"/>
        <w:spacing w:before="156" w:beforeLines="50"/>
        <w:ind w:left="840" w:hanging="840" w:hangingChars="400"/>
        <w:contextualSpacing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备注：</w:t>
      </w:r>
      <w:r>
        <w:rPr>
          <w:rFonts w:hint="eastAsia" w:ascii="仿宋_GB2312" w:eastAsia="仿宋_GB2312"/>
          <w:lang w:val="en-US" w:eastAsia="zh-CN"/>
        </w:rPr>
        <w:t>1、</w:t>
      </w:r>
      <w:r>
        <w:rPr>
          <w:rFonts w:hint="eastAsia" w:ascii="仿宋_GB2312" w:eastAsia="仿宋_GB2312"/>
        </w:rPr>
        <w:t>部门（单位）根据项目实际，在《项目支出绩效评价指标</w:t>
      </w:r>
      <w:r>
        <w:rPr>
          <w:rFonts w:hint="eastAsia" w:ascii="仿宋_GB2312" w:eastAsia="仿宋_GB2312"/>
          <w:lang w:eastAsia="zh-CN"/>
        </w:rPr>
        <w:t>评分表</w:t>
      </w:r>
      <w:r>
        <w:rPr>
          <w:rFonts w:hint="eastAsia" w:ascii="仿宋_GB2312" w:eastAsia="仿宋_GB2312"/>
        </w:rPr>
        <w:t>（</w:t>
      </w:r>
      <w:r>
        <w:rPr>
          <w:rFonts w:hint="eastAsia" w:ascii="仿宋_GB2312" w:eastAsia="仿宋_GB2312"/>
          <w:lang w:eastAsia="zh-CN"/>
        </w:rPr>
        <w:t>共性</w:t>
      </w:r>
      <w:r>
        <w:rPr>
          <w:rFonts w:hint="eastAsia" w:ascii="仿宋_GB2312" w:eastAsia="仿宋_GB2312"/>
        </w:rPr>
        <w:t>）》上进一步完善、量化、细化个性指标，形成本项目的指标体系。</w:t>
      </w:r>
    </w:p>
    <w:p>
      <w:pPr>
        <w:adjustRightInd w:val="0"/>
        <w:snapToGrid w:val="0"/>
        <w:spacing w:before="156" w:beforeLines="50"/>
        <w:ind w:firstLine="630" w:firstLineChars="300"/>
        <w:contextualSpacing/>
        <w:rPr>
          <w:rFonts w:hint="eastAsia" w:eastAsia="仿宋_GB2312"/>
          <w:sz w:val="32"/>
          <w:lang w:eastAsia="zh-CN"/>
        </w:rPr>
      </w:pPr>
      <w:r>
        <w:rPr>
          <w:rFonts w:hint="eastAsia" w:ascii="仿宋_GB2312" w:eastAsia="仿宋_GB2312"/>
          <w:lang w:val="en-US" w:eastAsia="zh-CN"/>
        </w:rPr>
        <w:t>2、</w:t>
      </w:r>
      <w:r>
        <w:rPr>
          <w:rFonts w:hint="eastAsia" w:ascii="仿宋_GB2312" w:eastAsia="仿宋_GB2312"/>
          <w:lang w:eastAsia="zh-CN"/>
        </w:rPr>
        <w:t>一个一级项目一张表。</w:t>
      </w:r>
    </w:p>
    <w:p/>
    <w:p>
      <w:pPr>
        <w:pStyle w:val="2"/>
        <w:rPr>
          <w:rFonts w:hint="eastAsia"/>
          <w:lang w:val="en-US" w:eastAsia="zh-CN"/>
        </w:rPr>
        <w:sectPr>
          <w:pgSz w:w="11906" w:h="16838"/>
          <w:pgMar w:top="1701" w:right="1417" w:bottom="1417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>
      <w:pPr>
        <w:spacing w:line="240" w:lineRule="auto"/>
        <w:ind w:firstLine="0" w:firstLineChars="0"/>
        <w:jc w:val="left"/>
        <w:outlineLvl w:val="0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</w:p>
    <w:p>
      <w:pPr>
        <w:widowControl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年度项目支出绩效自评表</w:t>
      </w:r>
    </w:p>
    <w:tbl>
      <w:tblPr>
        <w:tblStyle w:val="8"/>
        <w:tblW w:w="985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224"/>
        <w:gridCol w:w="1134"/>
        <w:gridCol w:w="1134"/>
        <w:gridCol w:w="828"/>
        <w:gridCol w:w="873"/>
        <w:gridCol w:w="141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项目支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出名称</w:t>
            </w:r>
          </w:p>
        </w:tc>
        <w:tc>
          <w:tcPr>
            <w:tcW w:w="877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eastAsia="zh-CN"/>
              </w:rPr>
              <w:t>办案业务经费专项支出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主管部门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实施单位</w:t>
            </w: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项目资金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（万元）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年初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right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执行数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执行率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得分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年度资金总额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102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102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102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其中：当年财政拨款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102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102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102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600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上年结转资金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600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其他资金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年度总体目标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预期目标</w:t>
            </w: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实际完成情况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一级指标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二级指标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三级指标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指标值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完成值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得分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偏差原因分析及改进措施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产出指标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(50分)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数量指标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  <w:t>侦破刑事、行政案件数十起，出动警力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100余人次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  <w:t>“十年禁渔”“生态三湘”宣传车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400余台次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质量指标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  <w:t>坚持政治建警，坚持“两个确立”，做到“两个维护”，筑牢政治忠诚，推动公正执法。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80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从严治警，强化队伍建设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时效指标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  <w:t>年底前完成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成本指标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  <w:t>控制在预算内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效益指标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（30分）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促进全县发展林业经济，建设秀美城市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92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5.52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强化责任担当，维护林业资源安全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坚持服务大局。在打击森林领域犯罪、突出问题整治的牵头工作，实行专责联络员制度，任务到岗、责任到人。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90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5.4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仿宋_GB2312"/>
                <w:szCs w:val="21"/>
              </w:rPr>
              <w:t>严厉打击各类违法犯罪，维护全县大局稳定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对社会公众开展安全宣传次数》10次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县域内植被恢复情况持续性向好。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95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5.7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促进警民合作，加大民众监督力度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可持续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影响指标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  <w:t>服务中心大局，整治安全问题及隐患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98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5.88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安全隐患排查，强化重点水域预警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（10分）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服务对象满意度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社会公众或服务对象满意度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  <w:t>》85%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总分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96.5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</w:tbl>
    <w:p>
      <w:pPr>
        <w:rPr>
          <w:rFonts w:hint="eastAsia" w:ascii="新宋体" w:hAnsi="新宋体" w:eastAsia="新宋体" w:cs="新宋体"/>
          <w:sz w:val="21"/>
          <w:szCs w:val="21"/>
          <w:lang w:eastAsia="zh-CN"/>
        </w:rPr>
      </w:pPr>
      <w:r>
        <w:rPr>
          <w:rFonts w:hint="eastAsia" w:ascii="新宋体" w:hAnsi="新宋体" w:eastAsia="新宋体" w:cs="新宋体"/>
          <w:sz w:val="21"/>
          <w:szCs w:val="21"/>
        </w:rPr>
        <w:t>备注：一个一级项目支出一张表。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如，</w:t>
      </w:r>
      <w:r>
        <w:rPr>
          <w:rFonts w:hint="eastAsia" w:ascii="新宋体" w:hAnsi="新宋体" w:eastAsia="新宋体" w:cs="新宋体"/>
          <w:sz w:val="21"/>
          <w:szCs w:val="21"/>
        </w:rPr>
        <w:t>业务工作经费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，</w:t>
      </w:r>
      <w:r>
        <w:rPr>
          <w:rFonts w:hint="eastAsia" w:ascii="新宋体" w:hAnsi="新宋体" w:eastAsia="新宋体" w:cs="新宋体"/>
          <w:sz w:val="21"/>
          <w:szCs w:val="21"/>
        </w:rPr>
        <w:t>运行维护经费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，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XX项目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资金…各一张表。</w:t>
      </w: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jc w:val="left"/>
        <w:rPr>
          <w:rFonts w:hint="eastAsia" w:ascii="新宋体" w:hAnsi="新宋体" w:eastAsia="新宋体" w:cs="新宋体"/>
          <w:sz w:val="21"/>
          <w:szCs w:val="21"/>
          <w:lang w:eastAsia="zh-CN"/>
        </w:rPr>
      </w:pPr>
      <w:r>
        <w:rPr>
          <w:rFonts w:hint="eastAsia" w:ascii="新宋体" w:hAnsi="新宋体" w:eastAsia="新宋体" w:cs="新宋体"/>
          <w:sz w:val="21"/>
          <w:szCs w:val="21"/>
        </w:rPr>
        <w:t>填表人：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刘崇诚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 xml:space="preserve"> </w:t>
      </w:r>
      <w:r>
        <w:rPr>
          <w:rFonts w:hint="eastAsia" w:ascii="新宋体" w:hAnsi="新宋体" w:eastAsia="新宋体" w:cs="新宋体"/>
          <w:sz w:val="21"/>
          <w:szCs w:val="21"/>
        </w:rPr>
        <w:t>填报日期：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 xml:space="preserve">2023.7.4   </w:t>
      </w:r>
      <w:r>
        <w:rPr>
          <w:rFonts w:hint="eastAsia" w:ascii="新宋体" w:hAnsi="新宋体" w:eastAsia="新宋体" w:cs="新宋体"/>
          <w:sz w:val="21"/>
          <w:szCs w:val="21"/>
        </w:rPr>
        <w:t>联系电话：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 xml:space="preserve">0730-4251027 </w:t>
      </w:r>
      <w:r>
        <w:rPr>
          <w:rFonts w:hint="eastAsia" w:ascii="新宋体" w:hAnsi="新宋体" w:eastAsia="新宋体" w:cs="新宋体"/>
          <w:sz w:val="21"/>
          <w:szCs w:val="21"/>
        </w:rPr>
        <w:t xml:space="preserve"> 单位负责人签字：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马克金</w:t>
      </w:r>
    </w:p>
    <w:p>
      <w:pPr>
        <w:spacing w:line="240" w:lineRule="auto"/>
        <w:ind w:firstLine="0" w:firstLineChars="0"/>
        <w:jc w:val="left"/>
        <w:outlineLvl w:val="0"/>
        <w:rPr>
          <w:rFonts w:hint="eastAsia" w:ascii="新宋体" w:hAnsi="新宋体" w:eastAsia="新宋体" w:cs="新宋体"/>
          <w:sz w:val="21"/>
          <w:szCs w:val="21"/>
          <w:lang w:val="en-US" w:eastAsia="zh-CN"/>
        </w:rPr>
        <w:sectPr>
          <w:pgSz w:w="11906" w:h="16838"/>
          <w:pgMar w:top="1701" w:right="1417" w:bottom="1417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</w:t>
      </w: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华容县森林公安局办案业务经费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支出绩效自评报告</w:t>
      </w:r>
    </w:p>
    <w:p>
      <w:pPr>
        <w:jc w:val="center"/>
        <w:rPr>
          <w:rFonts w:hint="default" w:ascii="Times New Roman" w:hAnsi="Times New Roman" w:eastAsia="方正小标宋_GBK" w:cs="Times New Roman"/>
          <w:b/>
          <w:sz w:val="52"/>
          <w:szCs w:val="5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pStyle w:val="2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pStyle w:val="2"/>
        <w:rPr>
          <w:rFonts w:hint="default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jc w:val="center"/>
        <w:rPr>
          <w:rFonts w:hint="eastAsia" w:ascii="Times New Roman" w:hAnsi="Times New Roman" w:eastAsia="仿宋_GB2312" w:cs="Times New Roman"/>
          <w:sz w:val="32"/>
          <w:szCs w:val="32"/>
          <w:u w:val="single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部门（单位）名称：</w:t>
      </w:r>
      <w:r>
        <w:rPr>
          <w:rFonts w:hint="eastAsia" w:eastAsia="仿宋_GB2312" w:cs="Times New Roman"/>
          <w:sz w:val="32"/>
          <w:szCs w:val="32"/>
          <w:u w:val="single"/>
          <w:lang w:eastAsia="zh-CN"/>
        </w:rPr>
        <w:t>华容县森林公安局</w:t>
      </w:r>
    </w:p>
    <w:p>
      <w:pPr>
        <w:spacing w:line="60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eastAsia" w:eastAsia="楷体_GB2312" w:cs="Times New Roman"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年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月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日</w:t>
      </w: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（此页为封面）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br w:type="page"/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华容县森林公安局办案业务经费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专项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支出绩效自评报告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一、</w:t>
      </w:r>
      <w:r>
        <w:rPr>
          <w:rFonts w:hint="default" w:ascii="Times New Roman" w:hAnsi="Times New Roman" w:eastAsia="黑体" w:cs="Times New Roman"/>
          <w:sz w:val="32"/>
          <w:szCs w:val="32"/>
        </w:rPr>
        <w:t>部门（单位）基本情况</w:t>
      </w:r>
    </w:p>
    <w:p>
      <w:pPr>
        <w:pageBreakBefore w:val="0"/>
        <w:kinsoku/>
        <w:wordWrap/>
        <w:overflowPunct/>
        <w:topLinePunct w:val="0"/>
        <w:bidi w:val="0"/>
        <w:spacing w:line="240" w:lineRule="auto"/>
        <w:ind w:firstLine="560" w:firstLineChars="200"/>
        <w:textAlignment w:val="auto"/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</w:pP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  <w:t>单位为财政全额预算拨款单位，核定人员编制14人，实有人数为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  <w:lang w:val="en-US" w:eastAsia="zh-CN"/>
        </w:rPr>
        <w:t>11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  <w:t>人。</w:t>
      </w:r>
    </w:p>
    <w:p>
      <w:pPr>
        <w:pageBreakBefore w:val="0"/>
        <w:kinsoku/>
        <w:wordWrap/>
        <w:overflowPunct/>
        <w:topLinePunct w:val="0"/>
        <w:bidi w:val="0"/>
        <w:spacing w:line="240" w:lineRule="auto"/>
        <w:ind w:firstLine="560" w:firstLineChars="200"/>
        <w:textAlignment w:val="auto"/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</w:pP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  <w:t>职责职能：</w:t>
      </w:r>
    </w:p>
    <w:p>
      <w:pPr>
        <w:pageBreakBefore w:val="0"/>
        <w:kinsoku/>
        <w:wordWrap/>
        <w:overflowPunct/>
        <w:topLinePunct w:val="0"/>
        <w:bidi w:val="0"/>
        <w:spacing w:line="240" w:lineRule="auto"/>
        <w:ind w:firstLine="560" w:firstLineChars="200"/>
        <w:textAlignment w:val="auto"/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</w:pP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  <w:t>负责全县森林公安工作和森林公安队伍建设；</w:t>
      </w:r>
    </w:p>
    <w:p>
      <w:pPr>
        <w:pageBreakBefore w:val="0"/>
        <w:kinsoku/>
        <w:wordWrap/>
        <w:overflowPunct/>
        <w:topLinePunct w:val="0"/>
        <w:bidi w:val="0"/>
        <w:spacing w:line="240" w:lineRule="auto"/>
        <w:ind w:firstLine="560" w:firstLineChars="200"/>
        <w:textAlignment w:val="auto"/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</w:pP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  <w:t>（二）负责侦办全县森林火灾、破坏森林、野生动植物资源的刑事、治安、林业行政案件，对上述案件依法行使调查、立案、侦查、采取强制措施、提请批准逮捕、移送审查起诉以及进行治安、林业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  <w:lang w:eastAsia="zh-CN"/>
        </w:rPr>
        <w:t>行政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  <w:t>处罚等职权；</w:t>
      </w:r>
    </w:p>
    <w:p>
      <w:pPr>
        <w:pageBreakBefore w:val="0"/>
        <w:kinsoku/>
        <w:wordWrap/>
        <w:overflowPunct/>
        <w:topLinePunct w:val="0"/>
        <w:bidi w:val="0"/>
        <w:spacing w:line="240" w:lineRule="auto"/>
        <w:ind w:firstLine="560" w:firstLineChars="200"/>
        <w:textAlignment w:val="auto"/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</w:pP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  <w:t>（三）负责全县林区治安管理工作、森林公安基层基础工作；</w:t>
      </w:r>
    </w:p>
    <w:p>
      <w:pPr>
        <w:pageBreakBefore w:val="0"/>
        <w:kinsoku/>
        <w:wordWrap/>
        <w:overflowPunct/>
        <w:topLinePunct w:val="0"/>
        <w:bidi w:val="0"/>
        <w:spacing w:line="240" w:lineRule="auto"/>
        <w:ind w:firstLine="560" w:firstLineChars="200"/>
        <w:textAlignment w:val="auto"/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</w:pP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  <w:t>（四）负责全县森林公安法制建设，监督、检查全县森林公安机关的执法活动，依法承担行政复议和参加行政诉讼；</w:t>
      </w:r>
    </w:p>
    <w:p>
      <w:pPr>
        <w:pageBreakBefore w:val="0"/>
        <w:kinsoku/>
        <w:wordWrap/>
        <w:overflowPunct/>
        <w:topLinePunct w:val="0"/>
        <w:bidi w:val="0"/>
        <w:spacing w:line="240" w:lineRule="auto"/>
        <w:ind w:firstLine="560" w:firstLineChars="200"/>
        <w:textAlignment w:val="auto"/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</w:pP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  <w:t>（五）负责全县森林公安队伍的政治、业务建设，负责全县森林公安警力配备的报批，协调民警的招录工作，负责民警的警籍、警衔管理和各项政治业务培训、立功受奖、优抚、宣传等工作；</w:t>
      </w:r>
    </w:p>
    <w:p>
      <w:pPr>
        <w:pageBreakBefore w:val="0"/>
        <w:kinsoku/>
        <w:wordWrap/>
        <w:overflowPunct/>
        <w:topLinePunct w:val="0"/>
        <w:bidi w:val="0"/>
        <w:spacing w:line="240" w:lineRule="auto"/>
        <w:ind w:firstLine="560" w:firstLineChars="200"/>
        <w:textAlignment w:val="auto"/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</w:pP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  <w:t>（六）负责全县森林公安机关的警务督察和党风廉政建设工作，按权限处理森林公安民警违规违纪事件；</w:t>
      </w:r>
    </w:p>
    <w:p>
      <w:pPr>
        <w:pageBreakBefore w:val="0"/>
        <w:kinsoku/>
        <w:wordWrap/>
        <w:overflowPunct/>
        <w:topLinePunct w:val="0"/>
        <w:bidi w:val="0"/>
        <w:spacing w:line="240" w:lineRule="auto"/>
        <w:ind w:firstLine="560" w:firstLineChars="200"/>
        <w:textAlignment w:val="auto"/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</w:pP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  <w:t>（七）负责全县森林公安装备、基础设施建设，承担警用装备的申请、购置、调拨、发放和管理等保障工作；</w:t>
      </w:r>
    </w:p>
    <w:p>
      <w:pPr>
        <w:pStyle w:val="2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240" w:lineRule="auto"/>
        <w:ind w:firstLine="360" w:firstLineChars="200"/>
        <w:textAlignment w:val="auto"/>
        <w:rPr>
          <w:rFonts w:hint="default"/>
        </w:rPr>
      </w:pPr>
    </w:p>
    <w:p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200" w:firstLine="320" w:firstLineChars="1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二、</w:t>
      </w: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基本支出情况</w:t>
      </w:r>
    </w:p>
    <w:p>
      <w:pPr>
        <w:pageBreakBefore w:val="0"/>
        <w:kinsoku/>
        <w:wordWrap/>
        <w:overflowPunct/>
        <w:topLinePunct w:val="0"/>
        <w:bidi w:val="0"/>
        <w:spacing w:line="240" w:lineRule="auto"/>
        <w:ind w:firstLine="560" w:firstLineChars="200"/>
        <w:textAlignment w:val="auto"/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</w:pP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  <w:t>1、收入情况：全年收入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  <w:lang w:val="en-US" w:eastAsia="zh-CN"/>
        </w:rPr>
        <w:t>377.49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  <w:t>万元，其中：财政拨款收入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  <w:lang w:val="en-US" w:eastAsia="zh-CN"/>
        </w:rPr>
        <w:t>377.49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  <w:t>万元。</w:t>
      </w:r>
    </w:p>
    <w:p>
      <w:pPr>
        <w:pageBreakBefore w:val="0"/>
        <w:kinsoku/>
        <w:wordWrap/>
        <w:overflowPunct/>
        <w:topLinePunct w:val="0"/>
        <w:bidi w:val="0"/>
        <w:spacing w:line="240" w:lineRule="auto"/>
        <w:ind w:firstLine="560" w:firstLineChars="200"/>
        <w:textAlignment w:val="auto"/>
        <w:rPr>
          <w:rFonts w:hint="default" w:ascii="仿宋_GB2312" w:hAnsi="宋体" w:eastAsia="仿宋_GB2312" w:cs="宋体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  <w:t xml:space="preserve">2、支出情况:全年支出 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  <w:lang w:val="en-US" w:eastAsia="zh-CN"/>
        </w:rPr>
        <w:t>377.49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  <w:t>万元，其中：基本支出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  <w:lang w:val="en-US" w:eastAsia="zh-CN"/>
        </w:rPr>
        <w:t>253.99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  <w:t>万元（人员支出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  <w:lang w:val="en-US" w:eastAsia="zh-CN"/>
        </w:rPr>
        <w:t>208.61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  <w:t>万元，公用支出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  <w:lang w:val="en-US" w:eastAsia="zh-CN"/>
        </w:rPr>
        <w:t>45.39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  <w:t>万元）；项目支出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  <w:lang w:val="en-US" w:eastAsia="zh-CN"/>
        </w:rPr>
        <w:t>123.5</w:t>
      </w: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  <w:t>万元。</w:t>
      </w:r>
    </w:p>
    <w:p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200" w:firstLine="320" w:firstLineChars="1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三、</w:t>
      </w: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项目支出情况</w:t>
      </w:r>
    </w:p>
    <w:p>
      <w:pPr>
        <w:pageBreakBefore w:val="0"/>
        <w:kinsoku/>
        <w:wordWrap/>
        <w:overflowPunct/>
        <w:topLinePunct w:val="0"/>
        <w:bidi w:val="0"/>
        <w:spacing w:line="240" w:lineRule="auto"/>
        <w:ind w:firstLine="560" w:firstLineChars="200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  <w:lang w:val="en-US" w:eastAsia="zh-CN"/>
        </w:rPr>
        <w:t>项目支出123.5万元，其中中央转移支付专项资金102万元。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200" w:firstLine="320" w:firstLineChars="1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四、</w:t>
      </w:r>
      <w:r>
        <w:rPr>
          <w:rFonts w:hint="default" w:ascii="Times New Roman" w:hAnsi="Times New Roman" w:eastAsia="黑体" w:cs="Times New Roman"/>
          <w:sz w:val="32"/>
          <w:szCs w:val="32"/>
        </w:rPr>
        <w:t>部门整体支出绩效情况</w:t>
      </w:r>
    </w:p>
    <w:p>
      <w:pPr>
        <w:pageBreakBefore w:val="0"/>
        <w:kinsoku/>
        <w:wordWrap/>
        <w:overflowPunct/>
        <w:topLinePunct w:val="0"/>
        <w:bidi w:val="0"/>
        <w:spacing w:line="240" w:lineRule="auto"/>
        <w:ind w:firstLine="560" w:firstLineChars="200"/>
        <w:textAlignment w:val="auto"/>
        <w:rPr>
          <w:rFonts w:hint="eastAsia" w:ascii="仿宋_GB2312" w:hAnsi="宋体" w:eastAsia="仿宋_GB2312" w:cs="宋体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  <w:lang w:val="en-US" w:eastAsia="zh-CN"/>
        </w:rPr>
        <w:t>2022年，根据年初工作规划和重点工作，围绕县委、县政府的工作部署，积极履行职责，强化管理，较好地完成了年度工作目标，同时加强预算收支的管理，建立健全内部管理制度，严格内部管理流程，部门整体支出管理得到了提升。2022年度部门整体支出绩效情况如下：</w:t>
      </w:r>
    </w:p>
    <w:p>
      <w:pPr>
        <w:pageBreakBefore w:val="0"/>
        <w:kinsoku/>
        <w:wordWrap/>
        <w:overflowPunct/>
        <w:topLinePunct w:val="0"/>
        <w:bidi w:val="0"/>
        <w:spacing w:line="240" w:lineRule="auto"/>
        <w:ind w:firstLine="560" w:firstLineChars="200"/>
        <w:textAlignment w:val="auto"/>
        <w:rPr>
          <w:rFonts w:hint="eastAsia" w:ascii="仿宋_GB2312" w:hAnsi="宋体" w:eastAsia="仿宋_GB2312" w:cs="宋体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  <w:lang w:val="en-US" w:eastAsia="zh-CN"/>
        </w:rPr>
        <w:t>1.严格预算支出管理。根据“总量控制、计划管理”的要求从严控制行政经费，压缩一般性支出，严格控制“三公”经费，资产的配置严格政府采购，保障部门整体支出的规范化、制度化。</w:t>
      </w:r>
    </w:p>
    <w:p>
      <w:pPr>
        <w:pageBreakBefore w:val="0"/>
        <w:kinsoku/>
        <w:wordWrap/>
        <w:overflowPunct/>
        <w:topLinePunct w:val="0"/>
        <w:bidi w:val="0"/>
        <w:spacing w:line="240" w:lineRule="auto"/>
        <w:ind w:firstLine="560" w:firstLineChars="200"/>
        <w:textAlignment w:val="auto"/>
        <w:rPr>
          <w:rFonts w:hint="eastAsia" w:ascii="仿宋_GB2312" w:hAnsi="宋体" w:eastAsia="仿宋_GB2312" w:cs="宋体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  <w:lang w:val="en-US" w:eastAsia="zh-CN"/>
        </w:rPr>
        <w:t>2.财务管理上，按照国家相关法律法规，制定完善了单位内部控制制度，并严格按照制度管理和执行，防范风险，保证财政资金的安全和高效运行。</w:t>
      </w:r>
    </w:p>
    <w:p>
      <w:pPr>
        <w:pageBreakBefore w:val="0"/>
        <w:kinsoku/>
        <w:wordWrap/>
        <w:overflowPunct/>
        <w:topLinePunct w:val="0"/>
        <w:bidi w:val="0"/>
        <w:spacing w:line="240" w:lineRule="auto"/>
        <w:ind w:firstLine="560" w:firstLineChars="200"/>
        <w:textAlignment w:val="auto"/>
        <w:rPr>
          <w:rFonts w:hint="eastAsia" w:ascii="仿宋_GB2312" w:hAnsi="宋体" w:eastAsia="仿宋_GB2312" w:cs="宋体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  <w:lang w:val="en-US" w:eastAsia="zh-CN"/>
        </w:rPr>
        <w:t>通过对2022年的预算配置、预算管理、资产管理、职责履行、履职效益等内容的绩效考评，提高财政资金的使用效率，保障了机构的正常运转。2022年，较好地完成了年度工作目标，部门整体支出绩效评价为优。</w:t>
      </w:r>
    </w:p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黑体" w:cs="Times New Roman"/>
          <w:sz w:val="32"/>
          <w:szCs w:val="32"/>
        </w:rPr>
        <w:t>、存在的问题及原因分析</w:t>
      </w:r>
    </w:p>
    <w:p>
      <w:pPr>
        <w:pageBreakBefore w:val="0"/>
        <w:kinsoku/>
        <w:wordWrap/>
        <w:overflowPunct/>
        <w:topLinePunct w:val="0"/>
        <w:bidi w:val="0"/>
        <w:spacing w:line="240" w:lineRule="auto"/>
        <w:ind w:firstLine="560" w:firstLineChars="200"/>
        <w:textAlignment w:val="auto"/>
        <w:rPr>
          <w:rFonts w:hint="eastAsia" w:ascii="仿宋_GB2312" w:hAnsi="宋体" w:eastAsia="仿宋_GB2312" w:cs="宋体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  <w:lang w:val="en-US" w:eastAsia="zh-CN"/>
        </w:rPr>
        <w:t>在预算执行过程中存在执行偏离绩效目标的情况，主要体现在以下几个方面：</w:t>
      </w:r>
    </w:p>
    <w:p>
      <w:pPr>
        <w:pageBreakBefore w:val="0"/>
        <w:kinsoku/>
        <w:wordWrap/>
        <w:overflowPunct/>
        <w:topLinePunct w:val="0"/>
        <w:bidi w:val="0"/>
        <w:spacing w:line="240" w:lineRule="auto"/>
        <w:ind w:firstLine="560" w:firstLineChars="200"/>
        <w:textAlignment w:val="auto"/>
        <w:rPr>
          <w:rFonts w:hint="eastAsia" w:ascii="仿宋_GB2312" w:hAnsi="宋体" w:eastAsia="仿宋_GB2312" w:cs="宋体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  <w:lang w:val="en-US" w:eastAsia="zh-CN"/>
        </w:rPr>
        <w:t>（一）预算完成率有待提高。由于部分项目资金、结余资金下达时间较晚未能及时使用拨付，有关项目工作开展时间较晚、结算支出时间滞后导致预算完成率较低，有待进一步提高。</w:t>
      </w:r>
    </w:p>
    <w:p>
      <w:pPr>
        <w:pageBreakBefore w:val="0"/>
        <w:kinsoku/>
        <w:wordWrap/>
        <w:overflowPunct/>
        <w:topLinePunct w:val="0"/>
        <w:bidi w:val="0"/>
        <w:spacing w:line="240" w:lineRule="auto"/>
        <w:ind w:firstLine="560" w:firstLineChars="200"/>
        <w:textAlignment w:val="auto"/>
        <w:rPr>
          <w:rFonts w:hint="eastAsia" w:ascii="仿宋_GB2312" w:hAnsi="宋体" w:eastAsia="仿宋_GB2312" w:cs="宋体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  <w:lang w:val="en-US" w:eastAsia="zh-CN"/>
        </w:rPr>
        <w:t>（二）预算绩效管理工作有待健全。对于预算绩效管理工作重视不够，对于预算绩效管理的计划性不足，我局配套的工作机制还不成熟，相应的预算绩效管理办法还在制定中。在预算执行过程中，绩效管理的参与性不足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六、</w:t>
      </w:r>
      <w:r>
        <w:rPr>
          <w:rFonts w:hint="default" w:ascii="Times New Roman" w:hAnsi="Times New Roman" w:eastAsia="黑体" w:cs="Times New Roman"/>
          <w:sz w:val="32"/>
          <w:szCs w:val="32"/>
        </w:rPr>
        <w:t>下一步改进措施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default" w:ascii="仿宋_GB2312" w:hAnsi="宋体" w:eastAsia="仿宋_GB2312" w:cs="宋体"/>
          <w:sz w:val="28"/>
          <w:szCs w:val="28"/>
          <w:shd w:val="clear" w:color="auto" w:fill="FFFFFF"/>
          <w:lang w:val="en-US" w:eastAsia="zh-CN"/>
        </w:rPr>
      </w:pPr>
      <w:r>
        <w:rPr>
          <w:rFonts w:hint="default" w:ascii="仿宋_GB2312" w:hAnsi="宋体" w:eastAsia="仿宋_GB2312" w:cs="宋体"/>
          <w:sz w:val="28"/>
          <w:szCs w:val="28"/>
          <w:shd w:val="clear" w:color="auto" w:fill="FFFFFF"/>
          <w:lang w:val="en-US" w:eastAsia="zh-CN"/>
        </w:rPr>
        <w:t>一是把预算管理纳入项目管理体系，把预算编制与预算的执行工作贯穿于项目执行的全过程；二是加强与财政部门的沟通衔接，及时了解财政、财务规章制度，约束财经纪律，特别是对与当前财政经济环境不适用的事项，要及时征求财政意见，提供充分理由说服党委暂缓或停止事项；三是对业务类项目要实行深度整合，除财政据实核定项外，根据大类业务设立项目，既确保资金使用，又能应对年中临时新增业务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其他需要说明的情况</w:t>
      </w:r>
    </w:p>
    <w:p>
      <w:pPr>
        <w:pStyle w:val="2"/>
        <w:widowControl w:val="0"/>
        <w:numPr>
          <w:ilvl w:val="0"/>
          <w:numId w:val="0"/>
        </w:numPr>
        <w:snapToGrid w:val="0"/>
        <w:jc w:val="left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eastAsia" w:ascii="仿宋_GB2312" w:hAnsi="宋体" w:eastAsia="仿宋_GB2312" w:cs="宋体"/>
          <w:sz w:val="28"/>
          <w:szCs w:val="28"/>
          <w:shd w:val="clear" w:color="auto" w:fill="FFFFFF"/>
          <w:lang w:val="en-US" w:eastAsia="zh-CN"/>
        </w:rPr>
        <w:sectPr>
          <w:pgSz w:w="11906" w:h="16838"/>
          <w:pgMar w:top="1984" w:right="1701" w:bottom="1984" w:left="170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  <w:r>
        <w:rPr>
          <w:rFonts w:hint="eastAsia" w:ascii="仿宋_GB2312" w:hAnsi="宋体" w:eastAsia="仿宋_GB2312" w:cs="宋体"/>
          <w:sz w:val="28"/>
          <w:szCs w:val="28"/>
          <w:shd w:val="clear" w:color="auto" w:fill="FFFFFF"/>
          <w:lang w:val="en-US" w:eastAsia="zh-CN"/>
        </w:rPr>
        <w:t>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</w:p>
    <w:sectPr>
      <w:pgSz w:w="11906" w:h="16838"/>
      <w:pgMar w:top="1984" w:right="1701" w:bottom="1984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38847F2E-A7CE-40C7-984E-B9DD3644B106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2" w:fontKey="{C78ED1DC-8D60-413E-90C9-F2EF37B463DE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51F7BDC0-058B-49C9-9D64-2B4C9D27AAD2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4" w:fontKey="{EF32E2FC-A81D-4A67-ABAA-84B9A44A9CDD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C287CC29-CCA5-4004-B788-61FC2F497F4A}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6" w:fontKey="{E2F452CC-BF72-42E7-9C17-06E2ADF4115D}"/>
  </w:font>
  <w:font w:name="仿宋_GB2312">
    <w:panose1 w:val="02010609030101010101"/>
    <w:charset w:val="86"/>
    <w:family w:val="auto"/>
    <w:pitch w:val="default"/>
    <w:sig w:usb0="00000000" w:usb1="00000000" w:usb2="00000000" w:usb3="00000000" w:csb0="00000000" w:csb1="00000000"/>
    <w:embedRegular r:id="rId7" w:fontKey="{8C18DED4-59CF-4382-99EE-1CB8375D92AC}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8" w:fontKey="{E5CCA2CA-7DB4-42BE-B59E-3C7BD4E40F31}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  <w:embedRegular r:id="rId9" w:fontKey="{F339D6FB-6BD8-45C7-BB5C-5C7DBEC3750E}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00000" w:csb1="00000000"/>
    <w:embedRegular r:id="rId10" w:fontKey="{40AA1CE5-BE39-4533-80F7-096EDA139D37}"/>
  </w:font>
  <w:font w:name="楷体_GB2312">
    <w:panose1 w:val="02010609030101010101"/>
    <w:charset w:val="86"/>
    <w:family w:val="auto"/>
    <w:pitch w:val="default"/>
    <w:sig w:usb0="00000000" w:usb1="00000000" w:usb2="00000000" w:usb3="00000000" w:csb0="00000000" w:csb1="00000000"/>
    <w:embedRegular r:id="rId11" w:fontKey="{53621802-516D-4C1D-B9B5-22252F6434C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仿宋_GB2312" w:eastAsia="仿宋_GB2312"/>
        <w:sz w:val="28"/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jc w:val="right"/>
                          </w:pP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</w: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  <w:lang w:val="zh-CN"/>
                            </w:rPr>
                            <w:t>1</w: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s0lY7tAAAAAFAQAADwAAAAAA&#10;AAABACAAAAAiAAAAZHJzL2Rvd25yZXYueG1sUEsBAhQAFAAAAAgAh07iQA4bVggbAgAAIQQAAA4A&#10;AAAAAAAAAQAgAAAAHwEAAGRycy9lMm9Eb2MueG1sUEsFBgAAAAAGAAYAWQEAAKw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jc w:val="right"/>
                    </w:pP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</w: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  <w:lang w:val="zh-CN"/>
                      </w:rPr>
                      <w:t>1</w: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FD25437"/>
    <w:multiLevelType w:val="singleLevel"/>
    <w:tmpl w:val="9FD25437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76D343A"/>
    <w:multiLevelType w:val="singleLevel"/>
    <w:tmpl w:val="776D343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Q5YTI5YWM5OTRkOWI0MDc5NDJhYzEzNTcyNDlhZTAifQ=="/>
  </w:docVars>
  <w:rsids>
    <w:rsidRoot w:val="0CCB7736"/>
    <w:rsid w:val="00047FEF"/>
    <w:rsid w:val="000A3906"/>
    <w:rsid w:val="001776F1"/>
    <w:rsid w:val="00220996"/>
    <w:rsid w:val="006C4C35"/>
    <w:rsid w:val="006F0A16"/>
    <w:rsid w:val="00773328"/>
    <w:rsid w:val="00821883"/>
    <w:rsid w:val="00917857"/>
    <w:rsid w:val="00A755C2"/>
    <w:rsid w:val="00CD4BB3"/>
    <w:rsid w:val="016A347B"/>
    <w:rsid w:val="01CC197F"/>
    <w:rsid w:val="021A2AA6"/>
    <w:rsid w:val="02B50488"/>
    <w:rsid w:val="0338470A"/>
    <w:rsid w:val="034822A9"/>
    <w:rsid w:val="03D86621"/>
    <w:rsid w:val="04EE6171"/>
    <w:rsid w:val="05322D41"/>
    <w:rsid w:val="05395EA9"/>
    <w:rsid w:val="057D79A6"/>
    <w:rsid w:val="06EB3C8A"/>
    <w:rsid w:val="076D4450"/>
    <w:rsid w:val="0857436C"/>
    <w:rsid w:val="09583E75"/>
    <w:rsid w:val="09645F11"/>
    <w:rsid w:val="09EB2604"/>
    <w:rsid w:val="0ABD557B"/>
    <w:rsid w:val="0B79665E"/>
    <w:rsid w:val="0BBB5A8D"/>
    <w:rsid w:val="0C104906"/>
    <w:rsid w:val="0C1F169F"/>
    <w:rsid w:val="0CCB7736"/>
    <w:rsid w:val="0D9E0E8D"/>
    <w:rsid w:val="0E71598A"/>
    <w:rsid w:val="0EAB7397"/>
    <w:rsid w:val="0EF755B3"/>
    <w:rsid w:val="0F17035E"/>
    <w:rsid w:val="0F4E168D"/>
    <w:rsid w:val="0F805BB0"/>
    <w:rsid w:val="10286EA8"/>
    <w:rsid w:val="10E00D07"/>
    <w:rsid w:val="113228CF"/>
    <w:rsid w:val="11404466"/>
    <w:rsid w:val="11963ADD"/>
    <w:rsid w:val="11EB0F5C"/>
    <w:rsid w:val="11F20483"/>
    <w:rsid w:val="1273399C"/>
    <w:rsid w:val="12E71C37"/>
    <w:rsid w:val="136F31F8"/>
    <w:rsid w:val="138750E0"/>
    <w:rsid w:val="14133499"/>
    <w:rsid w:val="14B47060"/>
    <w:rsid w:val="14F355AC"/>
    <w:rsid w:val="15103705"/>
    <w:rsid w:val="15134A5C"/>
    <w:rsid w:val="15A620D3"/>
    <w:rsid w:val="15F474B0"/>
    <w:rsid w:val="16690933"/>
    <w:rsid w:val="16A3369E"/>
    <w:rsid w:val="16E4318C"/>
    <w:rsid w:val="16F65A78"/>
    <w:rsid w:val="178536BD"/>
    <w:rsid w:val="18FF3A91"/>
    <w:rsid w:val="19516372"/>
    <w:rsid w:val="19575CC2"/>
    <w:rsid w:val="19A80228"/>
    <w:rsid w:val="19C22505"/>
    <w:rsid w:val="1A101464"/>
    <w:rsid w:val="1A157E8B"/>
    <w:rsid w:val="1AB74849"/>
    <w:rsid w:val="1AC52FF2"/>
    <w:rsid w:val="1AE6175D"/>
    <w:rsid w:val="1B742AA7"/>
    <w:rsid w:val="1B7730BC"/>
    <w:rsid w:val="1C2D5A20"/>
    <w:rsid w:val="1C7E21FA"/>
    <w:rsid w:val="1C807869"/>
    <w:rsid w:val="1CA34935"/>
    <w:rsid w:val="1D5A640E"/>
    <w:rsid w:val="1ED63C0E"/>
    <w:rsid w:val="1F2106EC"/>
    <w:rsid w:val="1F326D2F"/>
    <w:rsid w:val="1F7640EC"/>
    <w:rsid w:val="20D76C5F"/>
    <w:rsid w:val="21057490"/>
    <w:rsid w:val="214A230E"/>
    <w:rsid w:val="21B052C4"/>
    <w:rsid w:val="22C43C86"/>
    <w:rsid w:val="22FF5445"/>
    <w:rsid w:val="23202932"/>
    <w:rsid w:val="235224D9"/>
    <w:rsid w:val="238D0E57"/>
    <w:rsid w:val="23BF65FD"/>
    <w:rsid w:val="24256710"/>
    <w:rsid w:val="2484192C"/>
    <w:rsid w:val="251E7983"/>
    <w:rsid w:val="259D0621"/>
    <w:rsid w:val="260D5D83"/>
    <w:rsid w:val="26287046"/>
    <w:rsid w:val="26BC2CF5"/>
    <w:rsid w:val="284A2254"/>
    <w:rsid w:val="292F1467"/>
    <w:rsid w:val="294F2CBE"/>
    <w:rsid w:val="29786927"/>
    <w:rsid w:val="297B51B4"/>
    <w:rsid w:val="29E40467"/>
    <w:rsid w:val="29F527E2"/>
    <w:rsid w:val="2BF35971"/>
    <w:rsid w:val="2C487650"/>
    <w:rsid w:val="2E4F43C0"/>
    <w:rsid w:val="2EA96158"/>
    <w:rsid w:val="2EC7368E"/>
    <w:rsid w:val="2F525B1A"/>
    <w:rsid w:val="30406D12"/>
    <w:rsid w:val="30FB4B41"/>
    <w:rsid w:val="31621165"/>
    <w:rsid w:val="31E90159"/>
    <w:rsid w:val="31F976B0"/>
    <w:rsid w:val="323C5548"/>
    <w:rsid w:val="32D3491F"/>
    <w:rsid w:val="32D37C06"/>
    <w:rsid w:val="33D21ACE"/>
    <w:rsid w:val="34D27431"/>
    <w:rsid w:val="366D29AF"/>
    <w:rsid w:val="36BE29A0"/>
    <w:rsid w:val="37450F88"/>
    <w:rsid w:val="37D6106F"/>
    <w:rsid w:val="38F862EB"/>
    <w:rsid w:val="39343807"/>
    <w:rsid w:val="39887BBC"/>
    <w:rsid w:val="3A53023B"/>
    <w:rsid w:val="3AE207FF"/>
    <w:rsid w:val="3AF42D2D"/>
    <w:rsid w:val="3B3A041F"/>
    <w:rsid w:val="3BAE6BF9"/>
    <w:rsid w:val="3C324FFD"/>
    <w:rsid w:val="3CA55B2C"/>
    <w:rsid w:val="3CCA47F2"/>
    <w:rsid w:val="3CDE0708"/>
    <w:rsid w:val="3CF51450"/>
    <w:rsid w:val="3D38423A"/>
    <w:rsid w:val="3D5002AA"/>
    <w:rsid w:val="3D525E71"/>
    <w:rsid w:val="3D5877DF"/>
    <w:rsid w:val="3D5B1CD8"/>
    <w:rsid w:val="3DC55CAA"/>
    <w:rsid w:val="3DC97AC7"/>
    <w:rsid w:val="3DD556CA"/>
    <w:rsid w:val="3F0D20F7"/>
    <w:rsid w:val="3F450429"/>
    <w:rsid w:val="3FE66C97"/>
    <w:rsid w:val="40226C80"/>
    <w:rsid w:val="40C451A5"/>
    <w:rsid w:val="4156470B"/>
    <w:rsid w:val="41943ACE"/>
    <w:rsid w:val="425D4066"/>
    <w:rsid w:val="426F7548"/>
    <w:rsid w:val="43173FD4"/>
    <w:rsid w:val="431E5551"/>
    <w:rsid w:val="4324736C"/>
    <w:rsid w:val="44143822"/>
    <w:rsid w:val="444C30C4"/>
    <w:rsid w:val="44654A12"/>
    <w:rsid w:val="449D2F4B"/>
    <w:rsid w:val="457C5F26"/>
    <w:rsid w:val="45D36013"/>
    <w:rsid w:val="45E4012F"/>
    <w:rsid w:val="473E135C"/>
    <w:rsid w:val="47FA4A2D"/>
    <w:rsid w:val="493F669B"/>
    <w:rsid w:val="49AD3161"/>
    <w:rsid w:val="49CF255F"/>
    <w:rsid w:val="4A6231BD"/>
    <w:rsid w:val="4A97610C"/>
    <w:rsid w:val="4AAB336C"/>
    <w:rsid w:val="4B2C5DCD"/>
    <w:rsid w:val="4B551E2E"/>
    <w:rsid w:val="4B6E6CB4"/>
    <w:rsid w:val="4B7D1173"/>
    <w:rsid w:val="4B9531EF"/>
    <w:rsid w:val="4C150E22"/>
    <w:rsid w:val="4C4B0500"/>
    <w:rsid w:val="4C6A38FC"/>
    <w:rsid w:val="4CE74BC3"/>
    <w:rsid w:val="4CF5000E"/>
    <w:rsid w:val="4D571AF0"/>
    <w:rsid w:val="4D9B4E16"/>
    <w:rsid w:val="4DB17672"/>
    <w:rsid w:val="4E1D6836"/>
    <w:rsid w:val="50AC44C4"/>
    <w:rsid w:val="50DB45B4"/>
    <w:rsid w:val="50E2548E"/>
    <w:rsid w:val="50EA6DB9"/>
    <w:rsid w:val="51980238"/>
    <w:rsid w:val="51CA7471"/>
    <w:rsid w:val="51E87298"/>
    <w:rsid w:val="521C2FA3"/>
    <w:rsid w:val="522529B2"/>
    <w:rsid w:val="52DA67C2"/>
    <w:rsid w:val="52E6551B"/>
    <w:rsid w:val="53523659"/>
    <w:rsid w:val="53904B5B"/>
    <w:rsid w:val="53910AF4"/>
    <w:rsid w:val="53D704FB"/>
    <w:rsid w:val="53EF1781"/>
    <w:rsid w:val="543912C6"/>
    <w:rsid w:val="546B4658"/>
    <w:rsid w:val="54AE1F11"/>
    <w:rsid w:val="555952B3"/>
    <w:rsid w:val="556B5A36"/>
    <w:rsid w:val="55954A24"/>
    <w:rsid w:val="55AF40BB"/>
    <w:rsid w:val="56442904"/>
    <w:rsid w:val="56A03F30"/>
    <w:rsid w:val="56B83C6F"/>
    <w:rsid w:val="56F72F7C"/>
    <w:rsid w:val="57141D7F"/>
    <w:rsid w:val="58521CEC"/>
    <w:rsid w:val="586243BF"/>
    <w:rsid w:val="58FD3402"/>
    <w:rsid w:val="5A3C52CD"/>
    <w:rsid w:val="5A4F4D45"/>
    <w:rsid w:val="5A8553A7"/>
    <w:rsid w:val="5AAF7799"/>
    <w:rsid w:val="5B5C1753"/>
    <w:rsid w:val="5E134100"/>
    <w:rsid w:val="5E5F5CB0"/>
    <w:rsid w:val="5E8033C4"/>
    <w:rsid w:val="5F7A1C50"/>
    <w:rsid w:val="601C4AB5"/>
    <w:rsid w:val="60BE691E"/>
    <w:rsid w:val="61444403"/>
    <w:rsid w:val="619B7044"/>
    <w:rsid w:val="61A53F3C"/>
    <w:rsid w:val="62265BDF"/>
    <w:rsid w:val="627A1464"/>
    <w:rsid w:val="628369A8"/>
    <w:rsid w:val="62E1699A"/>
    <w:rsid w:val="63086891"/>
    <w:rsid w:val="64147F0D"/>
    <w:rsid w:val="64D66362"/>
    <w:rsid w:val="65860217"/>
    <w:rsid w:val="663C1249"/>
    <w:rsid w:val="667E0AA1"/>
    <w:rsid w:val="67B1200C"/>
    <w:rsid w:val="67BB01AB"/>
    <w:rsid w:val="68FB17C3"/>
    <w:rsid w:val="695F12F9"/>
    <w:rsid w:val="695F172B"/>
    <w:rsid w:val="69636C3A"/>
    <w:rsid w:val="69CF7B2C"/>
    <w:rsid w:val="69EC187E"/>
    <w:rsid w:val="6A0B0004"/>
    <w:rsid w:val="6B5742DF"/>
    <w:rsid w:val="6BA1010E"/>
    <w:rsid w:val="6CE47E41"/>
    <w:rsid w:val="6CED5810"/>
    <w:rsid w:val="6CF92413"/>
    <w:rsid w:val="6D0B2220"/>
    <w:rsid w:val="6DFE5E04"/>
    <w:rsid w:val="6E87203D"/>
    <w:rsid w:val="6F114EAB"/>
    <w:rsid w:val="6F9278BB"/>
    <w:rsid w:val="70B71415"/>
    <w:rsid w:val="70CD2F9C"/>
    <w:rsid w:val="71572F19"/>
    <w:rsid w:val="716D6F69"/>
    <w:rsid w:val="719B7427"/>
    <w:rsid w:val="71E669BE"/>
    <w:rsid w:val="72322B7A"/>
    <w:rsid w:val="724A6793"/>
    <w:rsid w:val="72697C3E"/>
    <w:rsid w:val="72974DFF"/>
    <w:rsid w:val="72EC49F5"/>
    <w:rsid w:val="73C37726"/>
    <w:rsid w:val="741F26FA"/>
    <w:rsid w:val="74470DF8"/>
    <w:rsid w:val="7457602A"/>
    <w:rsid w:val="747E0D7C"/>
    <w:rsid w:val="74CB656D"/>
    <w:rsid w:val="75A46F7D"/>
    <w:rsid w:val="75FD1676"/>
    <w:rsid w:val="768F4242"/>
    <w:rsid w:val="776903F9"/>
    <w:rsid w:val="777A1B97"/>
    <w:rsid w:val="784E7774"/>
    <w:rsid w:val="799536BA"/>
    <w:rsid w:val="7AE30DDA"/>
    <w:rsid w:val="7B170752"/>
    <w:rsid w:val="7B4C7926"/>
    <w:rsid w:val="7B8F681B"/>
    <w:rsid w:val="7BBB5BCE"/>
    <w:rsid w:val="7BE200BA"/>
    <w:rsid w:val="7BEB73BB"/>
    <w:rsid w:val="7CE25E38"/>
    <w:rsid w:val="7CEF7F94"/>
    <w:rsid w:val="7D481A59"/>
    <w:rsid w:val="7D747F0D"/>
    <w:rsid w:val="7DD465A6"/>
    <w:rsid w:val="7DD96C0E"/>
    <w:rsid w:val="7E474F7B"/>
    <w:rsid w:val="7E8F7AC1"/>
    <w:rsid w:val="7FD2649F"/>
    <w:rsid w:val="7FF6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locked/>
    <w:uiPriority w:val="0"/>
    <w:pPr>
      <w:keepNext/>
      <w:keepLines/>
      <w:outlineLvl w:val="0"/>
    </w:pPr>
    <w:rPr>
      <w:rFonts w:eastAsia="黑体"/>
      <w:bCs/>
      <w:kern w:val="44"/>
      <w:szCs w:val="44"/>
    </w:rPr>
  </w:style>
  <w:style w:type="character" w:default="1" w:styleId="6">
    <w:name w:val="Default Paragraph Font"/>
    <w:semiHidden/>
    <w:qFormat/>
    <w:uiPriority w:val="99"/>
  </w:style>
  <w:style w:type="table" w:default="1" w:styleId="8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1"/>
    <w:qFormat/>
    <w:uiPriority w:val="0"/>
    <w:pPr>
      <w:snapToGrid w:val="0"/>
      <w:jc w:val="left"/>
    </w:pPr>
    <w:rPr>
      <w:sz w:val="18"/>
      <w:szCs w:val="18"/>
    </w:r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page number"/>
    <w:basedOn w:val="6"/>
    <w:qFormat/>
    <w:uiPriority w:val="99"/>
    <w:rPr>
      <w:rFonts w:cs="Times New Roman"/>
    </w:rPr>
  </w:style>
  <w:style w:type="table" w:styleId="9">
    <w:name w:val="Table Grid"/>
    <w:basedOn w:val="8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Footer Char"/>
    <w:basedOn w:val="6"/>
    <w:link w:val="4"/>
    <w:semiHidden/>
    <w:qFormat/>
    <w:uiPriority w:val="99"/>
    <w:rPr>
      <w:sz w:val="18"/>
      <w:szCs w:val="18"/>
    </w:rPr>
  </w:style>
  <w:style w:type="character" w:customStyle="1" w:styleId="11">
    <w:name w:val="Header Char"/>
    <w:basedOn w:val="6"/>
    <w:link w:val="5"/>
    <w:semiHidden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13</Pages>
  <Words>4354</Words>
  <Characters>4599</Characters>
  <Lines>0</Lines>
  <Paragraphs>0</Paragraphs>
  <TotalTime>1</TotalTime>
  <ScaleCrop>false</ScaleCrop>
  <LinksUpToDate>false</LinksUpToDate>
  <CharactersWithSpaces>4995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2020-06-04T01:07:00Z</dcterms:created>
  <dc:creator>Administrator</dc:creator>
  <cp:lastModifiedBy>Administrator</cp:lastModifiedBy>
  <cp:lastPrinted>2023-07-17T01:54:00Z</cp:lastPrinted>
  <dcterms:modified xsi:type="dcterms:W3CDTF">2023-07-18T07:49:24Z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KSOSaveFontToCloudKey">
    <vt:lpwstr>386772509_embed</vt:lpwstr>
  </property>
  <property fmtid="{D5CDD505-2E9C-101B-9397-08002B2CF9AE}" pid="4" name="ICV">
    <vt:lpwstr>BCEA63DAF624456AADE85B6B06C14A45_13</vt:lpwstr>
  </property>
</Properties>
</file>