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5"/>
        <w:tblW w:w="4996" w:type="pct"/>
        <w:jc w:val="center"/>
        <w:tblLayout w:type="autofit"/>
        <w:tblCellMar>
          <w:top w:w="0" w:type="dxa"/>
          <w:left w:w="108" w:type="dxa"/>
          <w:bottom w:w="0" w:type="dxa"/>
          <w:right w:w="108" w:type="dxa"/>
        </w:tblCellMar>
      </w:tblPr>
      <w:tblGrid>
        <w:gridCol w:w="3217"/>
        <w:gridCol w:w="1955"/>
        <w:gridCol w:w="2436"/>
        <w:gridCol w:w="1673"/>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14</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92.85%</w:t>
            </w:r>
          </w:p>
        </w:tc>
      </w:tr>
      <w:tr>
        <w:tblPrEx>
          <w:tblCellMar>
            <w:top w:w="0" w:type="dxa"/>
            <w:left w:w="108" w:type="dxa"/>
            <w:bottom w:w="0" w:type="dxa"/>
            <w:right w:w="108" w:type="dxa"/>
          </w:tblCellMar>
        </w:tblPrEx>
        <w:trPr>
          <w:trHeight w:val="524"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521.52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113</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209.93</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0.6</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0.59</w:t>
            </w:r>
          </w:p>
        </w:tc>
      </w:tr>
      <w:tr>
        <w:tblPrEx>
          <w:tblCellMar>
            <w:top w:w="0" w:type="dxa"/>
            <w:left w:w="108" w:type="dxa"/>
            <w:bottom w:w="0" w:type="dxa"/>
            <w:right w:w="108" w:type="dxa"/>
          </w:tblCellMar>
        </w:tblPrEx>
        <w:trPr>
          <w:trHeight w:val="424"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366"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323"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308"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351"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0.6</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0.59</w:t>
            </w:r>
          </w:p>
        </w:tc>
      </w:tr>
      <w:tr>
        <w:tblPrEx>
          <w:tblCellMar>
            <w:top w:w="0" w:type="dxa"/>
            <w:left w:w="108" w:type="dxa"/>
            <w:bottom w:w="0" w:type="dxa"/>
            <w:right w:w="108" w:type="dxa"/>
          </w:tblCellMar>
        </w:tblPrEx>
        <w:trPr>
          <w:trHeight w:val="525"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r>
      <w:tr>
        <w:tblPrEx>
          <w:tblCellMar>
            <w:top w:w="0" w:type="dxa"/>
            <w:left w:w="108" w:type="dxa"/>
            <w:bottom w:w="0" w:type="dxa"/>
            <w:right w:w="108" w:type="dxa"/>
          </w:tblCellMar>
        </w:tblPrEx>
        <w:trPr>
          <w:trHeight w:val="467"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eastAsia="zh-CN"/>
              </w:rPr>
            </w:pPr>
            <w:r>
              <w:rPr>
                <w:rFonts w:hint="eastAsia" w:ascii="新宋体" w:hAnsi="新宋体" w:eastAsia="新宋体" w:cs="新宋体"/>
                <w:sz w:val="21"/>
                <w:szCs w:val="21"/>
                <w:lang w:eastAsia="zh-CN"/>
              </w:rPr>
              <w:t>县级</w:t>
            </w:r>
            <w:r>
              <w:rPr>
                <w:rFonts w:hint="eastAsia" w:ascii="新宋体" w:hAnsi="新宋体" w:eastAsia="新宋体" w:cs="新宋体"/>
                <w:sz w:val="21"/>
                <w:szCs w:val="21"/>
              </w:rPr>
              <w:t>专项资金</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419.3</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419.30</w:t>
            </w:r>
          </w:p>
        </w:tc>
      </w:tr>
      <w:tr>
        <w:tblPrEx>
          <w:tblCellMar>
            <w:top w:w="0" w:type="dxa"/>
            <w:left w:w="108" w:type="dxa"/>
            <w:bottom w:w="0" w:type="dxa"/>
            <w:right w:w="108" w:type="dxa"/>
          </w:tblCellMar>
        </w:tblPrEx>
        <w:trPr>
          <w:trHeight w:val="467"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kern w:val="2"/>
                <w:sz w:val="21"/>
                <w:szCs w:val="21"/>
                <w:lang w:val="en-US" w:eastAsia="zh-CN" w:bidi="ar-SA"/>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rPr>
            </w:pPr>
          </w:p>
        </w:tc>
      </w:tr>
      <w:tr>
        <w:tblPrEx>
          <w:tblCellMar>
            <w:top w:w="0" w:type="dxa"/>
            <w:left w:w="108" w:type="dxa"/>
            <w:bottom w:w="0" w:type="dxa"/>
            <w:right w:w="108" w:type="dxa"/>
          </w:tblCellMar>
        </w:tblPrEx>
        <w:trPr>
          <w:trHeight w:val="352"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kern w:val="2"/>
                <w:sz w:val="21"/>
                <w:szCs w:val="21"/>
                <w:lang w:val="en-US" w:eastAsia="zh-CN" w:bidi="ar-SA"/>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366"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475"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kern w:val="2"/>
                <w:sz w:val="21"/>
                <w:szCs w:val="21"/>
                <w:lang w:val="en-US" w:eastAsia="zh-CN" w:bidi="ar-SA"/>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1312" w:type="pct"/>
            <w:tcBorders>
              <w:top w:val="single" w:color="auto" w:sz="4" w:space="0"/>
              <w:left w:val="nil"/>
              <w:bottom w:val="single" w:color="auto" w:sz="4" w:space="0"/>
              <w:right w:val="single" w:color="000000" w:sz="4" w:space="0"/>
            </w:tcBorders>
            <w:noWrap w:val="0"/>
            <w:vAlign w:val="top"/>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371" w:hRule="atLeast"/>
          <w:jc w:val="center"/>
        </w:trPr>
        <w:tc>
          <w:tcPr>
            <w:tcW w:w="17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kern w:val="2"/>
                <w:sz w:val="21"/>
                <w:szCs w:val="21"/>
                <w:lang w:val="en-US" w:eastAsia="zh-CN" w:bidi="ar-SA"/>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1312" w:type="pct"/>
            <w:tcBorders>
              <w:top w:val="single" w:color="auto" w:sz="4" w:space="0"/>
              <w:left w:val="nil"/>
              <w:bottom w:val="single" w:color="auto" w:sz="4" w:space="0"/>
              <w:right w:val="single" w:color="000000" w:sz="4" w:space="0"/>
            </w:tcBorders>
            <w:noWrap w:val="0"/>
            <w:vAlign w:val="top"/>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384" w:hRule="atLeast"/>
          <w:jc w:val="center"/>
        </w:trPr>
        <w:tc>
          <w:tcPr>
            <w:tcW w:w="17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kern w:val="2"/>
                <w:sz w:val="21"/>
                <w:szCs w:val="21"/>
                <w:lang w:val="en-US" w:eastAsia="zh-CN" w:bidi="ar-SA"/>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1312" w:type="pct"/>
            <w:tcBorders>
              <w:top w:val="single" w:color="auto" w:sz="4" w:space="0"/>
              <w:left w:val="nil"/>
              <w:bottom w:val="single" w:color="auto" w:sz="4" w:space="0"/>
              <w:right w:val="single" w:color="000000" w:sz="4" w:space="0"/>
            </w:tcBorders>
            <w:noWrap w:val="0"/>
            <w:vAlign w:val="top"/>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p>
        </w:tc>
        <w:tc>
          <w:tcPr>
            <w:tcW w:w="1673" w:type="dxa"/>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385" w:hRule="atLeast"/>
          <w:jc w:val="center"/>
        </w:trPr>
        <w:tc>
          <w:tcPr>
            <w:tcW w:w="17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kern w:val="2"/>
                <w:sz w:val="21"/>
                <w:szCs w:val="21"/>
                <w:lang w:val="en-US" w:eastAsia="zh-CN" w:bidi="ar-SA"/>
              </w:rPr>
            </w:pPr>
          </w:p>
        </w:tc>
        <w:tc>
          <w:tcPr>
            <w:tcW w:w="10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1312"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p>
        </w:tc>
        <w:tc>
          <w:tcPr>
            <w:tcW w:w="16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kern w:val="2"/>
                <w:sz w:val="21"/>
                <w:szCs w:val="21"/>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p>
        </w:tc>
        <w:tc>
          <w:tcPr>
            <w:tcW w:w="167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0"/>
          <w:szCs w:val="21"/>
        </w:rPr>
        <w:t>填表人</w:t>
      </w:r>
      <w:r>
        <w:rPr>
          <w:rFonts w:hint="eastAsia" w:eastAsia="仿宋_GB2312" w:cs="Times New Roman"/>
          <w:sz w:val="20"/>
          <w:szCs w:val="21"/>
          <w:lang w:eastAsia="zh-CN"/>
        </w:rPr>
        <w:t>：付欣</w:t>
      </w:r>
      <w:r>
        <w:rPr>
          <w:rFonts w:hint="default" w:ascii="Times New Roman" w:hAnsi="Times New Roman" w:eastAsia="仿宋_GB2312" w:cs="Times New Roman"/>
          <w:sz w:val="20"/>
          <w:szCs w:val="21"/>
        </w:rPr>
        <w:t xml:space="preserve">  填报日期：</w:t>
      </w:r>
      <w:r>
        <w:rPr>
          <w:rFonts w:hint="eastAsia" w:eastAsia="仿宋_GB2312" w:cs="Times New Roman"/>
          <w:sz w:val="20"/>
          <w:szCs w:val="21"/>
          <w:lang w:val="en-US" w:eastAsia="zh-CN"/>
        </w:rPr>
        <w:t>2023年7月12日</w:t>
      </w:r>
      <w:r>
        <w:rPr>
          <w:rFonts w:hint="default" w:ascii="Times New Roman" w:hAnsi="Times New Roman" w:eastAsia="仿宋_GB2312" w:cs="Times New Roman"/>
          <w:sz w:val="20"/>
          <w:szCs w:val="21"/>
        </w:rPr>
        <w:t xml:space="preserve">  联系电话</w:t>
      </w:r>
      <w:r>
        <w:rPr>
          <w:rFonts w:hint="eastAsia" w:eastAsia="仿宋_GB2312" w:cs="Times New Roman"/>
          <w:sz w:val="20"/>
          <w:szCs w:val="21"/>
          <w:lang w:eastAsia="zh-CN"/>
        </w:rPr>
        <w:t>：</w:t>
      </w:r>
      <w:r>
        <w:rPr>
          <w:rFonts w:hint="eastAsia" w:eastAsia="仿宋_GB2312" w:cs="Times New Roman"/>
          <w:sz w:val="20"/>
          <w:szCs w:val="21"/>
          <w:lang w:val="en-US" w:eastAsia="zh-CN"/>
        </w:rPr>
        <w:t>18073035580</w:t>
      </w:r>
      <w:r>
        <w:rPr>
          <w:rFonts w:hint="default" w:ascii="Times New Roman" w:hAnsi="Times New Roman" w:eastAsia="仿宋_GB2312" w:cs="Times New Roman"/>
          <w:sz w:val="20"/>
          <w:szCs w:val="21"/>
        </w:rPr>
        <w:t xml:space="preserve"> </w:t>
      </w:r>
      <w:r>
        <w:rPr>
          <w:rFonts w:hint="eastAsia" w:eastAsia="仿宋_GB2312" w:cs="Times New Roman"/>
          <w:sz w:val="20"/>
          <w:szCs w:val="21"/>
          <w:lang w:val="en-US" w:eastAsia="zh-CN"/>
        </w:rPr>
        <w:t xml:space="preserve">  </w:t>
      </w:r>
      <w:r>
        <w:rPr>
          <w:rFonts w:hint="default" w:ascii="Times New Roman" w:hAnsi="Times New Roman" w:eastAsia="仿宋_GB2312" w:cs="Times New Roman"/>
          <w:sz w:val="20"/>
          <w:szCs w:val="21"/>
        </w:rPr>
        <w:t>单位负责人签字：</w:t>
      </w:r>
      <w:r>
        <w:rPr>
          <w:rFonts w:hint="eastAsia" w:eastAsia="仿宋_GB2312" w:cs="Times New Roman"/>
          <w:sz w:val="20"/>
          <w:szCs w:val="21"/>
          <w:lang w:eastAsia="zh-CN"/>
        </w:rPr>
        <w:t>刘晓燕</w:t>
      </w:r>
      <w:r>
        <w:rPr>
          <w:rFonts w:hint="default" w:ascii="Times New Roman" w:hAnsi="Times New Roman" w:eastAsia="仿宋_GB2312" w:cs="Times New Roman"/>
          <w:sz w:val="20"/>
          <w:szCs w:val="21"/>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5"/>
        <w:tblW w:w="4996" w:type="pct"/>
        <w:tblInd w:w="0" w:type="dxa"/>
        <w:tblLayout w:type="fixed"/>
        <w:tblCellMar>
          <w:top w:w="0" w:type="dxa"/>
          <w:left w:w="108" w:type="dxa"/>
          <w:bottom w:w="0" w:type="dxa"/>
          <w:right w:w="108" w:type="dxa"/>
        </w:tblCellMar>
      </w:tblPr>
      <w:tblGrid>
        <w:gridCol w:w="1089"/>
        <w:gridCol w:w="870"/>
        <w:gridCol w:w="873"/>
        <w:gridCol w:w="1485"/>
        <w:gridCol w:w="865"/>
        <w:gridCol w:w="911"/>
        <w:gridCol w:w="587"/>
        <w:gridCol w:w="1014"/>
        <w:gridCol w:w="1587"/>
      </w:tblGrid>
      <w:tr>
        <w:tblPrEx>
          <w:tblCellMar>
            <w:top w:w="0" w:type="dxa"/>
            <w:left w:w="108" w:type="dxa"/>
            <w:bottom w:w="0" w:type="dxa"/>
            <w:right w:w="108" w:type="dxa"/>
          </w:tblCellMar>
        </w:tblPrEx>
        <w:trPr>
          <w:trHeight w:val="1003" w:hRule="atLeast"/>
        </w:trPr>
        <w:tc>
          <w:tcPr>
            <w:tcW w:w="58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413"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华容县老干部活动中心</w:t>
            </w:r>
          </w:p>
        </w:tc>
      </w:tr>
      <w:tr>
        <w:tblPrEx>
          <w:tblCellMar>
            <w:top w:w="0" w:type="dxa"/>
            <w:left w:w="108" w:type="dxa"/>
            <w:bottom w:w="0" w:type="dxa"/>
            <w:right w:w="108" w:type="dxa"/>
          </w:tblCellMar>
        </w:tblPrEx>
        <w:trPr>
          <w:trHeight w:val="863" w:hRule="atLeast"/>
        </w:trPr>
        <w:tc>
          <w:tcPr>
            <w:tcW w:w="586"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939"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80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46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49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54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854"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462" w:hRule="atLeast"/>
        </w:trPr>
        <w:tc>
          <w:tcPr>
            <w:tcW w:w="586"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939"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80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113</w:t>
            </w:r>
          </w:p>
        </w:tc>
        <w:tc>
          <w:tcPr>
            <w:tcW w:w="46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629.23</w:t>
            </w:r>
          </w:p>
        </w:tc>
        <w:tc>
          <w:tcPr>
            <w:tcW w:w="49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629.23</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54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c>
          <w:tcPr>
            <w:tcW w:w="854"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CellMar>
            <w:top w:w="0" w:type="dxa"/>
            <w:left w:w="108" w:type="dxa"/>
            <w:bottom w:w="0" w:type="dxa"/>
            <w:right w:w="108" w:type="dxa"/>
          </w:tblCellMar>
        </w:tblPrEx>
        <w:trPr>
          <w:trHeight w:val="462" w:hRule="atLeast"/>
        </w:trPr>
        <w:tc>
          <w:tcPr>
            <w:tcW w:w="586"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20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按收入性质分：</w:t>
            </w:r>
          </w:p>
        </w:tc>
        <w:tc>
          <w:tcPr>
            <w:tcW w:w="220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按支出性质分：</w:t>
            </w:r>
          </w:p>
        </w:tc>
      </w:tr>
      <w:tr>
        <w:tblPrEx>
          <w:tblCellMar>
            <w:top w:w="0" w:type="dxa"/>
            <w:left w:w="108" w:type="dxa"/>
            <w:bottom w:w="0" w:type="dxa"/>
            <w:right w:w="108" w:type="dxa"/>
          </w:tblCellMar>
        </w:tblPrEx>
        <w:trPr>
          <w:trHeight w:val="462" w:hRule="atLeast"/>
        </w:trPr>
        <w:tc>
          <w:tcPr>
            <w:tcW w:w="586"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20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626.23</w:t>
            </w:r>
          </w:p>
        </w:tc>
        <w:tc>
          <w:tcPr>
            <w:tcW w:w="220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其中：基本支出：</w:t>
            </w:r>
            <w:r>
              <w:rPr>
                <w:rFonts w:hint="eastAsia" w:ascii="新宋体" w:hAnsi="新宋体" w:eastAsia="新宋体" w:cs="新宋体"/>
                <w:color w:val="000000"/>
                <w:sz w:val="21"/>
                <w:szCs w:val="21"/>
                <w:lang w:val="en-US" w:eastAsia="zh-CN"/>
              </w:rPr>
              <w:t>209.93</w:t>
            </w:r>
          </w:p>
        </w:tc>
      </w:tr>
      <w:tr>
        <w:tblPrEx>
          <w:tblCellMar>
            <w:top w:w="0" w:type="dxa"/>
            <w:left w:w="108" w:type="dxa"/>
            <w:bottom w:w="0" w:type="dxa"/>
            <w:right w:w="108" w:type="dxa"/>
          </w:tblCellMar>
        </w:tblPrEx>
        <w:trPr>
          <w:trHeight w:val="462" w:hRule="atLeast"/>
        </w:trPr>
        <w:tc>
          <w:tcPr>
            <w:tcW w:w="586"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20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政府性基金拨款：</w:t>
            </w:r>
            <w:r>
              <w:rPr>
                <w:rFonts w:hint="eastAsia" w:ascii="新宋体" w:hAnsi="新宋体" w:eastAsia="新宋体" w:cs="新宋体"/>
                <w:i w:val="0"/>
                <w:iCs w:val="0"/>
                <w:color w:val="000000"/>
                <w:sz w:val="21"/>
                <w:szCs w:val="21"/>
                <w:lang w:val="en-US" w:eastAsia="zh-CN"/>
              </w:rPr>
              <w:t>3</w:t>
            </w:r>
          </w:p>
        </w:tc>
        <w:tc>
          <w:tcPr>
            <w:tcW w:w="220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项目支出：</w:t>
            </w:r>
            <w:r>
              <w:rPr>
                <w:rFonts w:hint="eastAsia" w:ascii="新宋体" w:hAnsi="新宋体" w:eastAsia="新宋体" w:cs="新宋体"/>
                <w:color w:val="000000"/>
                <w:sz w:val="21"/>
                <w:szCs w:val="21"/>
                <w:lang w:val="en-US" w:eastAsia="zh-CN"/>
              </w:rPr>
              <w:t>419.3</w:t>
            </w:r>
          </w:p>
        </w:tc>
      </w:tr>
      <w:tr>
        <w:tblPrEx>
          <w:tblCellMar>
            <w:top w:w="0" w:type="dxa"/>
            <w:left w:w="108" w:type="dxa"/>
            <w:bottom w:w="0" w:type="dxa"/>
            <w:right w:w="108" w:type="dxa"/>
          </w:tblCellMar>
        </w:tblPrEx>
        <w:trPr>
          <w:trHeight w:val="462" w:hRule="atLeast"/>
        </w:trPr>
        <w:tc>
          <w:tcPr>
            <w:tcW w:w="586"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20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纳入专户管理的非税收入拨款：</w:t>
            </w:r>
          </w:p>
        </w:tc>
        <w:tc>
          <w:tcPr>
            <w:tcW w:w="220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trPr>
        <w:tc>
          <w:tcPr>
            <w:tcW w:w="586"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205"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其他资金：</w:t>
            </w:r>
          </w:p>
        </w:tc>
        <w:tc>
          <w:tcPr>
            <w:tcW w:w="220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trPr>
        <w:tc>
          <w:tcPr>
            <w:tcW w:w="586"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205"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2208"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462" w:hRule="atLeast"/>
        </w:trPr>
        <w:tc>
          <w:tcPr>
            <w:tcW w:w="586"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205"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629.23</w:t>
            </w:r>
          </w:p>
        </w:tc>
        <w:tc>
          <w:tcPr>
            <w:tcW w:w="2208"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629.23</w:t>
            </w:r>
          </w:p>
        </w:tc>
      </w:tr>
      <w:tr>
        <w:tblPrEx>
          <w:tblCellMar>
            <w:top w:w="0" w:type="dxa"/>
            <w:left w:w="108" w:type="dxa"/>
            <w:bottom w:w="0" w:type="dxa"/>
            <w:right w:w="108" w:type="dxa"/>
          </w:tblCellMar>
        </w:tblPrEx>
        <w:trPr>
          <w:trHeight w:val="850" w:hRule="atLeast"/>
        </w:trPr>
        <w:tc>
          <w:tcPr>
            <w:tcW w:w="58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6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4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470"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00"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中心党支部理论学习</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eastAsia="zh-CN"/>
              </w:rPr>
              <w:t>≥</w:t>
            </w:r>
            <w:r>
              <w:rPr>
                <w:rFonts w:hint="eastAsia" w:ascii="新宋体" w:hAnsi="新宋体" w:eastAsia="新宋体" w:cs="新宋体"/>
                <w:color w:val="000000"/>
                <w:sz w:val="21"/>
                <w:szCs w:val="21"/>
                <w:lang w:val="en-US" w:eastAsia="zh-CN"/>
              </w:rPr>
              <w:t>12次</w:t>
            </w:r>
          </w:p>
        </w:tc>
        <w:tc>
          <w:tcPr>
            <w:tcW w:w="4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12次</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2</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00"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开展为老干部办实事</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eastAsia="zh-CN"/>
              </w:rPr>
              <w:t>≥</w:t>
            </w:r>
            <w:r>
              <w:rPr>
                <w:rFonts w:hint="eastAsia" w:ascii="新宋体" w:hAnsi="新宋体" w:eastAsia="新宋体" w:cs="新宋体"/>
                <w:color w:val="000000"/>
                <w:sz w:val="21"/>
                <w:szCs w:val="21"/>
                <w:lang w:val="en-US" w:eastAsia="zh-CN"/>
              </w:rPr>
              <w:t>13件</w:t>
            </w:r>
          </w:p>
        </w:tc>
        <w:tc>
          <w:tcPr>
            <w:tcW w:w="4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14件</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3</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3</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00"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组织老干部参与省、市、县级活动、报告会、竞赛等</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eastAsia="zh-CN"/>
              </w:rPr>
              <w:t>≥</w:t>
            </w:r>
            <w:r>
              <w:rPr>
                <w:rFonts w:hint="eastAsia" w:ascii="新宋体" w:hAnsi="新宋体" w:eastAsia="新宋体" w:cs="新宋体"/>
                <w:color w:val="000000"/>
                <w:sz w:val="21"/>
                <w:szCs w:val="21"/>
                <w:lang w:val="en-US" w:eastAsia="zh-CN"/>
              </w:rPr>
              <w:t>15次</w:t>
            </w:r>
          </w:p>
        </w:tc>
        <w:tc>
          <w:tcPr>
            <w:tcW w:w="4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15次</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00"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参加重阳、新春报告会老干部人数</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eastAsia="zh-CN"/>
              </w:rPr>
              <w:t>≥</w:t>
            </w:r>
            <w:r>
              <w:rPr>
                <w:rFonts w:hint="eastAsia" w:ascii="新宋体" w:hAnsi="新宋体" w:eastAsia="新宋体" w:cs="新宋体"/>
                <w:color w:val="000000"/>
                <w:sz w:val="21"/>
                <w:szCs w:val="21"/>
                <w:lang w:val="en-US" w:eastAsia="zh-CN"/>
              </w:rPr>
              <w:t>120人</w:t>
            </w:r>
          </w:p>
        </w:tc>
        <w:tc>
          <w:tcPr>
            <w:tcW w:w="4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124人</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00"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老年大学招收学员人次</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eastAsia="zh-CN"/>
              </w:rPr>
              <w:t>≥</w:t>
            </w:r>
            <w:r>
              <w:rPr>
                <w:rFonts w:hint="eastAsia" w:ascii="新宋体" w:hAnsi="新宋体" w:eastAsia="新宋体" w:cs="新宋体"/>
                <w:color w:val="000000"/>
                <w:sz w:val="21"/>
                <w:szCs w:val="21"/>
                <w:lang w:val="en-US" w:eastAsia="zh-CN"/>
              </w:rPr>
              <w:t>1500人次</w:t>
            </w:r>
          </w:p>
        </w:tc>
        <w:tc>
          <w:tcPr>
            <w:tcW w:w="4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1800余人次</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维修维护验收合格率</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w:t>
            </w:r>
          </w:p>
        </w:tc>
        <w:tc>
          <w:tcPr>
            <w:tcW w:w="4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3</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3</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老干部参与省级活动获得荣誉</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eastAsia="zh-CN"/>
              </w:rPr>
              <w:t>≥</w:t>
            </w:r>
            <w:r>
              <w:rPr>
                <w:rFonts w:hint="eastAsia" w:ascii="新宋体" w:hAnsi="新宋体" w:eastAsia="新宋体" w:cs="新宋体"/>
                <w:color w:val="000000"/>
                <w:sz w:val="21"/>
                <w:szCs w:val="21"/>
                <w:lang w:val="en-US" w:eastAsia="zh-CN"/>
              </w:rPr>
              <w:t>2项</w:t>
            </w:r>
          </w:p>
        </w:tc>
        <w:tc>
          <w:tcPr>
            <w:tcW w:w="4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val="en-US" w:eastAsia="zh-CN"/>
              </w:rPr>
              <w:t>2</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指导创建省市示范支部</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eastAsia="zh-CN"/>
              </w:rPr>
              <w:t>≥</w:t>
            </w:r>
            <w:r>
              <w:rPr>
                <w:rFonts w:hint="eastAsia" w:ascii="新宋体" w:hAnsi="新宋体" w:eastAsia="新宋体" w:cs="新宋体"/>
                <w:color w:val="000000"/>
                <w:sz w:val="21"/>
                <w:szCs w:val="21"/>
                <w:lang w:val="en-US" w:eastAsia="zh-CN"/>
              </w:rPr>
              <w:t>3个</w:t>
            </w:r>
          </w:p>
        </w:tc>
        <w:tc>
          <w:tcPr>
            <w:tcW w:w="4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3</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5</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eastAsia="zh-CN"/>
              </w:rPr>
              <w:t>抚恤金发放时效</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eastAsia="zh-CN"/>
              </w:rPr>
              <w:t>到位后</w:t>
            </w:r>
            <w:r>
              <w:rPr>
                <w:rFonts w:hint="eastAsia" w:ascii="新宋体" w:hAnsi="新宋体" w:eastAsia="新宋体" w:cs="新宋体"/>
                <w:color w:val="000000"/>
                <w:sz w:val="21"/>
                <w:szCs w:val="21"/>
                <w:lang w:val="en-US" w:eastAsia="zh-CN"/>
              </w:rPr>
              <w:t>15日内</w:t>
            </w:r>
          </w:p>
        </w:tc>
        <w:tc>
          <w:tcPr>
            <w:tcW w:w="4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eastAsia="zh-CN"/>
              </w:rPr>
              <w:t>到位后</w:t>
            </w:r>
            <w:r>
              <w:rPr>
                <w:rFonts w:hint="eastAsia" w:ascii="新宋体" w:hAnsi="新宋体" w:eastAsia="新宋体" w:cs="新宋体"/>
                <w:color w:val="000000"/>
                <w:sz w:val="21"/>
                <w:szCs w:val="21"/>
                <w:lang w:val="en-US" w:eastAsia="zh-CN"/>
              </w:rPr>
              <w:t>15日内</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维修维护资金结算时效</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按合同约定付款</w:t>
            </w:r>
          </w:p>
        </w:tc>
        <w:tc>
          <w:tcPr>
            <w:tcW w:w="4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按合同约定付款</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维修维护成本</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eastAsia="zh-CN"/>
              </w:rPr>
              <w:t>≤</w:t>
            </w:r>
            <w:r>
              <w:rPr>
                <w:rFonts w:hint="eastAsia" w:ascii="新宋体" w:hAnsi="新宋体" w:eastAsia="新宋体" w:cs="新宋体"/>
                <w:color w:val="000000"/>
                <w:sz w:val="21"/>
                <w:szCs w:val="21"/>
                <w:lang w:val="en-US" w:eastAsia="zh-CN"/>
              </w:rPr>
              <w:t>18万</w:t>
            </w:r>
          </w:p>
        </w:tc>
        <w:tc>
          <w:tcPr>
            <w:tcW w:w="4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15.54万</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劳务费成本</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eastAsia="zh-CN"/>
              </w:rPr>
              <w:t>≤</w:t>
            </w:r>
            <w:r>
              <w:rPr>
                <w:rFonts w:hint="eastAsia" w:ascii="新宋体" w:hAnsi="新宋体" w:eastAsia="新宋体" w:cs="新宋体"/>
                <w:color w:val="000000"/>
                <w:sz w:val="21"/>
                <w:szCs w:val="21"/>
                <w:lang w:val="en-US" w:eastAsia="zh-CN"/>
              </w:rPr>
              <w:t>10万</w:t>
            </w:r>
          </w:p>
        </w:tc>
        <w:tc>
          <w:tcPr>
            <w:tcW w:w="4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val="en-US" w:eastAsia="zh-CN"/>
              </w:rPr>
              <w:t>8万</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850" w:hRule="atLeast"/>
        </w:trPr>
        <w:tc>
          <w:tcPr>
            <w:tcW w:w="586"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6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4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trPr>
        <w:tc>
          <w:tcPr>
            <w:tcW w:w="586"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47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8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优化老干部活动形式，发挥老干部余热</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持续优化</w:t>
            </w:r>
          </w:p>
        </w:tc>
        <w:tc>
          <w:tcPr>
            <w:tcW w:w="4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持续优化</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15</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14</w:t>
            </w:r>
          </w:p>
        </w:tc>
        <w:tc>
          <w:tcPr>
            <w:tcW w:w="85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缺乏创新性，创新活动形式</w:t>
            </w:r>
          </w:p>
        </w:tc>
      </w:tr>
      <w:tr>
        <w:tblPrEx>
          <w:tblCellMar>
            <w:top w:w="0" w:type="dxa"/>
            <w:left w:w="108" w:type="dxa"/>
            <w:bottom w:w="0" w:type="dxa"/>
            <w:right w:w="108" w:type="dxa"/>
          </w:tblCellMar>
        </w:tblPrEx>
        <w:trPr>
          <w:trHeight w:val="462" w:hRule="atLeast"/>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群团组织管理规范化，管理水平提高</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持续提高</w:t>
            </w:r>
          </w:p>
        </w:tc>
        <w:tc>
          <w:tcPr>
            <w:tcW w:w="49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持续提高</w:t>
            </w:r>
          </w:p>
        </w:tc>
        <w:tc>
          <w:tcPr>
            <w:tcW w:w="31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15</w:t>
            </w:r>
          </w:p>
        </w:tc>
        <w:tc>
          <w:tcPr>
            <w:tcW w:w="54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14</w:t>
            </w:r>
          </w:p>
        </w:tc>
        <w:tc>
          <w:tcPr>
            <w:tcW w:w="85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both"/>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群团组织高效运行有待进一步提高，总结经验，提高运行效率</w:t>
            </w:r>
          </w:p>
        </w:tc>
      </w:tr>
      <w:tr>
        <w:tblPrEx>
          <w:tblCellMar>
            <w:top w:w="0" w:type="dxa"/>
            <w:left w:w="108" w:type="dxa"/>
            <w:bottom w:w="0" w:type="dxa"/>
            <w:right w:w="108" w:type="dxa"/>
          </w:tblCellMar>
        </w:tblPrEx>
        <w:trPr>
          <w:trHeight w:val="462" w:hRule="atLeast"/>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47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8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重大事项民主测评满意度</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≥90%</w:t>
            </w:r>
          </w:p>
        </w:tc>
        <w:tc>
          <w:tcPr>
            <w:tcW w:w="49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5</w:t>
            </w:r>
          </w:p>
        </w:tc>
        <w:tc>
          <w:tcPr>
            <w:tcW w:w="54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5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op w:val="single" w:color="auto" w:sz="4" w:space="0"/>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0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老干部满意度</w:t>
            </w:r>
          </w:p>
        </w:tc>
        <w:tc>
          <w:tcPr>
            <w:tcW w:w="46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≥90%</w:t>
            </w:r>
          </w:p>
        </w:tc>
        <w:tc>
          <w:tcPr>
            <w:tcW w:w="49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95%</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5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89" w:hRule="atLeast"/>
        </w:trPr>
        <w:tc>
          <w:tcPr>
            <w:tcW w:w="3282"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54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98</w:t>
            </w:r>
          </w:p>
        </w:tc>
        <w:tc>
          <w:tcPr>
            <w:tcW w:w="85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4"/>
        <w:rPr>
          <w:rFonts w:hint="default"/>
          <w:lang w:val="en-US" w:eastAsia="zh-CN"/>
        </w:rPr>
      </w:pPr>
    </w:p>
    <w:p>
      <w:pPr>
        <w:rPr>
          <w:rFonts w:hint="eastAsia" w:ascii="黑体" w:hAnsi="黑体" w:eastAsia="黑体" w:cs="黑体"/>
          <w:sz w:val="32"/>
          <w:szCs w:val="32"/>
          <w:lang w:val="en-US" w:eastAsia="zh-CN"/>
        </w:rPr>
      </w:pPr>
      <w:r>
        <w:rPr>
          <w:rFonts w:hint="default" w:ascii="Times New Roman" w:hAnsi="Times New Roman" w:eastAsia="仿宋_GB2312" w:cs="Times New Roman"/>
          <w:sz w:val="20"/>
          <w:szCs w:val="20"/>
        </w:rPr>
        <w:t>填表人：</w:t>
      </w:r>
      <w:r>
        <w:rPr>
          <w:rFonts w:hint="eastAsia" w:eastAsia="仿宋_GB2312" w:cs="Times New Roman"/>
          <w:sz w:val="20"/>
          <w:szCs w:val="20"/>
          <w:lang w:eastAsia="zh-CN"/>
        </w:rPr>
        <w:t>付欣</w:t>
      </w:r>
      <w:r>
        <w:rPr>
          <w:rFonts w:hint="default" w:ascii="Times New Roman" w:hAnsi="Times New Roman" w:eastAsia="仿宋_GB2312" w:cs="Times New Roman"/>
          <w:sz w:val="20"/>
          <w:szCs w:val="20"/>
        </w:rPr>
        <w:t xml:space="preserve">   填报日期：</w:t>
      </w:r>
      <w:r>
        <w:rPr>
          <w:rFonts w:hint="eastAsia" w:eastAsia="仿宋_GB2312" w:cs="Times New Roman"/>
          <w:sz w:val="20"/>
          <w:szCs w:val="20"/>
          <w:lang w:val="en-US" w:eastAsia="zh-CN"/>
        </w:rPr>
        <w:t>2023年7月12日</w:t>
      </w:r>
      <w:r>
        <w:rPr>
          <w:rFonts w:hint="default" w:ascii="Times New Roman" w:hAnsi="Times New Roman" w:eastAsia="仿宋_GB2312" w:cs="Times New Roman"/>
          <w:sz w:val="20"/>
          <w:szCs w:val="20"/>
        </w:rPr>
        <w:t xml:space="preserve">  联系电话：</w:t>
      </w:r>
      <w:r>
        <w:rPr>
          <w:rFonts w:hint="eastAsia" w:eastAsia="仿宋_GB2312" w:cs="Times New Roman"/>
          <w:sz w:val="20"/>
          <w:szCs w:val="20"/>
          <w:lang w:val="en-US" w:eastAsia="zh-CN"/>
        </w:rPr>
        <w:t>18073035580</w:t>
      </w:r>
      <w:r>
        <w:rPr>
          <w:rFonts w:hint="default" w:ascii="Times New Roman" w:hAnsi="Times New Roman" w:eastAsia="仿宋_GB2312" w:cs="Times New Roman"/>
          <w:sz w:val="20"/>
          <w:szCs w:val="20"/>
        </w:rPr>
        <w:t xml:space="preserve">   单位负责人签字：</w:t>
      </w:r>
      <w:r>
        <w:rPr>
          <w:rFonts w:hint="eastAsia" w:eastAsia="仿宋_GB2312" w:cs="Times New Roman"/>
          <w:sz w:val="20"/>
          <w:szCs w:val="20"/>
          <w:lang w:eastAsia="zh-CN"/>
        </w:rPr>
        <w:t>刘晓燕</w:t>
      </w:r>
      <w:r>
        <w:rPr>
          <w:rFonts w:hint="default" w:ascii="Times New Roman" w:hAnsi="Times New Roman" w:eastAsia="仿宋_GB2312" w:cs="Times New Roman"/>
          <w:sz w:val="22"/>
          <w:szCs w:val="2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华容县老干部活动中心</w:t>
      </w:r>
      <w:r>
        <w:rPr>
          <w:rFonts w:hint="eastAsia" w:ascii="方正小标宋简体" w:hAnsi="方正小标宋简体" w:eastAsia="方正小标宋简体" w:cs="方正小标宋简体"/>
          <w:sz w:val="44"/>
          <w:szCs w:val="44"/>
        </w:rPr>
        <w:t>整体支出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年  月  日</w:t>
      </w:r>
    </w:p>
    <w:p>
      <w:pPr>
        <w:jc w:val="center"/>
        <w:rPr>
          <w:rFonts w:hint="default" w:ascii="Times New Roman" w:hAnsi="Times New Roman" w:eastAsia="仿宋_GB2312" w:cs="Times New Roman"/>
          <w:sz w:val="32"/>
          <w:szCs w:val="32"/>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华容县老干部活动中心</w:t>
      </w:r>
      <w:r>
        <w:rPr>
          <w:rFonts w:hint="eastAsia" w:ascii="方正小标宋简体" w:hAnsi="方正小标宋简体" w:eastAsia="方正小标宋简体" w:cs="方正小标宋简体"/>
          <w:sz w:val="44"/>
          <w:szCs w:val="44"/>
        </w:rPr>
        <w:t>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rPr>
        <w:t>绩效自评报告</w:t>
      </w:r>
    </w:p>
    <w:p>
      <w:pPr>
        <w:keepNext w:val="0"/>
        <w:keepLines w:val="0"/>
        <w:pageBreakBefore w:val="0"/>
        <w:numPr>
          <w:ilvl w:val="0"/>
          <w:numId w:val="1"/>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单位</w:t>
      </w:r>
      <w:r>
        <w:rPr>
          <w:rFonts w:hint="default" w:ascii="Times New Roman" w:hAnsi="Times New Roman" w:eastAsia="黑体" w:cs="Times New Roman"/>
          <w:sz w:val="32"/>
          <w:szCs w:val="32"/>
        </w:rPr>
        <w:t>基本情况</w:t>
      </w:r>
    </w:p>
    <w:p>
      <w:pPr>
        <w:pStyle w:val="4"/>
        <w:keepNext w:val="0"/>
        <w:keepLines w:val="0"/>
        <w:pageBreakBefore w:val="0"/>
        <w:widowControl w:val="0"/>
        <w:kinsoku/>
        <w:wordWrap/>
        <w:overflowPunct/>
        <w:topLinePunct w:val="0"/>
        <w:autoSpaceDE/>
        <w:autoSpaceDN/>
        <w:bidi w:val="0"/>
        <w:adjustRightInd/>
        <w:snapToGrid w:val="0"/>
        <w:spacing w:line="610" w:lineRule="exac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我中心为正科级全额拨款事业单位，现有人员编制14名，在职在编人员13人，其中正科级干部1人，副科级干部</w:t>
      </w:r>
      <w:r>
        <w:rPr>
          <w:rFonts w:hint="eastAsia" w:eastAsia="仿宋_GB2312" w:cs="Times New Roman"/>
          <w:color w:val="000000"/>
          <w:kern w:val="2"/>
          <w:sz w:val="32"/>
          <w:szCs w:val="32"/>
          <w:lang w:val="en-US" w:eastAsia="zh-CN" w:bidi="ar-SA"/>
        </w:rPr>
        <w:t>2</w:t>
      </w:r>
      <w:r>
        <w:rPr>
          <w:rFonts w:hint="eastAsia" w:ascii="Times New Roman" w:hAnsi="Times New Roman" w:eastAsia="仿宋_GB2312" w:cs="Times New Roman"/>
          <w:color w:val="000000"/>
          <w:kern w:val="2"/>
          <w:sz w:val="32"/>
          <w:szCs w:val="32"/>
          <w:lang w:val="en-US" w:eastAsia="zh-CN" w:bidi="ar-SA"/>
        </w:rPr>
        <w:t>人。单位主要职责是：</w:t>
      </w:r>
      <w:r>
        <w:rPr>
          <w:rFonts w:hint="default" w:ascii="Times New Roman" w:hAnsi="Times New Roman" w:eastAsia="仿宋_GB2312" w:cs="Times New Roman"/>
          <w:color w:val="000000"/>
          <w:kern w:val="2"/>
          <w:sz w:val="32"/>
          <w:szCs w:val="32"/>
          <w:lang w:val="en-US" w:eastAsia="zh-CN" w:bidi="ar-SA"/>
        </w:rPr>
        <w:t>做好离休干部和副处级以上退休干部的服务管理工作，督促落实离退休干部的政治和生活待遇</w:t>
      </w:r>
      <w:r>
        <w:rPr>
          <w:rFonts w:hint="eastAsia" w:ascii="Times New Roman" w:hAnsi="Times New Roman" w:eastAsia="仿宋_GB2312" w:cs="Times New Roman"/>
          <w:color w:val="000000"/>
          <w:kern w:val="2"/>
          <w:sz w:val="32"/>
          <w:szCs w:val="32"/>
          <w:lang w:val="en-US" w:eastAsia="zh-CN" w:bidi="ar-SA"/>
        </w:rPr>
        <w:t>；组织、引导老干部在政治文明、物质文明和精神文明建设中发挥作用；组织老干部开展各种健康有益的文化活动；负责对所属单位的国有资产和财产进行监督管理；办好老年大学，组织好老年体协、老年科协等群团组织的工作。</w:t>
      </w:r>
    </w:p>
    <w:p>
      <w:pPr>
        <w:keepNext w:val="0"/>
        <w:keepLines w:val="0"/>
        <w:pageBreakBefore w:val="0"/>
        <w:numPr>
          <w:ilvl w:val="0"/>
          <w:numId w:val="1"/>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基本支出情况</w:t>
      </w:r>
    </w:p>
    <w:p>
      <w:pPr>
        <w:pStyle w:val="7"/>
        <w:keepNext w:val="0"/>
        <w:keepLines w:val="0"/>
        <w:pageBreakBefore w:val="0"/>
        <w:widowControl/>
        <w:numPr>
          <w:ilvl w:val="0"/>
          <w:numId w:val="0"/>
        </w:numPr>
        <w:kinsoku/>
        <w:wordWrap/>
        <w:overflowPunct/>
        <w:topLinePunct w:val="0"/>
        <w:autoSpaceDE/>
        <w:autoSpaceDN/>
        <w:bidi w:val="0"/>
        <w:adjustRightInd/>
        <w:snapToGrid/>
        <w:spacing w:line="610" w:lineRule="exact"/>
        <w:ind w:leftChars="0" w:firstLine="640" w:firstLineChars="200"/>
        <w:jc w:val="both"/>
        <w:textAlignment w:val="auto"/>
        <w:rPr>
          <w:rFonts w:hint="default"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根据2022年部门预算单位经费安排，我中心2022年基本支出最终预算金额为209.9万。基本支出主要用于中心的日常运转以及人员经费，其中，人员经费133.3万元，占基本支出的63.5%，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公用经费76.66万元，占基本支出的36.5%，主要包括办公费、印刷费、咨询费、手续费、水费、电费、邮电费、差旅费、维修（护）费、租赁费、会议费、培训费、公务接待费、专用材料费、劳务费、委托业务费、工会经费、福利费等。</w:t>
      </w:r>
    </w:p>
    <w:p>
      <w:pPr>
        <w:pStyle w:val="7"/>
        <w:keepNext w:val="0"/>
        <w:keepLines w:val="0"/>
        <w:pageBreakBefore w:val="0"/>
        <w:widowControl/>
        <w:numPr>
          <w:ilvl w:val="0"/>
          <w:numId w:val="1"/>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项目支出情况</w:t>
      </w:r>
    </w:p>
    <w:p>
      <w:pPr>
        <w:pStyle w:val="7"/>
        <w:keepNext w:val="0"/>
        <w:keepLines w:val="0"/>
        <w:pageBreakBefore w:val="0"/>
        <w:widowControl/>
        <w:numPr>
          <w:ilvl w:val="0"/>
          <w:numId w:val="0"/>
        </w:numPr>
        <w:kinsoku/>
        <w:wordWrap/>
        <w:overflowPunct/>
        <w:topLinePunct w:val="0"/>
        <w:autoSpaceDE/>
        <w:autoSpaceDN/>
        <w:bidi w:val="0"/>
        <w:adjustRightInd/>
        <w:snapToGrid/>
        <w:spacing w:line="610" w:lineRule="exact"/>
        <w:ind w:leftChars="0" w:firstLine="640" w:firstLineChars="200"/>
        <w:jc w:val="both"/>
        <w:textAlignment w:val="auto"/>
        <w:rPr>
          <w:rFonts w:hint="default"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我中心2022年专项经费419.3万元。该专项资金用于发放离休干部、建国初期退休干部、遗孀配偶等生活待遇；开展老干部慰问与重阳春节活动；老年大学、老年体协等群团组织开展活动与工作；发放离休干部死亡抚恤金；维修维护中心、老年大学设施及门球场；开展老干支书培训；维护中心“美在金秋”老党员之家以及开展“四就近”工作。</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四</w:t>
      </w:r>
      <w:r>
        <w:rPr>
          <w:rFonts w:hint="default" w:ascii="Times New Roman" w:hAnsi="Times New Roman" w:eastAsia="黑体" w:cs="Times New Roman"/>
          <w:sz w:val="32"/>
          <w:szCs w:val="32"/>
        </w:rPr>
        <w:t>、部门整体支出绩效情况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2022年活动中心整体支出629.23万。按收入性质分，其中：一般公共预算财政拨款收入626.23万，政府性基金预算收入3万元；按支出性质分，其中基本支出209.93万，项目支出419.3万。支出效益情况如下：</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eastAsia="仿宋_GB2312" w:cs="Times New Roman"/>
          <w:color w:val="000000"/>
          <w:sz w:val="32"/>
          <w:szCs w:val="32"/>
          <w:lang w:val="en-US" w:eastAsia="zh-CN"/>
        </w:rPr>
      </w:pPr>
      <w:r>
        <w:rPr>
          <w:rFonts w:hint="eastAsia" w:ascii="楷体" w:hAnsi="楷体" w:eastAsia="楷体" w:cs="楷体"/>
          <w:b/>
          <w:bCs/>
          <w:sz w:val="32"/>
          <w:szCs w:val="32"/>
          <w:lang w:val="en-US" w:eastAsia="zh-CN"/>
        </w:rPr>
        <w:t>（一）全面提升党建水平。</w:t>
      </w:r>
      <w:r>
        <w:rPr>
          <w:rFonts w:hint="eastAsia" w:eastAsia="仿宋_GB2312" w:cs="Times New Roman"/>
          <w:color w:val="000000"/>
          <w:sz w:val="32"/>
          <w:szCs w:val="32"/>
          <w:lang w:val="en-US" w:eastAsia="zh-CN"/>
        </w:rPr>
        <w:t>开展</w:t>
      </w:r>
      <w:r>
        <w:rPr>
          <w:rFonts w:hint="default" w:eastAsia="仿宋_GB2312" w:cs="Times New Roman"/>
          <w:color w:val="000000"/>
          <w:sz w:val="32"/>
          <w:szCs w:val="32"/>
          <w:lang w:val="en-US" w:eastAsia="zh-CN"/>
        </w:rPr>
        <w:t>“</w:t>
      </w:r>
      <w:r>
        <w:rPr>
          <w:rFonts w:hint="eastAsia" w:eastAsia="仿宋_GB2312" w:cs="Times New Roman"/>
          <w:color w:val="000000"/>
          <w:sz w:val="32"/>
          <w:szCs w:val="32"/>
          <w:lang w:val="en-US" w:eastAsia="zh-CN"/>
        </w:rPr>
        <w:t>感悟二十大、奋进新征程</w:t>
      </w:r>
      <w:r>
        <w:rPr>
          <w:rFonts w:hint="default" w:eastAsia="仿宋_GB2312" w:cs="Times New Roman"/>
          <w:color w:val="000000"/>
          <w:sz w:val="32"/>
          <w:szCs w:val="32"/>
          <w:lang w:val="en-US" w:eastAsia="zh-CN"/>
        </w:rPr>
        <w:t>”</w:t>
      </w:r>
      <w:r>
        <w:rPr>
          <w:rFonts w:hint="eastAsia" w:eastAsia="仿宋_GB2312" w:cs="Times New Roman"/>
          <w:color w:val="000000"/>
          <w:sz w:val="32"/>
          <w:szCs w:val="32"/>
          <w:lang w:val="en-US" w:eastAsia="zh-CN"/>
        </w:rPr>
        <w:t>微宣讲比赛，筑牢党员干部信仰之基，切实增强“四个意识”，坚定“四个自信”；组织理论学习中心组集中学习12次，开展讨论交流，撰写心得体会。到桥东街社区开展民情大走访活动，走访居民80户，贴近民意解民困；持续开展“我为老干部办实事”活动，全年为离休干部、遗孀配偶办实事14件。指导1个老干支部创建省级“示范支部”，2个创建市级“示范支部”。先后组织离退休干部收看了5次网上报告会和2次知识竞答活动，参加由省委老干部局举行的“我看中国特色社会主义”征文活动，2名老干部获得省级荣誉，相关经验文章得到省市媒体的推介传播。</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eastAsia="仿宋_GB2312" w:cs="Times New Roman"/>
          <w:color w:val="000000"/>
          <w:sz w:val="32"/>
          <w:szCs w:val="32"/>
          <w:lang w:val="en-US" w:eastAsia="zh-CN"/>
        </w:rPr>
      </w:pPr>
      <w:r>
        <w:rPr>
          <w:rFonts w:hint="eastAsia" w:ascii="楷体" w:hAnsi="楷体" w:eastAsia="楷体" w:cs="楷体"/>
          <w:b/>
          <w:bCs/>
          <w:sz w:val="32"/>
          <w:szCs w:val="32"/>
          <w:lang w:val="en-US" w:eastAsia="zh-CN"/>
        </w:rPr>
        <w:t>（二）有力保障待遇落实。</w:t>
      </w:r>
      <w:r>
        <w:rPr>
          <w:rFonts w:hint="eastAsia" w:eastAsia="仿宋_GB2312" w:cs="Times New Roman"/>
          <w:color w:val="000000"/>
          <w:sz w:val="32"/>
          <w:szCs w:val="32"/>
          <w:lang w:val="en-US" w:eastAsia="zh-CN"/>
        </w:rPr>
        <w:t>组织县城区所有离休干部和享受副县级以上待遇退休干部开展重阳节参观视察活动，开展春节座谈会，人数超120人；全年深入离退休干部家中走访慰问人均4次以上，整生上门送祝福8人次，离退休干部生病住院探望19人次，吊唁逝世离退休干部8人；全县离休干部离休费等生活待遇资金足额及时发放到位，全年共发放离休干部打卡工资、护理费、交通费等生活待遇资金共166.4万；及时进行死亡离休干部的抚恤金申报与支付，全年发放离休干部抚恤金122.74万。</w:t>
      </w:r>
    </w:p>
    <w:p>
      <w:pPr>
        <w:ind w:firstLine="643" w:firstLineChars="200"/>
        <w:rPr>
          <w:rFonts w:hint="eastAsia" w:eastAsia="仿宋_GB2312" w:cs="Times New Roman"/>
          <w:color w:val="000000"/>
          <w:sz w:val="32"/>
          <w:szCs w:val="32"/>
          <w:lang w:val="en-US" w:eastAsia="zh-CN"/>
        </w:rPr>
      </w:pPr>
      <w:r>
        <w:rPr>
          <w:rFonts w:hint="eastAsia" w:ascii="楷体" w:hAnsi="楷体" w:eastAsia="楷体" w:cs="楷体"/>
          <w:b/>
          <w:bCs/>
          <w:sz w:val="32"/>
          <w:szCs w:val="32"/>
          <w:lang w:val="en-US" w:eastAsia="zh-CN"/>
        </w:rPr>
        <w:t>（三）优化活动开展形式。</w:t>
      </w:r>
      <w:r>
        <w:rPr>
          <w:rFonts w:hint="eastAsia" w:eastAsia="仿宋_GB2312" w:cs="Times New Roman"/>
          <w:color w:val="000000"/>
          <w:sz w:val="32"/>
          <w:szCs w:val="32"/>
          <w:lang w:val="en-US" w:eastAsia="zh-CN"/>
        </w:rPr>
        <w:t>协助县老年体协举办“三八”女子门球赛、夏季门球赛、“松柏杯”门球赛、全县老年人象棋赛、钓鱼比赛、门球月赛、部门单位邀请赛等赛事超7场；协助县关工委新班子制定《华容县关心下一代工作实施方案》开展“五老”倾情讲党史活动，活动人数逾百人。支持县老科协打造两个市级“科技示范基地”，开展2场“送健康”下乡活动。支持县老年保健协会开展“健康长寿老人”评选，为获奖老人颁发荣誉证书赠送纪念品，制作宣传手册上门讲解防疫知识。支持县诗词协会开展“喜迎党的二十大”诗词作品创作，联合县老年书画家协会举行“清廉华容，金秋在线”老年诗词书画作品展。县老年大学招收老年学员近2000人次，组织开展疏散逃生演练、诗词吟诵会等活动5次。</w:t>
      </w:r>
    </w:p>
    <w:p>
      <w:pPr>
        <w:pStyle w:val="7"/>
        <w:keepNext w:val="0"/>
        <w:keepLines w:val="0"/>
        <w:pageBreakBefore w:val="0"/>
        <w:widowControl/>
        <w:kinsoku/>
        <w:wordWrap/>
        <w:overflowPunct/>
        <w:topLinePunct w:val="0"/>
        <w:autoSpaceDE/>
        <w:autoSpaceDN/>
        <w:bidi w:val="0"/>
        <w:adjustRightInd/>
        <w:snapToGrid/>
        <w:spacing w:line="610" w:lineRule="exact"/>
        <w:ind w:firstLine="643"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楷体" w:hAnsi="楷体" w:eastAsia="楷体" w:cs="楷体"/>
          <w:b/>
          <w:bCs/>
          <w:sz w:val="32"/>
          <w:szCs w:val="32"/>
          <w:lang w:val="en-US" w:eastAsia="zh-CN"/>
        </w:rPr>
        <w:t>（四）协力提质</w:t>
      </w:r>
      <w:r>
        <w:rPr>
          <w:rFonts w:hint="eastAsia" w:ascii="楷体" w:hAnsi="楷体" w:eastAsia="楷体" w:cs="楷体"/>
          <w:b/>
          <w:bCs/>
          <w:kern w:val="2"/>
          <w:sz w:val="32"/>
          <w:szCs w:val="32"/>
          <w:lang w:val="en-US" w:eastAsia="zh-CN" w:bidi="ar-SA"/>
        </w:rPr>
        <w:t>活动场所。</w:t>
      </w:r>
      <w:r>
        <w:rPr>
          <w:rFonts w:hint="eastAsia" w:ascii="Times New Roman" w:hAnsi="Times New Roman" w:eastAsia="仿宋_GB2312" w:cs="Times New Roman"/>
          <w:color w:val="000000"/>
          <w:kern w:val="2"/>
          <w:sz w:val="32"/>
          <w:szCs w:val="32"/>
          <w:lang w:val="en-US" w:eastAsia="zh-CN" w:bidi="ar-SA"/>
        </w:rPr>
        <w:t>班子领导经过多方汇报，积极向财政争取资金9.8万元，用于对室内门球场顶棚防雨防晒膜进行维修改造，室内门球场整修一新。</w:t>
      </w:r>
    </w:p>
    <w:p>
      <w:pPr>
        <w:pStyle w:val="7"/>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、存在的问题及原因分析</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eastAsia="仿宋_GB2312" w:cs="Times New Roman"/>
          <w:color w:val="000000"/>
          <w:sz w:val="32"/>
          <w:szCs w:val="32"/>
          <w:lang w:val="en-US" w:eastAsia="zh-CN"/>
        </w:rPr>
      </w:pPr>
      <w:r>
        <w:rPr>
          <w:rFonts w:hint="eastAsia" w:eastAsia="仿宋_GB2312" w:cs="Times New Roman"/>
          <w:color w:val="000000"/>
          <w:sz w:val="32"/>
          <w:szCs w:val="32"/>
          <w:lang w:val="en-US" w:eastAsia="zh-CN"/>
        </w:rPr>
        <w:t>基本支出与项目支出年初预算与年末决算差额大。由于每年年初预算金额仅预算基本支出，项目支出按财政年度财力情况予以安排，所以在预算执行中存在预算调整的情况。</w:t>
      </w:r>
    </w:p>
    <w:p>
      <w:pPr>
        <w:keepNext w:val="0"/>
        <w:keepLines w:val="0"/>
        <w:pageBreakBefore w:val="0"/>
        <w:widowControl/>
        <w:numPr>
          <w:ilvl w:val="0"/>
          <w:numId w:val="2"/>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下一步改进措施</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提高编制预算的科学性</w:t>
      </w:r>
      <w:r>
        <w:rPr>
          <w:rFonts w:hint="eastAsia" w:ascii="Times New Roman" w:hAnsi="Times New Roman" w:eastAsia="仿宋_GB2312" w:cs="Times New Roman"/>
          <w:color w:val="000000"/>
          <w:kern w:val="2"/>
          <w:sz w:val="32"/>
          <w:szCs w:val="32"/>
          <w:lang w:val="en-US" w:eastAsia="zh-CN" w:bidi="ar-SA"/>
        </w:rPr>
        <w:t>准确性</w:t>
      </w:r>
      <w:r>
        <w:rPr>
          <w:rFonts w:hint="default" w:ascii="Times New Roman" w:hAnsi="Times New Roman" w:eastAsia="仿宋_GB2312" w:cs="Times New Roman"/>
          <w:color w:val="000000"/>
          <w:kern w:val="2"/>
          <w:sz w:val="32"/>
          <w:szCs w:val="32"/>
          <w:lang w:val="en-US" w:eastAsia="zh-CN" w:bidi="ar-SA"/>
        </w:rPr>
        <w:t>。强化部门预算管理，切实提高预算编制的科学性、精准度。规范部门预算收支核算，及时了解预算执行差异，与财政相关部门沟通，合理调整、纠正预算执行偏差，确保各项预算资金足额拨付到位。</w:t>
      </w:r>
    </w:p>
    <w:p>
      <w:pPr>
        <w:keepNext w:val="0"/>
        <w:keepLines w:val="0"/>
        <w:pageBreakBefore w:val="0"/>
        <w:widowControl/>
        <w:numPr>
          <w:ilvl w:val="0"/>
          <w:numId w:val="2"/>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其他需要说明的情况</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  </w:t>
      </w:r>
      <w:r>
        <w:rPr>
          <w:rFonts w:hint="eastAsia" w:ascii="Times New Roman" w:hAnsi="Times New Roman" w:eastAsia="仿宋_GB2312" w:cs="Times New Roman"/>
          <w:color w:val="000000"/>
          <w:kern w:val="2"/>
          <w:sz w:val="32"/>
          <w:szCs w:val="32"/>
          <w:lang w:val="en-US" w:eastAsia="zh-CN" w:bidi="ar-SA"/>
        </w:rPr>
        <w:t xml:space="preserve"> 无。</w:t>
      </w:r>
    </w:p>
    <w:p>
      <w:pPr>
        <w:keepNext w:val="0"/>
        <w:keepLines w:val="0"/>
        <w:pageBreakBefore w:val="0"/>
        <w:kinsoku/>
        <w:wordWrap/>
        <w:overflowPunct/>
        <w:topLinePunct w:val="0"/>
        <w:autoSpaceDE/>
        <w:autoSpaceDN/>
        <w:bidi w:val="0"/>
        <w:adjustRightInd/>
        <w:snapToGrid/>
        <w:spacing w:line="560" w:lineRule="exact"/>
        <w:ind w:firstLine="0" w:firstLineChars="0"/>
        <w:jc w:val="left"/>
        <w:textAlignment w:val="auto"/>
        <w:outlineLvl w:val="0"/>
        <w:rPr>
          <w:rFonts w:hint="eastAsia" w:ascii="仿宋_GB2312" w:eastAsia="仿宋_GB2312"/>
          <w:sz w:val="32"/>
          <w:szCs w:val="32"/>
          <w:lang w:val="en-US" w:eastAsia="zh-CN"/>
        </w:rPr>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90"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leftChars="0" w:right="0" w:rightChars="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20</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leftChars="0" w:right="0" w:rightChars="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leftChars="0" w:right="0" w:rightChars="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20</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98</w:t>
            </w:r>
          </w:p>
        </w:tc>
      </w:tr>
    </w:tbl>
    <w:p>
      <w:pPr>
        <w:pStyle w:val="4"/>
        <w:rPr>
          <w:rFonts w:hint="eastAsia"/>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5"/>
        <w:tblW w:w="9851" w:type="dxa"/>
        <w:jc w:val="center"/>
        <w:tblLayout w:type="fixed"/>
        <w:tblCellMar>
          <w:top w:w="0" w:type="dxa"/>
          <w:left w:w="108" w:type="dxa"/>
          <w:bottom w:w="0" w:type="dxa"/>
          <w:right w:w="108" w:type="dxa"/>
        </w:tblCellMar>
      </w:tblPr>
      <w:tblGrid>
        <w:gridCol w:w="1080"/>
        <w:gridCol w:w="748"/>
        <w:gridCol w:w="1342"/>
        <w:gridCol w:w="2198"/>
        <w:gridCol w:w="1026"/>
        <w:gridCol w:w="1263"/>
        <w:gridCol w:w="684"/>
        <w:gridCol w:w="606"/>
        <w:gridCol w:w="904"/>
      </w:tblGrid>
      <w:tr>
        <w:tblPrEx>
          <w:tblCellMar>
            <w:top w:w="0" w:type="dxa"/>
            <w:left w:w="108" w:type="dxa"/>
            <w:bottom w:w="0" w:type="dxa"/>
            <w:right w:w="108" w:type="dxa"/>
          </w:tblCellMar>
        </w:tblPrEx>
        <w:trPr>
          <w:trHeight w:val="431"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华容县老干部活动中心专项经费</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5314"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p>
        </w:tc>
        <w:tc>
          <w:tcPr>
            <w:tcW w:w="1263"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2194"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华容县老干部活动中心</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09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9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02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26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68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606"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90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09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219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0</w:t>
            </w:r>
          </w:p>
        </w:tc>
        <w:tc>
          <w:tcPr>
            <w:tcW w:w="102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419.3</w:t>
            </w:r>
          </w:p>
        </w:tc>
        <w:tc>
          <w:tcPr>
            <w:tcW w:w="126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419.3</w:t>
            </w:r>
          </w:p>
        </w:tc>
        <w:tc>
          <w:tcPr>
            <w:tcW w:w="68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10</w:t>
            </w:r>
          </w:p>
        </w:tc>
        <w:tc>
          <w:tcPr>
            <w:tcW w:w="60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100%</w:t>
            </w:r>
          </w:p>
        </w:tc>
        <w:tc>
          <w:tcPr>
            <w:tcW w:w="90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09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219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2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419.3</w:t>
            </w:r>
          </w:p>
        </w:tc>
        <w:tc>
          <w:tcPr>
            <w:tcW w:w="126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419.3</w:t>
            </w:r>
          </w:p>
        </w:tc>
        <w:tc>
          <w:tcPr>
            <w:tcW w:w="68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60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100%</w:t>
            </w:r>
          </w:p>
        </w:tc>
        <w:tc>
          <w:tcPr>
            <w:tcW w:w="90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470"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09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219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2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6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68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60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90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457"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09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219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2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p>
        </w:tc>
        <w:tc>
          <w:tcPr>
            <w:tcW w:w="126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68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p>
        </w:tc>
        <w:tc>
          <w:tcPr>
            <w:tcW w:w="60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p>
        </w:tc>
        <w:tc>
          <w:tcPr>
            <w:tcW w:w="90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458" w:hRule="atLeast"/>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5314"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3457"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trHeight w:val="510"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5314"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419.3万</w:t>
            </w:r>
          </w:p>
        </w:tc>
        <w:tc>
          <w:tcPr>
            <w:tcW w:w="3457"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419.3万</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74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34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219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02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26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68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60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90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trHeight w:val="467"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748"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34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default" w:eastAsia="仿宋_GB2312" w:cs="Times New Roman"/>
                <w:color w:val="000000"/>
                <w:sz w:val="20"/>
                <w:szCs w:val="20"/>
                <w:lang w:eastAsia="zh-CN"/>
              </w:rPr>
              <w:t>数量指标</w:t>
            </w:r>
          </w:p>
        </w:tc>
        <w:tc>
          <w:tcPr>
            <w:tcW w:w="21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eastAsia="仿宋_GB2312" w:cs="Times New Roman"/>
                <w:color w:val="000000"/>
                <w:sz w:val="20"/>
                <w:szCs w:val="20"/>
                <w:lang w:eastAsia="zh-CN"/>
              </w:rPr>
            </w:pPr>
            <w:r>
              <w:rPr>
                <w:rFonts w:hint="eastAsia" w:eastAsia="仿宋_GB2312" w:cs="Times New Roman"/>
                <w:color w:val="000000"/>
                <w:sz w:val="20"/>
                <w:szCs w:val="20"/>
                <w:lang w:eastAsia="zh-CN"/>
              </w:rPr>
              <w:t>老干部慰问人次</w:t>
            </w:r>
          </w:p>
        </w:tc>
        <w:tc>
          <w:tcPr>
            <w:tcW w:w="10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eastAsia="zh-CN"/>
              </w:rPr>
              <w:t>≥</w:t>
            </w:r>
            <w:r>
              <w:rPr>
                <w:rFonts w:hint="eastAsia" w:eastAsia="仿宋_GB2312" w:cs="Times New Roman"/>
                <w:color w:val="000000"/>
                <w:sz w:val="20"/>
                <w:szCs w:val="20"/>
                <w:lang w:val="en-US" w:eastAsia="zh-CN"/>
              </w:rPr>
              <w:t>230人次</w:t>
            </w:r>
          </w:p>
        </w:tc>
        <w:tc>
          <w:tcPr>
            <w:tcW w:w="12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逾250人次</w:t>
            </w:r>
          </w:p>
        </w:tc>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6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748"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34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p>
        </w:tc>
        <w:tc>
          <w:tcPr>
            <w:tcW w:w="219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eastAsia="仿宋_GB2312" w:cs="Times New Roman"/>
                <w:color w:val="000000"/>
                <w:sz w:val="20"/>
                <w:szCs w:val="20"/>
                <w:lang w:eastAsia="zh-CN"/>
              </w:rPr>
            </w:pPr>
            <w:r>
              <w:rPr>
                <w:rFonts w:hint="eastAsia" w:eastAsia="仿宋_GB2312" w:cs="Times New Roman"/>
                <w:color w:val="000000"/>
                <w:sz w:val="20"/>
                <w:szCs w:val="20"/>
                <w:lang w:eastAsia="zh-CN"/>
              </w:rPr>
              <w:t>组织老干部参与省、市、县级活动、报告会、竞赛等</w:t>
            </w:r>
          </w:p>
        </w:tc>
        <w:tc>
          <w:tcPr>
            <w:tcW w:w="10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eastAsia="仿宋_GB2312" w:cs="Times New Roman"/>
                <w:color w:val="000000"/>
                <w:sz w:val="20"/>
                <w:szCs w:val="20"/>
                <w:lang w:eastAsia="zh-CN"/>
              </w:rPr>
            </w:pPr>
            <w:r>
              <w:rPr>
                <w:rFonts w:hint="eastAsia" w:eastAsia="仿宋_GB2312" w:cs="Times New Roman"/>
                <w:color w:val="000000"/>
                <w:sz w:val="20"/>
                <w:szCs w:val="20"/>
                <w:lang w:eastAsia="zh-CN"/>
              </w:rPr>
              <w:t>≥</w:t>
            </w:r>
            <w:r>
              <w:rPr>
                <w:rFonts w:hint="eastAsia" w:eastAsia="仿宋_GB2312" w:cs="Times New Roman"/>
                <w:color w:val="000000"/>
                <w:sz w:val="20"/>
                <w:szCs w:val="20"/>
                <w:lang w:val="en-US" w:eastAsia="zh-CN"/>
              </w:rPr>
              <w:t>15次</w:t>
            </w:r>
          </w:p>
        </w:tc>
        <w:tc>
          <w:tcPr>
            <w:tcW w:w="12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val="en-US" w:eastAsia="zh-CN"/>
              </w:rPr>
              <w:t>15次</w:t>
            </w:r>
          </w:p>
        </w:tc>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6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748"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34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p>
        </w:tc>
        <w:tc>
          <w:tcPr>
            <w:tcW w:w="219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eastAsia="仿宋_GB2312" w:cs="Times New Roman"/>
                <w:color w:val="000000"/>
                <w:sz w:val="20"/>
                <w:szCs w:val="20"/>
                <w:lang w:eastAsia="zh-CN"/>
              </w:rPr>
            </w:pPr>
            <w:r>
              <w:rPr>
                <w:rFonts w:hint="eastAsia" w:eastAsia="仿宋_GB2312" w:cs="Times New Roman"/>
                <w:color w:val="000000"/>
                <w:sz w:val="20"/>
                <w:szCs w:val="20"/>
                <w:lang w:eastAsia="zh-CN"/>
              </w:rPr>
              <w:t>参加重阳、新春报告会老干部人数</w:t>
            </w:r>
          </w:p>
        </w:tc>
        <w:tc>
          <w:tcPr>
            <w:tcW w:w="10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eastAsia="仿宋_GB2312" w:cs="Times New Roman"/>
                <w:color w:val="000000"/>
                <w:sz w:val="20"/>
                <w:szCs w:val="20"/>
                <w:lang w:eastAsia="zh-CN"/>
              </w:rPr>
            </w:pPr>
            <w:r>
              <w:rPr>
                <w:rFonts w:hint="eastAsia" w:eastAsia="仿宋_GB2312" w:cs="Times New Roman"/>
                <w:color w:val="000000"/>
                <w:sz w:val="20"/>
                <w:szCs w:val="20"/>
                <w:lang w:eastAsia="zh-CN"/>
              </w:rPr>
              <w:t>≥</w:t>
            </w:r>
            <w:r>
              <w:rPr>
                <w:rFonts w:hint="eastAsia" w:eastAsia="仿宋_GB2312" w:cs="Times New Roman"/>
                <w:color w:val="000000"/>
                <w:sz w:val="20"/>
                <w:szCs w:val="20"/>
                <w:lang w:val="en-US" w:eastAsia="zh-CN"/>
              </w:rPr>
              <w:t>120人</w:t>
            </w:r>
          </w:p>
        </w:tc>
        <w:tc>
          <w:tcPr>
            <w:tcW w:w="12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val="en-US" w:eastAsia="zh-CN"/>
              </w:rPr>
              <w:t>124人</w:t>
            </w:r>
          </w:p>
        </w:tc>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6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414"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748"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34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eastAsia="仿宋_GB2312" w:cs="Times New Roman"/>
                <w:color w:val="000000"/>
                <w:sz w:val="20"/>
                <w:szCs w:val="20"/>
                <w:lang w:eastAsia="zh-CN"/>
              </w:rPr>
            </w:pPr>
            <w:r>
              <w:rPr>
                <w:rFonts w:hint="eastAsia" w:eastAsia="仿宋_GB2312" w:cs="Times New Roman"/>
                <w:color w:val="000000"/>
                <w:sz w:val="20"/>
                <w:szCs w:val="20"/>
                <w:lang w:eastAsia="zh-CN"/>
              </w:rPr>
              <w:t>老年大学招收学员人次</w:t>
            </w:r>
          </w:p>
        </w:tc>
        <w:tc>
          <w:tcPr>
            <w:tcW w:w="10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eastAsia="zh-CN"/>
              </w:rPr>
              <w:t>≥</w:t>
            </w:r>
            <w:r>
              <w:rPr>
                <w:rFonts w:hint="eastAsia" w:eastAsia="仿宋_GB2312" w:cs="Times New Roman"/>
                <w:color w:val="000000"/>
                <w:sz w:val="20"/>
                <w:szCs w:val="20"/>
                <w:lang w:val="en-US" w:eastAsia="zh-CN"/>
              </w:rPr>
              <w:t>1500人次</w:t>
            </w:r>
          </w:p>
        </w:tc>
        <w:tc>
          <w:tcPr>
            <w:tcW w:w="12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val="en-US" w:eastAsia="zh-CN"/>
              </w:rPr>
              <w:t>1800余人次</w:t>
            </w:r>
          </w:p>
        </w:tc>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6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428"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748"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34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default" w:eastAsia="仿宋_GB2312" w:cs="Times New Roman"/>
                <w:color w:val="000000"/>
                <w:sz w:val="20"/>
                <w:szCs w:val="20"/>
                <w:lang w:eastAsia="zh-CN"/>
              </w:rPr>
              <w:t>质量指标</w:t>
            </w:r>
          </w:p>
        </w:tc>
        <w:tc>
          <w:tcPr>
            <w:tcW w:w="21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eastAsia="zh-CN"/>
              </w:rPr>
              <w:t>维修维护验收合格率</w:t>
            </w:r>
          </w:p>
        </w:tc>
        <w:tc>
          <w:tcPr>
            <w:tcW w:w="10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val="en-US" w:eastAsia="zh-CN"/>
              </w:rPr>
              <w:t>100%</w:t>
            </w:r>
          </w:p>
        </w:tc>
        <w:tc>
          <w:tcPr>
            <w:tcW w:w="12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val="en-US" w:eastAsia="zh-CN"/>
              </w:rPr>
              <w:t>100%</w:t>
            </w:r>
          </w:p>
        </w:tc>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3</w:t>
            </w:r>
          </w:p>
        </w:tc>
        <w:tc>
          <w:tcPr>
            <w:tcW w:w="6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3</w:t>
            </w:r>
          </w:p>
        </w:tc>
        <w:tc>
          <w:tcPr>
            <w:tcW w:w="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748"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34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eastAsia="zh-CN"/>
              </w:rPr>
              <w:t>老干部参与省级活动获得荣誉</w:t>
            </w:r>
          </w:p>
        </w:tc>
        <w:tc>
          <w:tcPr>
            <w:tcW w:w="10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eastAsia="zh-CN"/>
              </w:rPr>
              <w:t>≥</w:t>
            </w:r>
            <w:r>
              <w:rPr>
                <w:rFonts w:hint="eastAsia" w:eastAsia="仿宋_GB2312" w:cs="Times New Roman"/>
                <w:color w:val="000000"/>
                <w:sz w:val="20"/>
                <w:szCs w:val="20"/>
                <w:lang w:val="en-US" w:eastAsia="zh-CN"/>
              </w:rPr>
              <w:t>2项</w:t>
            </w:r>
          </w:p>
        </w:tc>
        <w:tc>
          <w:tcPr>
            <w:tcW w:w="12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val="en-US" w:eastAsia="zh-CN"/>
              </w:rPr>
              <w:t>2</w:t>
            </w:r>
          </w:p>
        </w:tc>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2</w:t>
            </w:r>
          </w:p>
        </w:tc>
        <w:tc>
          <w:tcPr>
            <w:tcW w:w="6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2</w:t>
            </w:r>
          </w:p>
        </w:tc>
        <w:tc>
          <w:tcPr>
            <w:tcW w:w="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481"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748"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34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val="en-US" w:eastAsia="zh-CN"/>
              </w:rPr>
              <w:t>指导创建省市示范支部</w:t>
            </w:r>
          </w:p>
        </w:tc>
        <w:tc>
          <w:tcPr>
            <w:tcW w:w="10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eastAsia="zh-CN"/>
              </w:rPr>
              <w:t>≥</w:t>
            </w:r>
            <w:r>
              <w:rPr>
                <w:rFonts w:hint="eastAsia" w:eastAsia="仿宋_GB2312" w:cs="Times New Roman"/>
                <w:color w:val="000000"/>
                <w:sz w:val="20"/>
                <w:szCs w:val="20"/>
                <w:lang w:val="en-US" w:eastAsia="zh-CN"/>
              </w:rPr>
              <w:t>3个</w:t>
            </w:r>
          </w:p>
        </w:tc>
        <w:tc>
          <w:tcPr>
            <w:tcW w:w="12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val="en-US" w:eastAsia="zh-CN"/>
              </w:rPr>
              <w:t>3</w:t>
            </w:r>
          </w:p>
        </w:tc>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6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748"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34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default" w:eastAsia="仿宋_GB2312" w:cs="Times New Roman"/>
                <w:color w:val="000000"/>
                <w:sz w:val="20"/>
                <w:szCs w:val="20"/>
                <w:lang w:eastAsia="zh-CN"/>
              </w:rPr>
              <w:t>时效指标</w:t>
            </w:r>
          </w:p>
        </w:tc>
        <w:tc>
          <w:tcPr>
            <w:tcW w:w="21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eastAsia="zh-CN"/>
              </w:rPr>
              <w:t>抚恤金发放时效</w:t>
            </w:r>
          </w:p>
        </w:tc>
        <w:tc>
          <w:tcPr>
            <w:tcW w:w="10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eastAsia="zh-CN"/>
              </w:rPr>
              <w:t>到位后</w:t>
            </w:r>
            <w:r>
              <w:rPr>
                <w:rFonts w:hint="eastAsia" w:eastAsia="仿宋_GB2312" w:cs="Times New Roman"/>
                <w:color w:val="000000"/>
                <w:sz w:val="20"/>
                <w:szCs w:val="20"/>
                <w:lang w:val="en-US" w:eastAsia="zh-CN"/>
              </w:rPr>
              <w:t>15日内</w:t>
            </w:r>
          </w:p>
        </w:tc>
        <w:tc>
          <w:tcPr>
            <w:tcW w:w="12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eastAsia="zh-CN"/>
              </w:rPr>
              <w:t>到位后</w:t>
            </w:r>
            <w:r>
              <w:rPr>
                <w:rFonts w:hint="eastAsia" w:eastAsia="仿宋_GB2312" w:cs="Times New Roman"/>
                <w:color w:val="000000"/>
                <w:sz w:val="20"/>
                <w:szCs w:val="20"/>
                <w:lang w:val="en-US" w:eastAsia="zh-CN"/>
              </w:rPr>
              <w:t>15日内</w:t>
            </w:r>
          </w:p>
        </w:tc>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6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748"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34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eastAsia="zh-CN"/>
              </w:rPr>
              <w:t>维修维护资金结算时效</w:t>
            </w:r>
          </w:p>
        </w:tc>
        <w:tc>
          <w:tcPr>
            <w:tcW w:w="10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eastAsia="zh-CN"/>
              </w:rPr>
              <w:t>按合同约定付款</w:t>
            </w:r>
          </w:p>
        </w:tc>
        <w:tc>
          <w:tcPr>
            <w:tcW w:w="12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eastAsia="zh-CN"/>
              </w:rPr>
              <w:t>按合同约定付款</w:t>
            </w:r>
          </w:p>
        </w:tc>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6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415"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748"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34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default" w:eastAsia="仿宋_GB2312" w:cs="Times New Roman"/>
                <w:color w:val="000000"/>
                <w:sz w:val="20"/>
                <w:szCs w:val="20"/>
                <w:lang w:eastAsia="zh-CN"/>
              </w:rPr>
              <w:t>成本指标</w:t>
            </w:r>
          </w:p>
        </w:tc>
        <w:tc>
          <w:tcPr>
            <w:tcW w:w="21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eastAsia="zh-CN"/>
              </w:rPr>
              <w:t>门球场维修维护成本</w:t>
            </w:r>
          </w:p>
        </w:tc>
        <w:tc>
          <w:tcPr>
            <w:tcW w:w="10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eastAsia="zh-CN"/>
              </w:rPr>
              <w:t>≤</w:t>
            </w:r>
            <w:r>
              <w:rPr>
                <w:rFonts w:hint="eastAsia" w:eastAsia="仿宋_GB2312" w:cs="Times New Roman"/>
                <w:color w:val="000000"/>
                <w:sz w:val="20"/>
                <w:szCs w:val="20"/>
                <w:lang w:val="en-US" w:eastAsia="zh-CN"/>
              </w:rPr>
              <w:t>10万</w:t>
            </w:r>
          </w:p>
        </w:tc>
        <w:tc>
          <w:tcPr>
            <w:tcW w:w="12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val="en-US" w:eastAsia="zh-CN"/>
              </w:rPr>
              <w:t>9.8万</w:t>
            </w:r>
          </w:p>
        </w:tc>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6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748"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34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eastAsia="仿宋_GB2312" w:cs="Times New Roman"/>
                <w:color w:val="000000"/>
                <w:sz w:val="20"/>
                <w:szCs w:val="20"/>
                <w:lang w:eastAsia="zh-CN"/>
              </w:rPr>
            </w:pPr>
            <w:r>
              <w:rPr>
                <w:rFonts w:hint="eastAsia" w:eastAsia="仿宋_GB2312" w:cs="Times New Roman"/>
                <w:color w:val="000000"/>
                <w:sz w:val="20"/>
                <w:szCs w:val="20"/>
                <w:lang w:eastAsia="zh-CN"/>
              </w:rPr>
              <w:t>“美在金秋”走廊维护成本</w:t>
            </w:r>
          </w:p>
        </w:tc>
        <w:tc>
          <w:tcPr>
            <w:tcW w:w="10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eastAsia="zh-CN"/>
              </w:rPr>
              <w:t>≤</w:t>
            </w:r>
            <w:r>
              <w:rPr>
                <w:rFonts w:hint="eastAsia" w:eastAsia="仿宋_GB2312" w:cs="Times New Roman"/>
                <w:color w:val="000000"/>
                <w:sz w:val="20"/>
                <w:szCs w:val="20"/>
                <w:lang w:val="en-US" w:eastAsia="zh-CN"/>
              </w:rPr>
              <w:t>2万</w:t>
            </w:r>
          </w:p>
        </w:tc>
        <w:tc>
          <w:tcPr>
            <w:tcW w:w="12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1.94万</w:t>
            </w:r>
          </w:p>
        </w:tc>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6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trHeight w:val="754"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74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34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default" w:eastAsia="仿宋_GB2312" w:cs="Times New Roman"/>
                <w:color w:val="000000"/>
                <w:sz w:val="20"/>
                <w:szCs w:val="20"/>
                <w:lang w:eastAsia="zh-CN"/>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default" w:eastAsia="仿宋_GB2312" w:cs="Times New Roman"/>
                <w:color w:val="000000"/>
                <w:sz w:val="20"/>
                <w:szCs w:val="20"/>
                <w:lang w:eastAsia="zh-CN"/>
              </w:rPr>
              <w:t>影响指标</w:t>
            </w:r>
          </w:p>
        </w:tc>
        <w:tc>
          <w:tcPr>
            <w:tcW w:w="21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eastAsia="zh-CN"/>
              </w:rPr>
              <w:t>优化老干部活动形式，发挥老干部余热</w:t>
            </w:r>
          </w:p>
        </w:tc>
        <w:tc>
          <w:tcPr>
            <w:tcW w:w="10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eastAsia="zh-CN"/>
              </w:rPr>
              <w:t>持续优化</w:t>
            </w:r>
          </w:p>
        </w:tc>
        <w:tc>
          <w:tcPr>
            <w:tcW w:w="12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eastAsia="zh-CN"/>
              </w:rPr>
              <w:t>持续优化</w:t>
            </w:r>
          </w:p>
        </w:tc>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15</w:t>
            </w:r>
          </w:p>
        </w:tc>
        <w:tc>
          <w:tcPr>
            <w:tcW w:w="6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14</w:t>
            </w:r>
          </w:p>
        </w:tc>
        <w:tc>
          <w:tcPr>
            <w:tcW w:w="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eastAsia="zh-CN"/>
              </w:rPr>
              <w:t>缺乏创新性，创新活动形式</w:t>
            </w:r>
          </w:p>
        </w:tc>
      </w:tr>
      <w:tr>
        <w:tblPrEx>
          <w:tblCellMar>
            <w:top w:w="0" w:type="dxa"/>
            <w:left w:w="108" w:type="dxa"/>
            <w:bottom w:w="0" w:type="dxa"/>
            <w:right w:w="108" w:type="dxa"/>
          </w:tblCellMar>
        </w:tblPrEx>
        <w:trPr>
          <w:trHeight w:val="714"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74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34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p>
        </w:tc>
        <w:tc>
          <w:tcPr>
            <w:tcW w:w="219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eastAsia="zh-CN"/>
              </w:rPr>
              <w:t>群团组织管理规范化，管理水平提高</w:t>
            </w:r>
          </w:p>
        </w:tc>
        <w:tc>
          <w:tcPr>
            <w:tcW w:w="1026"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eastAsia="zh-CN"/>
              </w:rPr>
              <w:t>持续提高</w:t>
            </w:r>
          </w:p>
        </w:tc>
        <w:tc>
          <w:tcPr>
            <w:tcW w:w="126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eastAsia="zh-CN"/>
              </w:rPr>
              <w:t>持续提高</w:t>
            </w:r>
          </w:p>
        </w:tc>
        <w:tc>
          <w:tcPr>
            <w:tcW w:w="68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15</w:t>
            </w:r>
          </w:p>
        </w:tc>
        <w:tc>
          <w:tcPr>
            <w:tcW w:w="606"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14</w:t>
            </w:r>
          </w:p>
        </w:tc>
        <w:tc>
          <w:tcPr>
            <w:tcW w:w="90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eastAsia="zh-CN"/>
              </w:rPr>
              <w:t>群团组织高效运行有待进一步提高，总结经验，提高运行效率</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74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34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default" w:eastAsia="仿宋_GB2312" w:cs="Times New Roman"/>
                <w:color w:val="000000"/>
                <w:sz w:val="20"/>
                <w:szCs w:val="20"/>
                <w:lang w:eastAsia="zh-CN"/>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default" w:eastAsia="仿宋_GB2312" w:cs="Times New Roman"/>
                <w:color w:val="000000"/>
                <w:sz w:val="20"/>
                <w:szCs w:val="20"/>
                <w:lang w:eastAsia="zh-CN"/>
              </w:rPr>
              <w:t>指标</w:t>
            </w:r>
          </w:p>
        </w:tc>
        <w:tc>
          <w:tcPr>
            <w:tcW w:w="21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eastAsia="zh-CN"/>
              </w:rPr>
              <w:t>重大事项民主测评满意度</w:t>
            </w:r>
          </w:p>
        </w:tc>
        <w:tc>
          <w:tcPr>
            <w:tcW w:w="10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val="en-US" w:eastAsia="zh-CN"/>
              </w:rPr>
              <w:t>≥90%</w:t>
            </w:r>
          </w:p>
        </w:tc>
        <w:tc>
          <w:tcPr>
            <w:tcW w:w="12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val="en-US" w:eastAsia="zh-CN"/>
              </w:rPr>
              <w:t>100%</w:t>
            </w:r>
          </w:p>
        </w:tc>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6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74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34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eastAsia="zh-CN"/>
              </w:rPr>
              <w:t>老干部满意度</w:t>
            </w:r>
          </w:p>
        </w:tc>
        <w:tc>
          <w:tcPr>
            <w:tcW w:w="10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val="en-US" w:eastAsia="zh-CN"/>
              </w:rPr>
              <w:t>≥90%</w:t>
            </w:r>
          </w:p>
        </w:tc>
        <w:tc>
          <w:tcPr>
            <w:tcW w:w="12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eastAsia="zh-CN"/>
              </w:rPr>
            </w:pPr>
            <w:r>
              <w:rPr>
                <w:rFonts w:hint="eastAsia" w:eastAsia="仿宋_GB2312" w:cs="Times New Roman"/>
                <w:color w:val="000000"/>
                <w:sz w:val="20"/>
                <w:szCs w:val="20"/>
                <w:lang w:val="en-US" w:eastAsia="zh-CN"/>
              </w:rPr>
              <w:t>95%</w:t>
            </w:r>
          </w:p>
        </w:tc>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6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eastAsia="仿宋_GB2312" w:cs="Times New Roman"/>
                <w:color w:val="000000"/>
                <w:sz w:val="20"/>
                <w:szCs w:val="20"/>
                <w:lang w:val="en-US" w:eastAsia="zh-CN"/>
              </w:rPr>
            </w:pPr>
          </w:p>
        </w:tc>
      </w:tr>
      <w:tr>
        <w:tblPrEx>
          <w:tblCellMar>
            <w:top w:w="0" w:type="dxa"/>
            <w:left w:w="108" w:type="dxa"/>
            <w:bottom w:w="0" w:type="dxa"/>
            <w:right w:w="108" w:type="dxa"/>
          </w:tblCellMar>
        </w:tblPrEx>
        <w:trPr>
          <w:trHeight w:val="431" w:hRule="atLeast"/>
          <w:jc w:val="center"/>
        </w:trPr>
        <w:tc>
          <w:tcPr>
            <w:tcW w:w="7657"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68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606"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98</w:t>
            </w:r>
          </w:p>
        </w:tc>
        <w:tc>
          <w:tcPr>
            <w:tcW w:w="90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pStyle w:val="4"/>
        <w:rPr>
          <w:rFonts w:hint="eastAsia"/>
        </w:rPr>
      </w:pPr>
    </w:p>
    <w:p>
      <w:pPr>
        <w:rPr>
          <w:rFonts w:hint="eastAsia"/>
        </w:rPr>
      </w:pPr>
    </w:p>
    <w:p>
      <w:pPr>
        <w:jc w:val="left"/>
        <w:rPr>
          <w:rFonts w:hint="eastAsia" w:ascii="新宋体" w:hAnsi="新宋体" w:eastAsia="新宋体" w:cs="新宋体"/>
          <w:sz w:val="20"/>
          <w:szCs w:val="20"/>
          <w:lang w:eastAsia="zh-CN"/>
        </w:rPr>
      </w:pPr>
      <w:r>
        <w:rPr>
          <w:rFonts w:hint="eastAsia" w:ascii="新宋体" w:hAnsi="新宋体" w:eastAsia="新宋体" w:cs="新宋体"/>
          <w:sz w:val="20"/>
          <w:szCs w:val="20"/>
        </w:rPr>
        <w:t>填表人：</w:t>
      </w:r>
      <w:r>
        <w:rPr>
          <w:rFonts w:hint="eastAsia" w:ascii="新宋体" w:hAnsi="新宋体" w:eastAsia="新宋体" w:cs="新宋体"/>
          <w:sz w:val="20"/>
          <w:szCs w:val="20"/>
          <w:lang w:eastAsia="zh-CN"/>
        </w:rPr>
        <w:t>付欣</w:t>
      </w:r>
      <w:r>
        <w:rPr>
          <w:rFonts w:hint="eastAsia" w:ascii="新宋体" w:hAnsi="新宋体" w:eastAsia="新宋体" w:cs="新宋体"/>
          <w:sz w:val="20"/>
          <w:szCs w:val="20"/>
        </w:rPr>
        <w:t xml:space="preserve"> </w:t>
      </w:r>
      <w:r>
        <w:rPr>
          <w:rFonts w:hint="eastAsia" w:ascii="新宋体" w:hAnsi="新宋体" w:eastAsia="新宋体" w:cs="新宋体"/>
          <w:sz w:val="20"/>
          <w:szCs w:val="20"/>
          <w:lang w:val="en-US" w:eastAsia="zh-CN"/>
        </w:rPr>
        <w:t xml:space="preserve">   </w:t>
      </w:r>
      <w:r>
        <w:rPr>
          <w:rFonts w:hint="eastAsia" w:ascii="新宋体" w:hAnsi="新宋体" w:eastAsia="新宋体" w:cs="新宋体"/>
          <w:sz w:val="20"/>
          <w:szCs w:val="20"/>
        </w:rPr>
        <w:t>填报日期：</w:t>
      </w:r>
      <w:r>
        <w:rPr>
          <w:rFonts w:hint="eastAsia" w:ascii="新宋体" w:hAnsi="新宋体" w:eastAsia="新宋体" w:cs="新宋体"/>
          <w:sz w:val="20"/>
          <w:szCs w:val="20"/>
          <w:lang w:val="en-US" w:eastAsia="zh-CN"/>
        </w:rPr>
        <w:t>2023年7月12日</w:t>
      </w:r>
      <w:r>
        <w:rPr>
          <w:rFonts w:hint="eastAsia" w:ascii="新宋体" w:hAnsi="新宋体" w:eastAsia="新宋体" w:cs="新宋体"/>
          <w:sz w:val="20"/>
          <w:szCs w:val="20"/>
        </w:rPr>
        <w:t xml:space="preserve"> </w:t>
      </w:r>
      <w:r>
        <w:rPr>
          <w:rFonts w:hint="eastAsia" w:ascii="新宋体" w:hAnsi="新宋体" w:eastAsia="新宋体" w:cs="新宋体"/>
          <w:sz w:val="20"/>
          <w:szCs w:val="20"/>
          <w:lang w:val="en-US" w:eastAsia="zh-CN"/>
        </w:rPr>
        <w:t xml:space="preserve">  </w:t>
      </w:r>
      <w:r>
        <w:rPr>
          <w:rFonts w:hint="eastAsia" w:ascii="新宋体" w:hAnsi="新宋体" w:eastAsia="新宋体" w:cs="新宋体"/>
          <w:sz w:val="20"/>
          <w:szCs w:val="20"/>
        </w:rPr>
        <w:t>联系电话：</w:t>
      </w:r>
      <w:r>
        <w:rPr>
          <w:rFonts w:hint="eastAsia" w:ascii="新宋体" w:hAnsi="新宋体" w:eastAsia="新宋体" w:cs="新宋体"/>
          <w:sz w:val="20"/>
          <w:szCs w:val="20"/>
          <w:lang w:val="en-US" w:eastAsia="zh-CN"/>
        </w:rPr>
        <w:t>18073035580</w:t>
      </w:r>
      <w:r>
        <w:rPr>
          <w:rFonts w:hint="eastAsia" w:ascii="新宋体" w:hAnsi="新宋体" w:eastAsia="新宋体" w:cs="新宋体"/>
          <w:sz w:val="20"/>
          <w:szCs w:val="20"/>
        </w:rPr>
        <w:t xml:space="preserve">    单位负责人签字：</w:t>
      </w:r>
      <w:r>
        <w:rPr>
          <w:rFonts w:hint="eastAsia" w:ascii="新宋体" w:hAnsi="新宋体" w:eastAsia="新宋体" w:cs="新宋体"/>
          <w:sz w:val="20"/>
          <w:szCs w:val="20"/>
          <w:lang w:eastAsia="zh-CN"/>
        </w:rPr>
        <w:t>刘晓燕</w:t>
      </w:r>
      <w:bookmarkStart w:id="0" w:name="_GoBack"/>
      <w:bookmarkEnd w:id="0"/>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华容县老干部活动中心项目</w:t>
      </w:r>
      <w:r>
        <w:rPr>
          <w:rFonts w:hint="eastAsia" w:ascii="方正小标宋简体" w:hAnsi="方正小标宋简体" w:eastAsia="方正小标宋简体" w:cs="方正小标宋简体"/>
          <w:sz w:val="44"/>
          <w:szCs w:val="44"/>
        </w:rPr>
        <w:t>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eastAsia" w:ascii="方正小标宋简体" w:hAnsi="方正小标宋简体" w:eastAsia="方正小标宋简体" w:cs="方正小标宋简体"/>
          <w:sz w:val="44"/>
          <w:szCs w:val="44"/>
        </w:rPr>
      </w:pPr>
      <w:r>
        <w:rPr>
          <w:rFonts w:hint="default" w:ascii="Times New Roman" w:hAnsi="Times New Roman" w:eastAsia="楷体_GB2312" w:cs="Times New Roman"/>
          <w:sz w:val="32"/>
          <w:szCs w:val="32"/>
        </w:rPr>
        <w:t>年  月  日</w:t>
      </w: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华容县老干部活动中心项目</w:t>
      </w:r>
      <w:r>
        <w:rPr>
          <w:rFonts w:hint="eastAsia" w:ascii="方正小标宋简体" w:hAnsi="方正小标宋简体" w:eastAsia="方正小标宋简体" w:cs="方正小标宋简体"/>
          <w:sz w:val="44"/>
          <w:szCs w:val="44"/>
        </w:rPr>
        <w:t>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(一)项目概况。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default"/>
          <w:lang w:val="en-US" w:eastAsia="zh-CN"/>
        </w:rPr>
      </w:pPr>
      <w:r>
        <w:rPr>
          <w:rFonts w:hint="eastAsia" w:eastAsia="仿宋_GB2312"/>
          <w:sz w:val="30"/>
          <w:szCs w:val="30"/>
          <w:lang w:val="en-US" w:eastAsia="zh-CN"/>
        </w:rPr>
        <w:t>2022年华容县老干部活动中心专项经费419.3万元。该专项资金用于老干部活动中心开展各项活动工作经费，主要包括发放离休干部离休费、津补贴、护理费、交通费、遗孀配偶生活补助、生活补贴、健康休养费、建国初期退休干部生活补贴及医疗补贴、行政事业单位离休干部绩效奖；开展离退休干部慰问；组织开展全县老干部重阳节、新春活动；老年大学、关工委、老年体协、老年保健协会、老科协等8个群团组织工作经费；发放离休干部抚恤金；开展全县老干支部调研等老干党建工作；维护维修老干部活动场所及办公场所；维护更新“美在金秋”老党员之家；开展“四就近”工作。</w:t>
      </w:r>
    </w:p>
    <w:p>
      <w:pPr>
        <w:keepNext w:val="0"/>
        <w:keepLines w:val="0"/>
        <w:pageBreakBefore w:val="0"/>
        <w:numPr>
          <w:ilvl w:val="0"/>
          <w:numId w:val="3"/>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项目绩效目标。</w:t>
      </w:r>
    </w:p>
    <w:p>
      <w:pPr>
        <w:pStyle w:val="2"/>
        <w:rPr>
          <w:rFonts w:hint="eastAsia" w:eastAsia="仿宋_GB2312" w:cs="Times New Roman"/>
          <w:kern w:val="2"/>
          <w:sz w:val="30"/>
          <w:szCs w:val="30"/>
          <w:lang w:val="en-US" w:eastAsia="zh-CN" w:bidi="ar-SA"/>
        </w:rPr>
      </w:pPr>
      <w:r>
        <w:rPr>
          <w:rFonts w:hint="eastAsia" w:eastAsia="仿宋_GB2312" w:cs="Times New Roman"/>
          <w:kern w:val="2"/>
          <w:sz w:val="30"/>
          <w:szCs w:val="30"/>
          <w:lang w:val="en-US" w:eastAsia="zh-CN" w:bidi="ar-SA"/>
        </w:rPr>
        <w:t>目标1：保障管理的离退休干部生活待遇、政治待遇全面落实，关心关爱老干部。</w:t>
      </w:r>
    </w:p>
    <w:p>
      <w:pPr>
        <w:pStyle w:val="2"/>
        <w:rPr>
          <w:rFonts w:hint="eastAsia" w:eastAsia="仿宋_GB2312" w:cs="Times New Roman"/>
          <w:kern w:val="2"/>
          <w:sz w:val="30"/>
          <w:szCs w:val="30"/>
          <w:lang w:val="en-US" w:eastAsia="zh-CN" w:bidi="ar-SA"/>
        </w:rPr>
      </w:pPr>
      <w:r>
        <w:rPr>
          <w:rFonts w:hint="eastAsia" w:eastAsia="仿宋_GB2312" w:cs="Times New Roman"/>
          <w:kern w:val="2"/>
          <w:sz w:val="30"/>
          <w:szCs w:val="30"/>
          <w:lang w:val="en-US" w:eastAsia="zh-CN" w:bidi="ar-SA"/>
        </w:rPr>
        <w:t>目标2：协助支持老年群团组织发展，引导支持老干部发挥余热；办好老年大学，发展县老年教育事业。</w:t>
      </w:r>
    </w:p>
    <w:p>
      <w:pPr>
        <w:pStyle w:val="2"/>
        <w:rPr>
          <w:rFonts w:hint="eastAsia" w:eastAsia="仿宋_GB2312" w:cs="Times New Roman"/>
          <w:kern w:val="2"/>
          <w:sz w:val="30"/>
          <w:szCs w:val="30"/>
          <w:lang w:val="en-US" w:eastAsia="zh-CN" w:bidi="ar-SA"/>
        </w:rPr>
      </w:pPr>
      <w:r>
        <w:rPr>
          <w:rFonts w:hint="eastAsia" w:eastAsia="仿宋_GB2312" w:cs="Times New Roman"/>
          <w:kern w:val="2"/>
          <w:sz w:val="30"/>
          <w:szCs w:val="30"/>
          <w:lang w:val="en-US" w:eastAsia="zh-CN" w:bidi="ar-SA"/>
        </w:rPr>
        <w:t>目标3：协助县委离退休工委开展老干部党建工作。</w:t>
      </w:r>
    </w:p>
    <w:p>
      <w:pPr>
        <w:pStyle w:val="2"/>
        <w:rPr>
          <w:rFonts w:hint="default" w:eastAsia="仿宋_GB2312" w:cs="Times New Roman"/>
          <w:kern w:val="2"/>
          <w:sz w:val="30"/>
          <w:szCs w:val="30"/>
          <w:lang w:val="en-US" w:eastAsia="zh-CN" w:bidi="ar-SA"/>
        </w:rPr>
      </w:pPr>
      <w:r>
        <w:rPr>
          <w:rFonts w:hint="eastAsia" w:eastAsia="仿宋_GB2312" w:cs="Times New Roman"/>
          <w:kern w:val="2"/>
          <w:sz w:val="30"/>
          <w:szCs w:val="30"/>
          <w:lang w:val="en-US" w:eastAsia="zh-CN" w:bidi="ar-SA"/>
        </w:rPr>
        <w:t>目标4：更新维护老干部办公场所、活动场所及或活动设施设备，为老干部开展活动提供条件。</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(一)绩效评价目的、对象和范围。</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项目支出事后绩效评价的目的，主要是检查项目支出绩效目标完成情况，揭示</w:t>
      </w:r>
      <w:r>
        <w:rPr>
          <w:rFonts w:hint="eastAsia" w:eastAsia="仿宋_GB2312"/>
          <w:sz w:val="30"/>
          <w:szCs w:val="30"/>
          <w:lang w:eastAsia="zh-CN"/>
        </w:rPr>
        <w:t>专项</w:t>
      </w:r>
      <w:r>
        <w:rPr>
          <w:rFonts w:hint="eastAsia" w:eastAsia="仿宋_GB2312"/>
          <w:sz w:val="30"/>
          <w:szCs w:val="30"/>
        </w:rPr>
        <w:t>预算执行过程中存在的问题，进而从数量、质量、时效、成本、效益等方面，综合衡量</w:t>
      </w:r>
      <w:r>
        <w:rPr>
          <w:rFonts w:hint="eastAsia" w:eastAsia="仿宋_GB2312"/>
          <w:sz w:val="30"/>
          <w:szCs w:val="30"/>
          <w:lang w:eastAsia="zh-CN"/>
        </w:rPr>
        <w:t>专项</w:t>
      </w:r>
      <w:r>
        <w:rPr>
          <w:rFonts w:hint="eastAsia" w:eastAsia="仿宋_GB2312"/>
          <w:sz w:val="30"/>
          <w:szCs w:val="30"/>
        </w:rPr>
        <w:t>预算资金管理使用效果，</w:t>
      </w:r>
      <w:r>
        <w:rPr>
          <w:rFonts w:hint="eastAsia" w:eastAsia="仿宋_GB2312"/>
          <w:sz w:val="30"/>
          <w:szCs w:val="30"/>
          <w:lang w:eastAsia="zh-CN"/>
        </w:rPr>
        <w:t>为单位</w:t>
      </w:r>
      <w:r>
        <w:rPr>
          <w:rFonts w:hint="eastAsia" w:eastAsia="仿宋_GB2312"/>
          <w:sz w:val="30"/>
          <w:szCs w:val="30"/>
        </w:rPr>
        <w:t>强化支出预算绩效管理提供依据，为以后年度预算安排提供参考。</w:t>
      </w:r>
    </w:p>
    <w:p>
      <w:pPr>
        <w:pStyle w:val="2"/>
        <w:rPr>
          <w:rFonts w:hint="eastAsia" w:ascii="Times New Roman" w:hAnsi="Times New Roman" w:eastAsia="仿宋_GB2312" w:cs="Times New Roman"/>
          <w:kern w:val="2"/>
          <w:sz w:val="30"/>
          <w:szCs w:val="30"/>
          <w:lang w:val="en-US" w:eastAsia="zh-CN" w:bidi="ar-SA"/>
        </w:rPr>
      </w:pPr>
      <w:r>
        <w:rPr>
          <w:rFonts w:hint="eastAsia" w:ascii="Times New Roman" w:hAnsi="Times New Roman" w:eastAsia="仿宋_GB2312" w:cs="Times New Roman"/>
          <w:kern w:val="2"/>
          <w:sz w:val="30"/>
          <w:szCs w:val="30"/>
          <w:lang w:val="en-US" w:eastAsia="zh-CN" w:bidi="ar-SA"/>
        </w:rPr>
        <w:t>项目支出绩效评价对象包括纳入部门单位预算和财政预算管理的所有项目支出。</w:t>
      </w:r>
    </w:p>
    <w:p>
      <w:pPr>
        <w:pStyle w:val="2"/>
        <w:rPr>
          <w:rFonts w:hint="eastAsia" w:eastAsia="仿宋_GB2312" w:cs="Times New Roman"/>
          <w:kern w:val="2"/>
          <w:sz w:val="30"/>
          <w:szCs w:val="30"/>
          <w:lang w:val="en-US" w:eastAsia="zh-CN" w:bidi="ar-SA"/>
        </w:rPr>
      </w:pPr>
      <w:r>
        <w:rPr>
          <w:rFonts w:hint="eastAsia" w:ascii="Times New Roman" w:hAnsi="Times New Roman" w:eastAsia="仿宋_GB2312" w:cs="Times New Roman"/>
          <w:kern w:val="2"/>
          <w:sz w:val="30"/>
          <w:szCs w:val="30"/>
          <w:lang w:val="en-US" w:eastAsia="zh-CN" w:bidi="ar-SA"/>
        </w:rPr>
        <w:t>项目支出绩效评价内容范围包括项目支出的绩效目标完成情况、预算资金执行情况</w:t>
      </w:r>
      <w:r>
        <w:rPr>
          <w:rFonts w:hint="eastAsia" w:eastAsia="仿宋_GB2312" w:cs="Times New Roman"/>
          <w:kern w:val="2"/>
          <w:sz w:val="30"/>
          <w:szCs w:val="30"/>
          <w:lang w:val="en-US" w:eastAsia="zh-CN" w:bidi="ar-SA"/>
        </w:rPr>
        <w:t>。</w:t>
      </w:r>
    </w:p>
    <w:p>
      <w:pPr>
        <w:keepNext w:val="0"/>
        <w:keepLines w:val="0"/>
        <w:pageBreakBefore w:val="0"/>
        <w:numPr>
          <w:ilvl w:val="0"/>
          <w:numId w:val="3"/>
        </w:numPr>
        <w:kinsoku/>
        <w:wordWrap/>
        <w:overflowPunct/>
        <w:topLinePunct w:val="0"/>
        <w:autoSpaceDE/>
        <w:autoSpaceDN/>
        <w:bidi w:val="0"/>
        <w:adjustRightInd/>
        <w:snapToGrid/>
        <w:spacing w:line="610" w:lineRule="exact"/>
        <w:ind w:left="0" w:leftChars="0" w:firstLine="600" w:firstLineChars="200"/>
        <w:textAlignment w:val="auto"/>
        <w:rPr>
          <w:rFonts w:hint="eastAsia" w:eastAsia="仿宋_GB2312"/>
          <w:sz w:val="30"/>
          <w:szCs w:val="30"/>
        </w:rPr>
      </w:pPr>
      <w:r>
        <w:rPr>
          <w:rFonts w:hint="eastAsia" w:eastAsia="仿宋_GB2312"/>
          <w:sz w:val="30"/>
          <w:szCs w:val="30"/>
        </w:rPr>
        <w:t>绩效评价原则、评价指标体系(附表说明)、评价方法、 评价标准等。</w:t>
      </w:r>
    </w:p>
    <w:p>
      <w:pPr>
        <w:pStyle w:val="2"/>
        <w:rPr>
          <w:rFonts w:hint="eastAsia" w:ascii="Times New Roman" w:hAnsi="Times New Roman" w:eastAsia="仿宋_GB2312" w:cs="Times New Roman"/>
          <w:kern w:val="2"/>
          <w:sz w:val="30"/>
          <w:szCs w:val="30"/>
          <w:lang w:val="en-US" w:eastAsia="zh-CN" w:bidi="ar-SA"/>
        </w:rPr>
      </w:pPr>
      <w:r>
        <w:rPr>
          <w:rFonts w:hint="eastAsia" w:ascii="Times New Roman" w:hAnsi="Times New Roman" w:eastAsia="仿宋_GB2312" w:cs="Times New Roman"/>
          <w:kern w:val="2"/>
          <w:sz w:val="30"/>
          <w:szCs w:val="30"/>
          <w:lang w:val="en-US" w:eastAsia="zh-CN" w:bidi="ar-SA"/>
        </w:rPr>
        <w:t>绩效评价坚持</w:t>
      </w:r>
      <w:r>
        <w:rPr>
          <w:rFonts w:hint="eastAsia" w:eastAsia="仿宋_GB2312" w:cs="Times New Roman"/>
          <w:kern w:val="2"/>
          <w:sz w:val="30"/>
          <w:szCs w:val="30"/>
          <w:lang w:val="en-US" w:eastAsia="zh-CN" w:bidi="ar-SA"/>
        </w:rPr>
        <w:t>科学公正、公开透明的原则，采用目标比较法，采取定性与定量评价相结合的方式，利用项目支出评价指标体系（见附件5：2022年度项目支出绩效自评表）对单位项目支出绩效自评价表格中的总体目标和各项绩效指标逐项进行评价分析。</w:t>
      </w:r>
    </w:p>
    <w:p>
      <w:pPr>
        <w:keepNext w:val="0"/>
        <w:keepLines w:val="0"/>
        <w:pageBreakBefore w:val="0"/>
        <w:numPr>
          <w:ilvl w:val="0"/>
          <w:numId w:val="3"/>
        </w:numPr>
        <w:kinsoku/>
        <w:wordWrap/>
        <w:overflowPunct/>
        <w:topLinePunct w:val="0"/>
        <w:autoSpaceDE/>
        <w:autoSpaceDN/>
        <w:bidi w:val="0"/>
        <w:adjustRightInd/>
        <w:snapToGrid/>
        <w:spacing w:line="610" w:lineRule="exact"/>
        <w:ind w:left="0" w:leftChars="0" w:firstLine="600" w:firstLineChars="200"/>
        <w:textAlignment w:val="auto"/>
        <w:rPr>
          <w:rFonts w:hint="eastAsia" w:eastAsia="仿宋_GB2312"/>
          <w:sz w:val="30"/>
          <w:szCs w:val="30"/>
          <w:highlight w:val="none"/>
        </w:rPr>
      </w:pPr>
      <w:r>
        <w:rPr>
          <w:rFonts w:hint="eastAsia" w:eastAsia="仿宋_GB2312"/>
          <w:sz w:val="30"/>
          <w:szCs w:val="30"/>
          <w:highlight w:val="none"/>
        </w:rPr>
        <w:t>绩效评价工作过程。</w:t>
      </w:r>
    </w:p>
    <w:p>
      <w:pPr>
        <w:pStyle w:val="2"/>
        <w:rPr>
          <w:rFonts w:hint="eastAsia" w:eastAsia="仿宋_GB2312" w:cs="Times New Roman"/>
          <w:kern w:val="2"/>
          <w:sz w:val="30"/>
          <w:szCs w:val="30"/>
          <w:lang w:val="en-US" w:eastAsia="zh-CN" w:bidi="ar-SA"/>
        </w:rPr>
      </w:pPr>
      <w:r>
        <w:rPr>
          <w:rFonts w:hint="eastAsia" w:eastAsia="仿宋_GB2312" w:cs="Times New Roman"/>
          <w:kern w:val="2"/>
          <w:sz w:val="30"/>
          <w:szCs w:val="30"/>
          <w:lang w:val="en-US" w:eastAsia="zh-CN" w:bidi="ar-SA"/>
        </w:rPr>
        <w:t>前期准备：制定相关预算计划，及绩效目标。</w:t>
      </w:r>
    </w:p>
    <w:p>
      <w:pPr>
        <w:pStyle w:val="2"/>
        <w:rPr>
          <w:rFonts w:hint="eastAsia" w:eastAsia="仿宋_GB2312" w:cs="Times New Roman"/>
          <w:kern w:val="2"/>
          <w:sz w:val="30"/>
          <w:szCs w:val="30"/>
          <w:lang w:val="en-US" w:eastAsia="zh-CN" w:bidi="ar-SA"/>
        </w:rPr>
      </w:pPr>
      <w:r>
        <w:rPr>
          <w:rFonts w:hint="eastAsia" w:eastAsia="仿宋_GB2312" w:cs="Times New Roman"/>
          <w:kern w:val="2"/>
          <w:sz w:val="30"/>
          <w:szCs w:val="30"/>
          <w:lang w:val="en-US" w:eastAsia="zh-CN" w:bidi="ar-SA"/>
        </w:rPr>
        <w:t>组织实施：加强经费审批与控制，规范支出标准与范围并严格执行。</w:t>
      </w:r>
    </w:p>
    <w:p>
      <w:pPr>
        <w:pStyle w:val="2"/>
        <w:rPr>
          <w:rFonts w:hint="default" w:eastAsia="仿宋_GB2312" w:cs="Times New Roman"/>
          <w:kern w:val="2"/>
          <w:sz w:val="30"/>
          <w:szCs w:val="30"/>
          <w:lang w:val="en-US" w:eastAsia="zh-CN" w:bidi="ar-SA"/>
        </w:rPr>
      </w:pPr>
      <w:r>
        <w:rPr>
          <w:rFonts w:hint="eastAsia" w:eastAsia="仿宋_GB2312" w:cs="Times New Roman"/>
          <w:kern w:val="2"/>
          <w:sz w:val="30"/>
          <w:szCs w:val="30"/>
          <w:lang w:val="en-US" w:eastAsia="zh-CN" w:bidi="ar-SA"/>
        </w:rPr>
        <w:t>分析评价：按照年初目标，分析评价项目资金完成情况。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highlight w:val="none"/>
        </w:rPr>
      </w:pPr>
      <w:r>
        <w:rPr>
          <w:rFonts w:hint="eastAsia" w:ascii="黑体" w:hAnsi="黑体" w:eastAsia="黑体" w:cs="黑体"/>
          <w:sz w:val="30"/>
          <w:szCs w:val="30"/>
          <w:highlight w:val="none"/>
        </w:rPr>
        <w:t xml:space="preserve">三、综合评价情况及评价结论 </w:t>
      </w:r>
    </w:p>
    <w:p>
      <w:pPr>
        <w:pStyle w:val="2"/>
        <w:rPr>
          <w:rFonts w:hint="default" w:eastAsia="仿宋_GB2312" w:cs="Times New Roman"/>
          <w:kern w:val="2"/>
          <w:sz w:val="30"/>
          <w:szCs w:val="30"/>
          <w:lang w:val="en-US" w:eastAsia="zh-CN" w:bidi="ar-SA"/>
        </w:rPr>
      </w:pPr>
      <w:r>
        <w:rPr>
          <w:rFonts w:hint="eastAsia" w:eastAsia="仿宋_GB2312" w:cs="Times New Roman"/>
          <w:kern w:val="2"/>
          <w:sz w:val="30"/>
          <w:szCs w:val="30"/>
          <w:lang w:val="en-US" w:eastAsia="zh-CN" w:bidi="ar-SA"/>
        </w:rPr>
        <w:t>严格遵守各项财经法规和财务管理制度规定，资金申报符合财政流程，资金支出符合预算用途，自评综合得分98分。</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(一)项目决策情况。</w:t>
      </w:r>
    </w:p>
    <w:p>
      <w:pPr>
        <w:pStyle w:val="2"/>
        <w:rPr>
          <w:rFonts w:hint="default" w:eastAsia="仿宋_GB2312" w:cs="Times New Roman"/>
          <w:kern w:val="2"/>
          <w:sz w:val="30"/>
          <w:szCs w:val="30"/>
          <w:lang w:val="en-US" w:eastAsia="zh-CN" w:bidi="ar-SA"/>
        </w:rPr>
      </w:pPr>
      <w:r>
        <w:rPr>
          <w:rFonts w:hint="eastAsia" w:eastAsia="仿宋_GB2312" w:cs="Times New Roman"/>
          <w:kern w:val="2"/>
          <w:sz w:val="30"/>
          <w:szCs w:val="30"/>
          <w:lang w:val="en-US" w:eastAsia="zh-CN" w:bidi="ar-SA"/>
        </w:rPr>
        <w:t>中心组织班子成员进行研究决策，对专项资金的使用设立了明确的目标。</w:t>
      </w:r>
    </w:p>
    <w:p>
      <w:pPr>
        <w:keepNext w:val="0"/>
        <w:keepLines w:val="0"/>
        <w:pageBreakBefore w:val="0"/>
        <w:numPr>
          <w:ilvl w:val="0"/>
          <w:numId w:val="4"/>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项目过程情况。</w:t>
      </w:r>
    </w:p>
    <w:p>
      <w:pPr>
        <w:pStyle w:val="2"/>
        <w:rPr>
          <w:rFonts w:hint="eastAsia" w:eastAsia="仿宋_GB2312" w:cs="Times New Roman"/>
          <w:kern w:val="2"/>
          <w:sz w:val="30"/>
          <w:szCs w:val="30"/>
          <w:lang w:val="en-US" w:eastAsia="zh-CN" w:bidi="ar-SA"/>
        </w:rPr>
      </w:pPr>
      <w:r>
        <w:rPr>
          <w:rFonts w:hint="eastAsia" w:eastAsia="仿宋_GB2312" w:cs="Times New Roman"/>
          <w:kern w:val="2"/>
          <w:sz w:val="30"/>
          <w:szCs w:val="30"/>
          <w:lang w:val="en-US" w:eastAsia="zh-CN" w:bidi="ar-SA"/>
        </w:rPr>
        <w:t>资金到位情况：2022年项目资金调整预算419.3万，实际到位419.3万，资金到位没有影响工作的正常开展。</w:t>
      </w:r>
    </w:p>
    <w:p>
      <w:pPr>
        <w:pStyle w:val="2"/>
        <w:rPr>
          <w:rFonts w:hint="default" w:eastAsia="仿宋_GB2312" w:cs="Times New Roman"/>
          <w:kern w:val="2"/>
          <w:sz w:val="30"/>
          <w:szCs w:val="30"/>
          <w:lang w:val="en-US" w:eastAsia="zh-CN" w:bidi="ar-SA"/>
        </w:rPr>
      </w:pPr>
      <w:r>
        <w:rPr>
          <w:rFonts w:hint="eastAsia" w:eastAsia="仿宋_GB2312" w:cs="Times New Roman"/>
          <w:kern w:val="2"/>
          <w:sz w:val="30"/>
          <w:szCs w:val="30"/>
          <w:lang w:val="en-US" w:eastAsia="zh-CN" w:bidi="ar-SA"/>
        </w:rPr>
        <w:t>资金分配情况：老干部待遇专项166.37万，老干部慰问与重阳新春活动经费19.69万，老年大学及群团组织经费89.32万，老干部抚恤金122.74万，老干支部建设经费2.8万，维修维护经费15.54万，“美在金秋”专项1.94万，“四就近”专项0.9万。</w:t>
      </w:r>
    </w:p>
    <w:p>
      <w:pPr>
        <w:keepNext w:val="0"/>
        <w:keepLines w:val="0"/>
        <w:pageBreakBefore w:val="0"/>
        <w:numPr>
          <w:ilvl w:val="0"/>
          <w:numId w:val="4"/>
        </w:numPr>
        <w:kinsoku/>
        <w:wordWrap/>
        <w:overflowPunct/>
        <w:topLinePunct w:val="0"/>
        <w:autoSpaceDE/>
        <w:autoSpaceDN/>
        <w:bidi w:val="0"/>
        <w:adjustRightInd/>
        <w:snapToGrid/>
        <w:spacing w:line="610" w:lineRule="exact"/>
        <w:ind w:left="0" w:leftChars="0" w:firstLine="600" w:firstLineChars="200"/>
        <w:textAlignment w:val="auto"/>
        <w:rPr>
          <w:rFonts w:hint="eastAsia" w:eastAsia="仿宋_GB2312"/>
          <w:sz w:val="30"/>
          <w:szCs w:val="30"/>
        </w:rPr>
      </w:pPr>
      <w:r>
        <w:rPr>
          <w:rFonts w:hint="eastAsia" w:eastAsia="仿宋_GB2312"/>
          <w:sz w:val="30"/>
          <w:szCs w:val="30"/>
        </w:rPr>
        <w:t>项目产出情况。</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eastAsia="仿宋_GB2312" w:cs="Times New Roman"/>
          <w:kern w:val="2"/>
          <w:sz w:val="30"/>
          <w:szCs w:val="30"/>
          <w:lang w:val="en-US" w:eastAsia="zh-CN" w:bidi="ar-SA"/>
        </w:rPr>
      </w:pPr>
      <w:r>
        <w:rPr>
          <w:rFonts w:hint="eastAsia" w:eastAsia="仿宋_GB2312" w:cs="Times New Roman"/>
          <w:kern w:val="2"/>
          <w:sz w:val="30"/>
          <w:szCs w:val="30"/>
          <w:lang w:val="en-US" w:eastAsia="zh-CN" w:bidi="ar-SA"/>
        </w:rPr>
        <w:t>1、根据相关政策文件及老干中心管理范围，2022年共发放离休干部基本离休费35.14万，津补贴38.66万，护理费23万，交通费0.13万，生活补贴16.84万，无固定收入遗孀配偶生活补贴18.9万；建国初期退休干部生活补贴13.5万，医疗补贴10.4万；健康休养费0.64万，离休干部绩效奖9.18万。</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val="en-US" w:eastAsia="zh-CN"/>
        </w:rPr>
      </w:pPr>
      <w:r>
        <w:rPr>
          <w:rFonts w:hint="eastAsia" w:eastAsia="仿宋_GB2312"/>
          <w:sz w:val="30"/>
          <w:szCs w:val="30"/>
          <w:lang w:val="en-US" w:eastAsia="zh-CN"/>
        </w:rPr>
        <w:t>2、每季度针对离休干部至少开展一次上门慰问，日常对离休干部、管理范围的退休干部生日、住院、去世等进行看望慰问。召开全县老干部重阳座谈会、新春座谈会，开展特殊慰问。全年共支出19.69万，用于老干部慰问等相关服务工作。</w:t>
      </w:r>
    </w:p>
    <w:p>
      <w:pPr>
        <w:pStyle w:val="2"/>
        <w:rPr>
          <w:rFonts w:hint="eastAsia" w:eastAsia="仿宋_GB2312"/>
          <w:sz w:val="30"/>
          <w:szCs w:val="30"/>
          <w:lang w:val="en-US" w:eastAsia="zh-CN"/>
        </w:rPr>
      </w:pPr>
      <w:r>
        <w:rPr>
          <w:rFonts w:hint="eastAsia" w:eastAsia="仿宋_GB2312"/>
          <w:sz w:val="30"/>
          <w:szCs w:val="30"/>
          <w:lang w:val="en-US" w:eastAsia="zh-CN"/>
        </w:rPr>
        <w:t>3、支持老年大学等8个群团组织发展，全年老年大学支出21.3万，老科协支出12.9万，关工委支出22.1万，老保协支出7.37万，老体协支出16.54万，老年书画家协会支出6.12万，老年诗词协会支出2.1万，乒乓球协会经费1.5万。</w:t>
      </w:r>
    </w:p>
    <w:p>
      <w:pPr>
        <w:pStyle w:val="2"/>
        <w:rPr>
          <w:rFonts w:hint="eastAsia" w:eastAsia="仿宋_GB2312"/>
          <w:sz w:val="30"/>
          <w:szCs w:val="30"/>
          <w:lang w:val="en-US" w:eastAsia="zh-CN"/>
        </w:rPr>
      </w:pPr>
      <w:r>
        <w:rPr>
          <w:rFonts w:hint="eastAsia" w:eastAsia="仿宋_GB2312"/>
          <w:sz w:val="30"/>
          <w:szCs w:val="30"/>
          <w:lang w:val="en-US" w:eastAsia="zh-CN"/>
        </w:rPr>
        <w:t>4、办理离休干部死亡抚恤事项5件，申报并发放离休干部抚恤金122.74万。</w:t>
      </w:r>
    </w:p>
    <w:p>
      <w:pPr>
        <w:pStyle w:val="2"/>
        <w:rPr>
          <w:rFonts w:hint="default" w:eastAsia="仿宋_GB2312"/>
          <w:sz w:val="30"/>
          <w:szCs w:val="30"/>
          <w:lang w:val="en-US" w:eastAsia="zh-CN"/>
        </w:rPr>
      </w:pPr>
      <w:r>
        <w:rPr>
          <w:rFonts w:hint="eastAsia" w:eastAsia="仿宋_GB2312"/>
          <w:sz w:val="30"/>
          <w:szCs w:val="30"/>
          <w:lang w:val="en-US" w:eastAsia="zh-CN"/>
        </w:rPr>
        <w:t>5、安排15.54万，用于维修维护活动中心室内门球场顶膜及相关设施，中心办公场所及设备，为老干部开展活动，发挥余热提供场所条件。</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(四)项目效益情况。</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华文仿宋" w:hAnsi="华文仿宋" w:eastAsia="华文仿宋" w:cs="华文仿宋"/>
          <w:sz w:val="32"/>
          <w:szCs w:val="32"/>
        </w:rPr>
      </w:pPr>
      <w:r>
        <w:rPr>
          <w:rFonts w:hint="eastAsia" w:ascii="楷体" w:hAnsi="楷体" w:eastAsia="楷体" w:cs="楷体"/>
          <w:b/>
          <w:bCs/>
          <w:sz w:val="32"/>
          <w:szCs w:val="32"/>
          <w:lang w:val="en-US" w:eastAsia="zh-CN"/>
        </w:rPr>
        <w:t>（一）全面提升党建水平。</w:t>
      </w:r>
      <w:r>
        <w:rPr>
          <w:rFonts w:hint="eastAsia" w:ascii="华文仿宋" w:hAnsi="华文仿宋" w:eastAsia="华文仿宋" w:cs="华文仿宋"/>
          <w:sz w:val="32"/>
          <w:szCs w:val="32"/>
          <w:lang w:eastAsia="zh-CN"/>
        </w:rPr>
        <w:t>持续开展</w:t>
      </w:r>
      <w:r>
        <w:rPr>
          <w:rFonts w:hint="eastAsia" w:ascii="华文仿宋" w:hAnsi="华文仿宋" w:eastAsia="华文仿宋" w:cs="华文仿宋"/>
          <w:sz w:val="32"/>
          <w:szCs w:val="32"/>
        </w:rPr>
        <w:t>“</w:t>
      </w:r>
      <w:r>
        <w:rPr>
          <w:rFonts w:hint="eastAsia" w:ascii="华文仿宋" w:hAnsi="华文仿宋" w:eastAsia="华文仿宋" w:cs="华文仿宋"/>
          <w:sz w:val="32"/>
          <w:szCs w:val="32"/>
          <w:lang w:eastAsia="zh-CN"/>
        </w:rPr>
        <w:t>我为老干部办实事</w:t>
      </w:r>
      <w:r>
        <w:rPr>
          <w:rFonts w:hint="eastAsia" w:ascii="华文仿宋" w:hAnsi="华文仿宋" w:eastAsia="华文仿宋" w:cs="华文仿宋"/>
          <w:sz w:val="32"/>
          <w:szCs w:val="32"/>
        </w:rPr>
        <w:t>”活动，</w:t>
      </w:r>
      <w:r>
        <w:rPr>
          <w:rFonts w:hint="eastAsia" w:ascii="华文仿宋" w:hAnsi="华文仿宋" w:eastAsia="华文仿宋" w:cs="华文仿宋"/>
          <w:sz w:val="32"/>
          <w:szCs w:val="32"/>
          <w:lang w:eastAsia="zh-CN"/>
        </w:rPr>
        <w:t>全年</w:t>
      </w:r>
      <w:r>
        <w:rPr>
          <w:rFonts w:hint="eastAsia" w:ascii="华文仿宋" w:hAnsi="华文仿宋" w:eastAsia="华文仿宋" w:cs="华文仿宋"/>
          <w:sz w:val="32"/>
          <w:szCs w:val="32"/>
        </w:rPr>
        <w:t>为</w:t>
      </w:r>
      <w:r>
        <w:rPr>
          <w:rFonts w:hint="eastAsia" w:ascii="华文仿宋" w:hAnsi="华文仿宋" w:eastAsia="华文仿宋" w:cs="华文仿宋"/>
          <w:sz w:val="32"/>
          <w:szCs w:val="32"/>
          <w:lang w:eastAsia="zh-CN"/>
        </w:rPr>
        <w:t>离休干部、遗孀配偶</w:t>
      </w:r>
      <w:r>
        <w:rPr>
          <w:rFonts w:hint="eastAsia" w:ascii="华文仿宋" w:hAnsi="华文仿宋" w:eastAsia="华文仿宋" w:cs="华文仿宋"/>
          <w:sz w:val="32"/>
          <w:szCs w:val="32"/>
        </w:rPr>
        <w:t>办实事</w:t>
      </w:r>
      <w:r>
        <w:rPr>
          <w:rFonts w:hint="eastAsia" w:ascii="华文仿宋" w:hAnsi="华文仿宋" w:eastAsia="华文仿宋" w:cs="华文仿宋"/>
          <w:sz w:val="32"/>
          <w:szCs w:val="32"/>
          <w:lang w:val="en-US" w:eastAsia="zh-CN"/>
        </w:rPr>
        <w:t>14</w:t>
      </w:r>
      <w:r>
        <w:rPr>
          <w:rFonts w:hint="eastAsia" w:ascii="华文仿宋" w:hAnsi="华文仿宋" w:eastAsia="华文仿宋" w:cs="华文仿宋"/>
          <w:sz w:val="32"/>
          <w:szCs w:val="32"/>
        </w:rPr>
        <w:t>件。</w:t>
      </w:r>
      <w:r>
        <w:rPr>
          <w:rFonts w:hint="eastAsia" w:ascii="仿宋" w:hAnsi="仿宋" w:eastAsia="仿宋" w:cs="仿宋"/>
          <w:b w:val="0"/>
          <w:bCs w:val="0"/>
          <w:sz w:val="32"/>
          <w:szCs w:val="32"/>
          <w:lang w:val="en-US" w:eastAsia="zh-CN"/>
        </w:rPr>
        <w:t>指导1个老干支部创建省级“示范支部”，2个创建市级“示范支部”。</w:t>
      </w:r>
      <w:r>
        <w:rPr>
          <w:rFonts w:hint="eastAsia" w:ascii="仿宋" w:hAnsi="仿宋" w:eastAsia="仿宋" w:cs="仿宋"/>
          <w:sz w:val="32"/>
          <w:szCs w:val="32"/>
          <w:lang w:val="en-US" w:eastAsia="zh-CN"/>
        </w:rPr>
        <w:t>先后组织离退休干部收看了5次网上报告会和2次知识竞答活动，参加由省委老干部局举行的“我看中国特色社会主义”征文活动，2名老干部获得省、市级荣誉，相关经验文章得到省市媒体的推介传播。</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（二）有力保障待遇落实。</w:t>
      </w:r>
      <w:r>
        <w:rPr>
          <w:rFonts w:hint="eastAsia" w:ascii="仿宋_GB2312" w:hAnsi="仿宋_GB2312" w:eastAsia="仿宋_GB2312"/>
          <w:sz w:val="32"/>
          <w:lang w:val="en-US" w:eastAsia="zh-CN"/>
        </w:rPr>
        <w:t>组织县城区所有离休干部和享受副县级以上待遇退休干部开展重阳节参观视察活动，开展春节座谈会，人数超120人；</w:t>
      </w:r>
      <w:r>
        <w:rPr>
          <w:rFonts w:hint="eastAsia" w:ascii="仿宋_GB2312" w:hAnsi="仿宋_GB2312" w:eastAsia="仿宋_GB2312"/>
          <w:sz w:val="32"/>
          <w:lang w:eastAsia="zh-CN"/>
        </w:rPr>
        <w:t>全年深入离退休干部家中走访慰问人均</w:t>
      </w:r>
      <w:r>
        <w:rPr>
          <w:rFonts w:hint="eastAsia" w:ascii="仿宋_GB2312" w:hAnsi="仿宋_GB2312" w:eastAsia="仿宋_GB2312"/>
          <w:sz w:val="32"/>
          <w:lang w:val="en-US" w:eastAsia="zh-CN"/>
        </w:rPr>
        <w:t>4次以上，整生上门送祝福8人次，离退休干部生病住院探望19人次，吊唁逝世离退休干部8人；</w:t>
      </w:r>
      <w:r>
        <w:rPr>
          <w:rFonts w:hint="eastAsia" w:ascii="仿宋_GB2312" w:hAnsi="仿宋_GB2312" w:eastAsia="仿宋_GB2312" w:cs="仿宋_GB2312"/>
          <w:sz w:val="32"/>
          <w:szCs w:val="32"/>
          <w:lang w:val="en-US" w:eastAsia="zh-CN"/>
        </w:rPr>
        <w:t>全县离休干部离休费等生活待遇资金足额及时发放到位，全年共发放离休干部打卡工资、护理费、交通费等生活待遇资金共166.4万；及时进行死亡离休干部的抚恤金申报与支付，全年发放离休干部抚恤金122.74万。</w:t>
      </w:r>
    </w:p>
    <w:p>
      <w:pPr>
        <w:ind w:firstLine="643" w:firstLineChars="200"/>
        <w:rPr>
          <w:rFonts w:hint="eastAsia" w:ascii="仿宋_GB2312" w:hAnsi="仿宋_GB2312" w:eastAsia="仿宋_GB2312" w:cs="仿宋_GB2312"/>
          <w:b w:val="0"/>
          <w:bCs w:val="0"/>
          <w:sz w:val="32"/>
          <w:szCs w:val="32"/>
          <w:lang w:val="en-US" w:eastAsia="zh-CN"/>
        </w:rPr>
      </w:pPr>
      <w:r>
        <w:rPr>
          <w:rFonts w:hint="eastAsia" w:ascii="楷体" w:hAnsi="楷体" w:eastAsia="楷体" w:cs="楷体"/>
          <w:b/>
          <w:bCs/>
          <w:sz w:val="32"/>
          <w:szCs w:val="32"/>
          <w:lang w:val="en-US" w:eastAsia="zh-CN"/>
        </w:rPr>
        <w:t>（三）优化活动开展形式。</w:t>
      </w:r>
      <w:r>
        <w:rPr>
          <w:rFonts w:hint="eastAsia" w:ascii="仿宋_GB2312" w:hAnsi="仿宋_GB2312" w:eastAsia="仿宋_GB2312" w:cs="仿宋_GB2312"/>
          <w:b w:val="0"/>
          <w:bCs w:val="0"/>
          <w:sz w:val="32"/>
          <w:szCs w:val="32"/>
          <w:lang w:val="en-US" w:eastAsia="zh-CN"/>
        </w:rPr>
        <w:t>协助县老年体协举办“三八”女子门球赛、夏季门球赛、“松柏杯”门球赛、全县老年人象棋赛、钓鱼比赛、门球月赛</w:t>
      </w:r>
      <w:r>
        <w:rPr>
          <w:rFonts w:hint="eastAsia" w:ascii="仿宋_GB2312" w:hAnsi="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部门单位邀请赛等赛事超7场；协助县关工委新班子制定《华容县关心下一代工作实施方案》提交县委常委会审议，开展“五老”倾情讲党史活动，活动人数逾百人。支持县老科协打造两个市级“科技示范基地”，开展2场“送健康”下乡活动。支持县老年保健协会开展“健康长寿老人”评选，为获奖老人颁发荣誉证书赠送纪念品，制作宣传手册上门讲解防疫知识。支持县诗词协会开展喜迎党的二十大诗词作品创作，联合县老年书画家协会举行“清廉华容，金秋在线”老年诗词书画作品展。</w:t>
      </w:r>
      <w:r>
        <w:rPr>
          <w:rFonts w:hint="eastAsia" w:ascii="仿宋" w:hAnsi="仿宋" w:eastAsia="仿宋" w:cs="仿宋"/>
          <w:sz w:val="32"/>
          <w:szCs w:val="32"/>
          <w:lang w:val="en-US" w:eastAsia="zh-CN"/>
        </w:rPr>
        <w:t>县老年大学招收老年学员近2000人次，创新形式组织开展了疏散逃生演练、</w:t>
      </w:r>
      <w:r>
        <w:rPr>
          <w:rFonts w:hint="eastAsia" w:ascii="仿宋_GB2312" w:hAnsi="仿宋_GB2312" w:eastAsia="仿宋_GB2312" w:cs="仿宋_GB2312"/>
          <w:sz w:val="32"/>
          <w:szCs w:val="32"/>
          <w:lang w:val="en-US" w:eastAsia="zh-CN"/>
        </w:rPr>
        <w:t>诗词吟诵会等活动5次。</w:t>
      </w:r>
    </w:p>
    <w:p>
      <w:pPr>
        <w:pStyle w:val="7"/>
        <w:keepNext w:val="0"/>
        <w:keepLines w:val="0"/>
        <w:pageBreakBefore w:val="0"/>
        <w:widowControl/>
        <w:kinsoku/>
        <w:wordWrap/>
        <w:overflowPunct/>
        <w:topLinePunct w:val="0"/>
        <w:autoSpaceDE/>
        <w:autoSpaceDN/>
        <w:bidi w:val="0"/>
        <w:adjustRightInd/>
        <w:snapToGrid/>
        <w:spacing w:line="610" w:lineRule="exact"/>
        <w:ind w:firstLine="643" w:firstLineChars="200"/>
        <w:jc w:val="both"/>
        <w:textAlignment w:val="auto"/>
        <w:rPr>
          <w:rFonts w:hint="eastAsia"/>
        </w:rPr>
      </w:pPr>
      <w:r>
        <w:rPr>
          <w:rFonts w:hint="eastAsia" w:ascii="楷体" w:hAnsi="楷体" w:eastAsia="楷体" w:cs="楷体"/>
          <w:b/>
          <w:bCs/>
          <w:sz w:val="32"/>
          <w:szCs w:val="32"/>
          <w:lang w:val="en-US" w:eastAsia="zh-CN"/>
        </w:rPr>
        <w:t>（四）协力提质</w:t>
      </w:r>
      <w:r>
        <w:rPr>
          <w:rFonts w:hint="eastAsia" w:ascii="楷体" w:hAnsi="楷体" w:eastAsia="楷体" w:cs="楷体"/>
          <w:b/>
          <w:bCs/>
          <w:kern w:val="2"/>
          <w:sz w:val="32"/>
          <w:szCs w:val="32"/>
          <w:lang w:val="en-US" w:eastAsia="zh-CN" w:bidi="ar-SA"/>
        </w:rPr>
        <w:t>活动场所。</w:t>
      </w:r>
      <w:r>
        <w:rPr>
          <w:rFonts w:hint="eastAsia" w:ascii="仿宋_GB2312" w:hAnsi="仿宋_GB2312" w:eastAsia="仿宋_GB2312" w:cs="仿宋_GB2312"/>
          <w:b w:val="0"/>
          <w:bCs w:val="0"/>
          <w:kern w:val="2"/>
          <w:sz w:val="32"/>
          <w:szCs w:val="32"/>
          <w:lang w:val="en-US" w:eastAsia="zh-CN" w:bidi="ar-SA"/>
        </w:rPr>
        <w:t>班子领导经过多方汇报，积极向财政争取资金9.8万元，用于对</w:t>
      </w:r>
      <w:r>
        <w:rPr>
          <w:rFonts w:hint="eastAsia" w:ascii="仿宋_GB2312" w:hAnsi="仿宋_GB2312" w:eastAsia="仿宋_GB2312" w:cs="仿宋_GB2312"/>
          <w:b w:val="0"/>
          <w:bCs w:val="0"/>
          <w:sz w:val="32"/>
          <w:szCs w:val="32"/>
          <w:lang w:val="en-US" w:eastAsia="zh-CN"/>
        </w:rPr>
        <w:t>室内</w:t>
      </w:r>
      <w:r>
        <w:rPr>
          <w:rFonts w:hint="eastAsia" w:ascii="仿宋_GB2312" w:hAnsi="仿宋_GB2312" w:eastAsia="仿宋_GB2312" w:cs="仿宋_GB2312"/>
          <w:sz w:val="32"/>
          <w:szCs w:val="32"/>
          <w:lang w:val="en-US" w:eastAsia="zh-CN"/>
        </w:rPr>
        <w:t>门球场顶棚防雨防晒膜进行维修改造，</w:t>
      </w:r>
      <w:r>
        <w:rPr>
          <w:rFonts w:hint="eastAsia" w:ascii="仿宋" w:hAnsi="仿宋" w:eastAsia="仿宋" w:cs="仿宋"/>
          <w:sz w:val="32"/>
          <w:szCs w:val="32"/>
          <w:lang w:val="en-US" w:eastAsia="zh-CN"/>
        </w:rPr>
        <w:t>室内门球场整修一新。</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lang w:val="en-US" w:eastAsia="zh-CN"/>
        </w:rPr>
      </w:pPr>
      <w:r>
        <w:rPr>
          <w:rFonts w:hint="eastAsia" w:eastAsia="仿宋_GB2312" w:cs="Times New Roman"/>
          <w:sz w:val="32"/>
          <w:szCs w:val="32"/>
          <w:lang w:eastAsia="zh-CN"/>
        </w:rPr>
        <w:t>基本支出与项目支出年初预算与年末决算差额大。由于每年年初预算金额仅预算基本支出，项目支出按财政年度财力情况予以安排，所以在预算执行中存在预算调整的情况。</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rPr>
      </w:pPr>
      <w:r>
        <w:rPr>
          <w:rFonts w:hint="default" w:ascii="Times New Roman" w:hAnsi="Times New Roman" w:eastAsia="仿宋_GB2312" w:cs="Times New Roman"/>
          <w:kern w:val="2"/>
          <w:sz w:val="32"/>
          <w:szCs w:val="32"/>
          <w:lang w:val="en-US" w:eastAsia="zh-CN" w:bidi="ar-SA"/>
        </w:rPr>
        <w:t>提高编制预算的科学性，确保预算的准确率。强化部门预算管理，改革预算编制方式，切实提高预算编制的科学性、精准度。根据年度内单位可预见的工作任务细化预算目标，科学合理地编制部门预算。规范部门预算收支核算，及时了解预算执行差异，与加强与财政相关部门沟通，合理调整、纠正预算执行偏差，确保各项预算资金足额拨付到位。</w:t>
      </w: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仿宋_GB2312" w:eastAsia="仿宋_GB2312"/>
          <w:sz w:val="32"/>
          <w:szCs w:val="32"/>
          <w:lang w:val="en-US" w:eastAsia="zh-CN"/>
        </w:rPr>
      </w:pPr>
      <w:r>
        <w:rPr>
          <w:rFonts w:hint="eastAsia" w:ascii="黑体" w:hAnsi="黑体" w:eastAsia="黑体" w:cs="黑体"/>
          <w:sz w:val="30"/>
          <w:szCs w:val="30"/>
          <w:lang w:eastAsia="zh-CN"/>
        </w:rPr>
        <w:t>六</w:t>
      </w:r>
      <w:r>
        <w:rPr>
          <w:rFonts w:hint="eastAsia" w:ascii="黑体" w:hAnsi="黑体" w:eastAsia="黑体" w:cs="黑体"/>
          <w:sz w:val="30"/>
          <w:szCs w:val="30"/>
        </w:rPr>
        <w:t>、其他需要说明的问题</w:t>
      </w:r>
    </w:p>
    <w:p>
      <w:pPr>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无。</w:t>
      </w:r>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18030">
    <w:altName w:val="Times New Roman"/>
    <w:panose1 w:val="00000000000000000000"/>
    <w:charset w:val="00"/>
    <w:family w:val="auto"/>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748311"/>
    <w:multiLevelType w:val="singleLevel"/>
    <w:tmpl w:val="8B748311"/>
    <w:lvl w:ilvl="0" w:tentative="0">
      <w:start w:val="2"/>
      <w:numFmt w:val="chineseCounting"/>
      <w:lvlText w:val="(%1)"/>
      <w:lvlJc w:val="left"/>
      <w:pPr>
        <w:tabs>
          <w:tab w:val="left" w:pos="312"/>
        </w:tabs>
      </w:pPr>
      <w:rPr>
        <w:rFonts w:hint="eastAsia"/>
      </w:rPr>
    </w:lvl>
  </w:abstractNum>
  <w:abstractNum w:abstractNumId="1">
    <w:nsid w:val="BD310D81"/>
    <w:multiLevelType w:val="singleLevel"/>
    <w:tmpl w:val="BD310D81"/>
    <w:lvl w:ilvl="0" w:tentative="0">
      <w:start w:val="1"/>
      <w:numFmt w:val="chineseCounting"/>
      <w:suff w:val="nothing"/>
      <w:lvlText w:val="%1、"/>
      <w:lvlJc w:val="left"/>
      <w:rPr>
        <w:rFonts w:hint="eastAsia"/>
      </w:rPr>
    </w:lvl>
  </w:abstractNum>
  <w:abstractNum w:abstractNumId="2">
    <w:nsid w:val="0E8C1067"/>
    <w:multiLevelType w:val="singleLevel"/>
    <w:tmpl w:val="0E8C1067"/>
    <w:lvl w:ilvl="0" w:tentative="0">
      <w:start w:val="6"/>
      <w:numFmt w:val="chineseCounting"/>
      <w:suff w:val="nothing"/>
      <w:lvlText w:val="%1、"/>
      <w:lvlJc w:val="left"/>
      <w:rPr>
        <w:rFonts w:hint="eastAsia"/>
      </w:rPr>
    </w:lvl>
  </w:abstractNum>
  <w:abstractNum w:abstractNumId="3">
    <w:nsid w:val="7E345A55"/>
    <w:multiLevelType w:val="singleLevel"/>
    <w:tmpl w:val="7E345A55"/>
    <w:lvl w:ilvl="0" w:tentative="0">
      <w:start w:val="2"/>
      <w:numFmt w:val="chineseCounting"/>
      <w:lvlText w:val="(%1)"/>
      <w:lvlJc w:val="left"/>
      <w:pPr>
        <w:tabs>
          <w:tab w:val="left" w:pos="312"/>
        </w:tabs>
      </w:pPr>
      <w:rPr>
        <w:rFonts w:hint="eastAsi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2N2NmYTU4N2JmM2YzMDkzOGRhOTIxZTVlYzA4ZjAifQ=="/>
  </w:docVars>
  <w:rsids>
    <w:rsidRoot w:val="63E227F3"/>
    <w:rsid w:val="00BC757B"/>
    <w:rsid w:val="01973F26"/>
    <w:rsid w:val="01E46D89"/>
    <w:rsid w:val="02A824AD"/>
    <w:rsid w:val="02B81FC4"/>
    <w:rsid w:val="030C5A58"/>
    <w:rsid w:val="04EE7F1F"/>
    <w:rsid w:val="0591547A"/>
    <w:rsid w:val="05C21607"/>
    <w:rsid w:val="06AC0092"/>
    <w:rsid w:val="07950B26"/>
    <w:rsid w:val="07EA2C20"/>
    <w:rsid w:val="093920B1"/>
    <w:rsid w:val="099A0675"/>
    <w:rsid w:val="09CA153F"/>
    <w:rsid w:val="0A03621B"/>
    <w:rsid w:val="0A0D52EB"/>
    <w:rsid w:val="0A122902"/>
    <w:rsid w:val="0C945F74"/>
    <w:rsid w:val="0D3D1DA3"/>
    <w:rsid w:val="0D7A67F4"/>
    <w:rsid w:val="0E2A1FC8"/>
    <w:rsid w:val="0EDE2DB2"/>
    <w:rsid w:val="10C85AC8"/>
    <w:rsid w:val="12137217"/>
    <w:rsid w:val="126161D4"/>
    <w:rsid w:val="14BD22C8"/>
    <w:rsid w:val="154C6CC8"/>
    <w:rsid w:val="156102B8"/>
    <w:rsid w:val="15B91E83"/>
    <w:rsid w:val="17634257"/>
    <w:rsid w:val="17B1375A"/>
    <w:rsid w:val="19E75211"/>
    <w:rsid w:val="19ED659F"/>
    <w:rsid w:val="1A2950FA"/>
    <w:rsid w:val="1AD339E7"/>
    <w:rsid w:val="1ADC6D40"/>
    <w:rsid w:val="1AED2CFB"/>
    <w:rsid w:val="1AFE6AD5"/>
    <w:rsid w:val="1B2E6E70"/>
    <w:rsid w:val="1D954F84"/>
    <w:rsid w:val="1F026649"/>
    <w:rsid w:val="1F0423C1"/>
    <w:rsid w:val="204A02A8"/>
    <w:rsid w:val="205B0707"/>
    <w:rsid w:val="212B632B"/>
    <w:rsid w:val="219B4529"/>
    <w:rsid w:val="250A26FB"/>
    <w:rsid w:val="251B2213"/>
    <w:rsid w:val="252C08C4"/>
    <w:rsid w:val="257A162F"/>
    <w:rsid w:val="25AA38D2"/>
    <w:rsid w:val="269571EF"/>
    <w:rsid w:val="26FB67A0"/>
    <w:rsid w:val="270A29ED"/>
    <w:rsid w:val="27201D62"/>
    <w:rsid w:val="28B05368"/>
    <w:rsid w:val="296D01FD"/>
    <w:rsid w:val="2A047719"/>
    <w:rsid w:val="2BFD2672"/>
    <w:rsid w:val="2C815051"/>
    <w:rsid w:val="2CFC0B7C"/>
    <w:rsid w:val="2DBA2FCF"/>
    <w:rsid w:val="2EB45BB2"/>
    <w:rsid w:val="2F6A44C2"/>
    <w:rsid w:val="30C714A1"/>
    <w:rsid w:val="30EE1123"/>
    <w:rsid w:val="31077AEF"/>
    <w:rsid w:val="314B50C8"/>
    <w:rsid w:val="31853836"/>
    <w:rsid w:val="3245389A"/>
    <w:rsid w:val="345B6AD0"/>
    <w:rsid w:val="34E84D7B"/>
    <w:rsid w:val="35EF5721"/>
    <w:rsid w:val="3632560E"/>
    <w:rsid w:val="36DD1A1E"/>
    <w:rsid w:val="375C75EE"/>
    <w:rsid w:val="38507FCD"/>
    <w:rsid w:val="38E76B84"/>
    <w:rsid w:val="3A7565A3"/>
    <w:rsid w:val="3A9149FE"/>
    <w:rsid w:val="3C4260D3"/>
    <w:rsid w:val="3C6329C5"/>
    <w:rsid w:val="3EC3774B"/>
    <w:rsid w:val="403F5A0F"/>
    <w:rsid w:val="40C17CBA"/>
    <w:rsid w:val="428B0580"/>
    <w:rsid w:val="42925DB2"/>
    <w:rsid w:val="43210EE4"/>
    <w:rsid w:val="436F1548"/>
    <w:rsid w:val="43C024AB"/>
    <w:rsid w:val="449117A5"/>
    <w:rsid w:val="45C251DE"/>
    <w:rsid w:val="461B60BF"/>
    <w:rsid w:val="4669507C"/>
    <w:rsid w:val="467632F5"/>
    <w:rsid w:val="475950F1"/>
    <w:rsid w:val="48711FC6"/>
    <w:rsid w:val="4C714C8A"/>
    <w:rsid w:val="4C7F45D2"/>
    <w:rsid w:val="4DCE3A17"/>
    <w:rsid w:val="4EC56BC8"/>
    <w:rsid w:val="4FD17C1D"/>
    <w:rsid w:val="501A2F43"/>
    <w:rsid w:val="50947199"/>
    <w:rsid w:val="524644C3"/>
    <w:rsid w:val="53BB67EB"/>
    <w:rsid w:val="55E464CD"/>
    <w:rsid w:val="560F235C"/>
    <w:rsid w:val="56680EAC"/>
    <w:rsid w:val="57BE55F9"/>
    <w:rsid w:val="58005114"/>
    <w:rsid w:val="58354DBE"/>
    <w:rsid w:val="58AE4209"/>
    <w:rsid w:val="59215342"/>
    <w:rsid w:val="59AA17DC"/>
    <w:rsid w:val="59EF38C0"/>
    <w:rsid w:val="5AB26B9A"/>
    <w:rsid w:val="5AC266B1"/>
    <w:rsid w:val="5C052CF9"/>
    <w:rsid w:val="5C583771"/>
    <w:rsid w:val="5F1A6ABC"/>
    <w:rsid w:val="5FD255E8"/>
    <w:rsid w:val="6017124D"/>
    <w:rsid w:val="613A4383"/>
    <w:rsid w:val="61BD7BD2"/>
    <w:rsid w:val="62F17C29"/>
    <w:rsid w:val="63927568"/>
    <w:rsid w:val="6393220E"/>
    <w:rsid w:val="63E227F3"/>
    <w:rsid w:val="63E241AA"/>
    <w:rsid w:val="659A2704"/>
    <w:rsid w:val="664F7993"/>
    <w:rsid w:val="665C20B0"/>
    <w:rsid w:val="6A127639"/>
    <w:rsid w:val="6BD821D8"/>
    <w:rsid w:val="6BE478A0"/>
    <w:rsid w:val="6C7C2B64"/>
    <w:rsid w:val="6CA2484E"/>
    <w:rsid w:val="6CD15DD8"/>
    <w:rsid w:val="6DB658C3"/>
    <w:rsid w:val="6EA22336"/>
    <w:rsid w:val="6ED8604B"/>
    <w:rsid w:val="6F2E492E"/>
    <w:rsid w:val="716D33C3"/>
    <w:rsid w:val="72DA6836"/>
    <w:rsid w:val="733777E5"/>
    <w:rsid w:val="751E69FC"/>
    <w:rsid w:val="7530273D"/>
    <w:rsid w:val="759102B2"/>
    <w:rsid w:val="75956A44"/>
    <w:rsid w:val="762322A2"/>
    <w:rsid w:val="77F739E6"/>
    <w:rsid w:val="78EF290F"/>
    <w:rsid w:val="791D56CF"/>
    <w:rsid w:val="7A707A80"/>
    <w:rsid w:val="7B3416D5"/>
    <w:rsid w:val="7BEB1AB4"/>
    <w:rsid w:val="7C3074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Times New Roman" w:hAnsi="Times New Roman" w:eastAsia="宋体" w:cs="Times New Roman"/>
      <w:szCs w:val="21"/>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footnote text"/>
    <w:basedOn w:val="1"/>
    <w:next w:val="1"/>
    <w:qFormat/>
    <w:uiPriority w:val="0"/>
    <w:pPr>
      <w:snapToGrid w:val="0"/>
      <w:jc w:val="left"/>
    </w:pPr>
    <w:rPr>
      <w:sz w:val="18"/>
      <w:szCs w:val="18"/>
    </w:rPr>
  </w:style>
  <w:style w:type="paragraph" w:styleId="7">
    <w:name w:val="List Paragraph"/>
    <w:basedOn w:val="1"/>
    <w:qFormat/>
    <w:uiPriority w:val="99"/>
    <w:pPr>
      <w:ind w:firstLine="420" w:firstLineChars="200"/>
    </w:pPr>
    <w:rPr>
      <w:rFonts w:ascii="Calibri" w:hAnsi="Calibri"/>
      <w:szCs w:val="22"/>
    </w:rPr>
  </w:style>
  <w:style w:type="paragraph" w:customStyle="1" w:styleId="8">
    <w:name w:val="BodyText"/>
    <w:next w:val="9"/>
    <w:unhideWhenUsed/>
    <w:qFormat/>
    <w:uiPriority w:val="0"/>
    <w:pPr>
      <w:spacing w:before="100" w:beforeAutospacing="1" w:after="120" w:line="560" w:lineRule="exact"/>
      <w:ind w:firstLine="640" w:firstLineChars="200"/>
      <w:jc w:val="both"/>
      <w:textAlignment w:val="baseline"/>
    </w:pPr>
    <w:rPr>
      <w:rFonts w:hint="default" w:ascii="Times New Roman" w:hAnsi="Times New Roman" w:eastAsia="仿宋_GB2312" w:cs="Times New Roman"/>
      <w:kern w:val="2"/>
      <w:sz w:val="32"/>
      <w:szCs w:val="32"/>
      <w:lang w:val="en-US" w:eastAsia="zh-CN" w:bidi="ar-SA"/>
    </w:rPr>
  </w:style>
  <w:style w:type="paragraph" w:customStyle="1" w:styleId="9">
    <w:name w:val="UserStyle_3"/>
    <w:unhideWhenUsed/>
    <w:qFormat/>
    <w:uiPriority w:val="0"/>
    <w:pPr>
      <w:pBdr>
        <w:top w:val="single" w:color="000000" w:sz="4" w:space="0"/>
        <w:left w:val="single" w:color="000000" w:sz="8" w:space="0"/>
        <w:bottom w:val="single" w:color="000000" w:sz="4" w:space="0"/>
        <w:right w:val="single" w:color="000000" w:sz="4" w:space="0"/>
      </w:pBdr>
      <w:spacing w:before="100" w:beforeAutospacing="1" w:after="100" w:afterAutospacing="1" w:line="560" w:lineRule="exact"/>
      <w:ind w:firstLine="640" w:firstLineChars="200"/>
      <w:jc w:val="center"/>
      <w:textAlignment w:val="baseline"/>
    </w:pPr>
    <w:rPr>
      <w:rFonts w:hint="default" w:ascii="???-18030" w:hAnsi="???-18030" w:eastAsia="仿宋_GB2312" w:cs="Times New Roman"/>
      <w:sz w:val="32"/>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7561</Words>
  <Characters>8154</Characters>
  <Lines>0</Lines>
  <Paragraphs>0</Paragraphs>
  <TotalTime>1</TotalTime>
  <ScaleCrop>false</ScaleCrop>
  <LinksUpToDate>false</LinksUpToDate>
  <CharactersWithSpaces>8217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2023-07-05T02:42:00Z</dcterms:created>
  <dc:creator>Haa</dc:creator>
  <cp:lastModifiedBy>Haa</cp:lastModifiedBy>
  <cp:lastPrinted>2023-07-13T01:10:00Z</cp:lastPrinted>
  <dcterms:modified xsi:type="dcterms:W3CDTF">2023-07-13T01:12:27Z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8697B7FB3C774400AAC9BB4B753194A2_11</vt:lpwstr>
  </property>
</Properties>
</file>