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8"/>
        <w:tblW w:w="4997" w:type="pct"/>
        <w:jc w:val="center"/>
        <w:tblLayout w:type="autofit"/>
        <w:tblCellMar>
          <w:top w:w="0" w:type="dxa"/>
          <w:left w:w="108" w:type="dxa"/>
          <w:bottom w:w="0" w:type="dxa"/>
          <w:right w:w="108" w:type="dxa"/>
        </w:tblCellMar>
      </w:tblPr>
      <w:tblGrid>
        <w:gridCol w:w="3218"/>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136</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121</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1680.14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1813.21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1813.21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18.16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49.30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49.30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12.06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44.94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44.94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37.24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37.24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12.06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7.70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7.70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4.37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4.37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715.14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822.41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822.41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留置专项</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214.60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407.12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407.12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办信办案专项</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287.33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265.54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265.54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党风廉政刊物</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53.92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43.25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43.25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干部警示教育</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11.88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18.61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18.61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巡察专项</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50.62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77.88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77.88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r>
              <w:rPr>
                <w:rFonts w:hint="eastAsia" w:ascii="新宋体" w:hAnsi="新宋体" w:eastAsia="新宋体" w:cs="新宋体"/>
                <w:sz w:val="21"/>
                <w:szCs w:val="21"/>
                <w:lang w:eastAsia="zh-CN"/>
              </w:rPr>
              <w:t>纪检监察移动办公安全平台</w:t>
            </w:r>
            <w:r>
              <w:rPr>
                <w:rFonts w:hint="eastAsia" w:ascii="新宋体" w:hAnsi="新宋体" w:eastAsia="新宋体" w:cs="新宋体"/>
                <w:sz w:val="21"/>
                <w:szCs w:val="21"/>
              </w:rPr>
              <w:t>）</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96.79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eastAsia="zh-CN"/>
              </w:rPr>
            </w:pPr>
            <w:r>
              <w:rPr>
                <w:rFonts w:hint="eastAsia" w:ascii="新宋体" w:hAnsi="新宋体" w:eastAsia="新宋体" w:cs="新宋体"/>
                <w:sz w:val="20"/>
                <w:szCs w:val="20"/>
                <w:lang w:eastAsia="zh-CN"/>
              </w:rPr>
              <w:t>加强领导，落实责任；健全制度，规范管理；应收尽收，开源节流。</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default" w:ascii="Times New Roman" w:hAnsi="Times New Roman" w:eastAsia="仿宋_GB2312" w:cs="Times New Roman"/>
          <w:sz w:val="22"/>
        </w:rPr>
      </w:pPr>
      <w:r>
        <w:rPr>
          <w:rFonts w:hint="default" w:ascii="Times New Roman" w:hAnsi="Times New Roman" w:eastAsia="仿宋_GB2312" w:cs="Times New Roman"/>
          <w:sz w:val="22"/>
        </w:rPr>
        <w:t>填表人：</w:t>
      </w:r>
      <w:r>
        <w:rPr>
          <w:rFonts w:hint="eastAsia" w:eastAsia="仿宋_GB2312" w:cs="Times New Roman"/>
          <w:sz w:val="22"/>
          <w:lang w:eastAsia="zh-CN"/>
        </w:rPr>
        <w:t>刘建芳</w:t>
      </w:r>
      <w:r>
        <w:rPr>
          <w:rFonts w:hint="eastAsia" w:eastAsia="仿宋_GB2312" w:cs="Times New Roman"/>
          <w:sz w:val="22"/>
          <w:lang w:val="en-US" w:eastAsia="zh-CN"/>
        </w:rPr>
        <w:t xml:space="preserve"> </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2023.07.17</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15873095838</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4996" w:type="pct"/>
        <w:jc w:val="center"/>
        <w:tblLayout w:type="fixed"/>
        <w:tblCellMar>
          <w:top w:w="0" w:type="dxa"/>
          <w:left w:w="108" w:type="dxa"/>
          <w:bottom w:w="0" w:type="dxa"/>
          <w:right w:w="108" w:type="dxa"/>
        </w:tblCellMar>
      </w:tblPr>
      <w:tblGrid>
        <w:gridCol w:w="1088"/>
        <w:gridCol w:w="867"/>
        <w:gridCol w:w="863"/>
        <w:gridCol w:w="1201"/>
        <w:gridCol w:w="996"/>
        <w:gridCol w:w="1086"/>
        <w:gridCol w:w="768"/>
        <w:gridCol w:w="900"/>
        <w:gridCol w:w="1512"/>
      </w:tblGrid>
      <w:tr>
        <w:tblPrEx>
          <w:tblCellMar>
            <w:top w:w="0" w:type="dxa"/>
            <w:left w:w="108" w:type="dxa"/>
            <w:bottom w:w="0" w:type="dxa"/>
            <w:right w:w="108" w:type="dxa"/>
          </w:tblCellMar>
        </w:tblPrEx>
        <w:trPr>
          <w:trHeight w:val="1003"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3"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中国共产党华容县纪律检查委员会</w:t>
            </w:r>
          </w:p>
        </w:tc>
      </w:tr>
      <w:tr>
        <w:tblPrEx>
          <w:tblCellMar>
            <w:top w:w="0" w:type="dxa"/>
            <w:left w:w="108" w:type="dxa"/>
            <w:bottom w:w="0" w:type="dxa"/>
            <w:right w:w="108" w:type="dxa"/>
          </w:tblCellMar>
        </w:tblPrEx>
        <w:trPr>
          <w:trHeight w:val="863" w:hRule="atLeast"/>
          <w:jc w:val="center"/>
        </w:trPr>
        <w:tc>
          <w:tcPr>
            <w:tcW w:w="586"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2"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6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3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686" w:hRule="atLeast"/>
          <w:jc w:val="center"/>
        </w:trPr>
        <w:tc>
          <w:tcPr>
            <w:tcW w:w="586"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2"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6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1607</w:t>
            </w:r>
          </w:p>
        </w:tc>
        <w:tc>
          <w:tcPr>
            <w:tcW w:w="53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2635.61</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2635.61</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686"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686"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2635.61</w:t>
            </w:r>
          </w:p>
        </w:tc>
        <w:tc>
          <w:tcPr>
            <w:tcW w:w="22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1813.21</w:t>
            </w:r>
          </w:p>
        </w:tc>
      </w:tr>
      <w:tr>
        <w:tblPrEx>
          <w:tblCellMar>
            <w:top w:w="0" w:type="dxa"/>
            <w:left w:w="108" w:type="dxa"/>
            <w:bottom w:w="0" w:type="dxa"/>
            <w:right w:w="108" w:type="dxa"/>
          </w:tblCellMar>
        </w:tblPrEx>
        <w:trPr>
          <w:trHeight w:val="686"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2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822.41</w:t>
            </w:r>
          </w:p>
        </w:tc>
      </w:tr>
      <w:tr>
        <w:tblPrEx>
          <w:tblCellMar>
            <w:top w:w="0" w:type="dxa"/>
            <w:left w:w="108" w:type="dxa"/>
            <w:bottom w:w="0" w:type="dxa"/>
            <w:right w:w="108" w:type="dxa"/>
          </w:tblCellMar>
        </w:tblPrEx>
        <w:trPr>
          <w:trHeight w:val="686"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686" w:hRule="atLeast"/>
          <w:jc w:val="center"/>
        </w:trPr>
        <w:tc>
          <w:tcPr>
            <w:tcW w:w="586"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1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9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686" w:hRule="atLeast"/>
          <w:jc w:val="center"/>
        </w:trPr>
        <w:tc>
          <w:tcPr>
            <w:tcW w:w="586"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15"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9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575" w:hRule="atLeast"/>
          <w:jc w:val="center"/>
        </w:trPr>
        <w:tc>
          <w:tcPr>
            <w:tcW w:w="586"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15"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tabs>
                <w:tab w:val="left" w:pos="789"/>
              </w:tabs>
              <w:kinsoku/>
              <w:wordWrap/>
              <w:overflowPunct/>
              <w:topLinePunct w:val="0"/>
              <w:autoSpaceDE/>
              <w:autoSpaceDN/>
              <w:bidi w:val="0"/>
              <w:adjustRightInd/>
              <w:snapToGrid/>
              <w:spacing w:before="0" w:beforeAutospacing="0" w:after="0" w:afterAutospacing="0" w:line="0" w:lineRule="atLeast"/>
              <w:ind w:left="0" w:right="0" w:firstLine="420" w:firstLineChars="20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坚持以习近平新时代中国特色社会主义思想为指导，坚定不移全面从严治党，深化“三不”一体推进，推动各类监督贯通融合，不断提升纪检监察机关规范化、法治化、正规化水平，努力维护平稳健康的经济环境、国泰民安的社会环境、风清气正的政治环境，为实现县委“一廊二中心”战略部署、建设富美华容现代化强县提供坚强纪律保障。</w:t>
            </w:r>
          </w:p>
        </w:tc>
        <w:tc>
          <w:tcPr>
            <w:tcW w:w="229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420" w:firstLineChars="20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在党中央和省委、市委的坚强领导下，县委面对舆情、疫情、旱情“三情”叠加考验，以高度政治自觉和坚定决心定力，不断夯实“一廊二中心”产业格局新基础，深入贯彻落实全面从严治党的战略部署，以上率下压紧压实管党治党政治责任，全县政治生态持续向好，党风政风气象更新。全县各级纪检监察组织坚守初心使命，忠诚履职尽责，持之以恒正风肃纪，坚定不移惩贪治腐，紧贴中心、服务大局，充分发挥监督保障执行、促进完善发展作用，在推进“富美华容”现代化强县建设的生动实践中彰显了忠诚与担当、贡献了智慧和力量</w:t>
            </w:r>
            <w:r>
              <w:rPr>
                <w:rFonts w:hint="eastAsia" w:ascii="新宋体" w:hAnsi="新宋体" w:eastAsia="新宋体" w:cs="新宋体"/>
                <w:color w:val="000000"/>
                <w:sz w:val="21"/>
                <w:szCs w:val="21"/>
                <w:lang w:eastAsia="zh-CN"/>
              </w:rPr>
              <w:t>。</w:t>
            </w: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开展</w:t>
            </w:r>
            <w:r>
              <w:rPr>
                <w:rFonts w:hint="eastAsia" w:ascii="仿宋" w:hAnsi="仿宋" w:eastAsia="仿宋"/>
                <w:color w:val="000000"/>
                <w:szCs w:val="21"/>
                <w:lang w:eastAsia="zh-CN"/>
              </w:rPr>
              <w:t>作风检查次数</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default" w:ascii="仿宋" w:hAnsi="仿宋" w:eastAsia="仿宋" w:cs="Times New Roman"/>
                <w:color w:val="000000"/>
                <w:kern w:val="2"/>
                <w:sz w:val="21"/>
                <w:szCs w:val="21"/>
                <w:lang w:val="en-US" w:eastAsia="zh-CN" w:bidi="ar-SA"/>
              </w:rPr>
            </w:pPr>
            <w:r>
              <w:rPr>
                <w:rFonts w:hint="eastAsia" w:ascii="仿宋" w:hAnsi="仿宋" w:eastAsia="仿宋"/>
                <w:color w:val="000000"/>
                <w:szCs w:val="21"/>
              </w:rPr>
              <w:t>≥</w:t>
            </w:r>
            <w:r>
              <w:rPr>
                <w:rFonts w:hint="eastAsia" w:ascii="仿宋" w:hAnsi="仿宋" w:eastAsia="仿宋"/>
                <w:color w:val="000000"/>
                <w:szCs w:val="21"/>
                <w:lang w:val="en-US" w:eastAsia="zh-CN"/>
              </w:rPr>
              <w:t>300</w:t>
            </w:r>
            <w:r>
              <w:rPr>
                <w:rFonts w:hint="eastAsia" w:ascii="仿宋" w:hAnsi="仿宋" w:eastAsia="仿宋"/>
                <w:color w:val="000000"/>
                <w:szCs w:val="21"/>
              </w:rPr>
              <w:t>次</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352</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eastAsia="zh-CN"/>
              </w:rPr>
              <w:t>日常监督问题线索办理数量</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w:t>
            </w:r>
            <w:r>
              <w:rPr>
                <w:rFonts w:hint="eastAsia" w:ascii="仿宋" w:hAnsi="仿宋" w:eastAsia="仿宋"/>
                <w:color w:val="000000"/>
                <w:szCs w:val="21"/>
                <w:lang w:val="en-US" w:eastAsia="zh-CN"/>
              </w:rPr>
              <w:t>100</w:t>
            </w:r>
            <w:r>
              <w:rPr>
                <w:rFonts w:hint="eastAsia" w:ascii="仿宋" w:hAnsi="仿宋" w:eastAsia="仿宋"/>
                <w:color w:val="000000"/>
                <w:szCs w:val="21"/>
                <w:lang w:eastAsia="zh-CN"/>
              </w:rPr>
              <w:t>件</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106</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eastAsia="zh-CN"/>
              </w:rPr>
              <w:t>谈心谈话人次</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w:t>
            </w:r>
            <w:r>
              <w:rPr>
                <w:rFonts w:hint="eastAsia" w:ascii="仿宋" w:hAnsi="仿宋" w:eastAsia="仿宋"/>
                <w:color w:val="000000"/>
                <w:szCs w:val="21"/>
                <w:lang w:val="en-US" w:eastAsia="zh-CN"/>
              </w:rPr>
              <w:t>1500</w:t>
            </w:r>
            <w:r>
              <w:rPr>
                <w:rFonts w:hint="eastAsia" w:ascii="仿宋" w:hAnsi="仿宋" w:eastAsia="仿宋"/>
                <w:color w:val="000000"/>
                <w:szCs w:val="21"/>
              </w:rPr>
              <w:t>人</w:t>
            </w:r>
            <w:r>
              <w:rPr>
                <w:rFonts w:hint="eastAsia" w:ascii="仿宋" w:hAnsi="仿宋" w:eastAsia="仿宋"/>
                <w:color w:val="000000"/>
                <w:szCs w:val="21"/>
                <w:lang w:eastAsia="zh-CN"/>
              </w:rPr>
              <w:t>次</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1606</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Cs w:val="21"/>
              </w:rPr>
              <w:t>政府采购执行率</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rPr>
            </w:pPr>
            <w:r>
              <w:rPr>
                <w:rFonts w:hint="eastAsia" w:ascii="仿宋" w:hAnsi="仿宋" w:eastAsia="仿宋"/>
                <w:color w:val="000000"/>
                <w:szCs w:val="21"/>
              </w:rPr>
              <w:t>≥</w:t>
            </w:r>
            <w:r>
              <w:rPr>
                <w:rFonts w:hint="eastAsia" w:ascii="仿宋" w:hAnsi="仿宋" w:eastAsia="仿宋"/>
                <w:color w:val="000000"/>
                <w:szCs w:val="21"/>
                <w:lang w:val="en-US" w:eastAsia="zh-CN"/>
              </w:rPr>
              <w:t>90%</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100%</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Cs w:val="21"/>
              </w:rPr>
              <w:t>固定资产利用率</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rPr>
            </w:pPr>
            <w:r>
              <w:rPr>
                <w:rFonts w:hint="eastAsia" w:ascii="仿宋" w:hAnsi="仿宋" w:eastAsia="仿宋"/>
                <w:color w:val="000000"/>
                <w:szCs w:val="21"/>
              </w:rPr>
              <w:t>≥</w:t>
            </w:r>
            <w:r>
              <w:rPr>
                <w:rFonts w:hint="eastAsia" w:ascii="仿宋" w:hAnsi="仿宋" w:eastAsia="仿宋"/>
                <w:color w:val="000000"/>
                <w:szCs w:val="21"/>
                <w:lang w:val="en-US" w:eastAsia="zh-CN"/>
              </w:rPr>
              <w:t>90%</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lang w:val="en-US" w:eastAsia="zh-CN"/>
              </w:rPr>
              <w:t>100</w:t>
            </w:r>
            <w:r>
              <w:rPr>
                <w:rFonts w:hint="eastAsia" w:ascii="仿宋" w:hAnsi="仿宋" w:eastAsia="仿宋"/>
                <w:color w:val="000000"/>
                <w:szCs w:val="21"/>
              </w:rPr>
              <w:t>%</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3</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3</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Cs w:val="21"/>
              </w:rPr>
              <w:t>公务卡刷卡率</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olor w:val="000000"/>
                <w:sz w:val="20"/>
                <w:szCs w:val="20"/>
                <w:lang w:val="en-US"/>
              </w:rPr>
            </w:pPr>
            <w:r>
              <w:rPr>
                <w:rFonts w:hint="eastAsia" w:ascii="仿宋" w:hAnsi="仿宋" w:eastAsia="仿宋"/>
                <w:color w:val="000000"/>
                <w:szCs w:val="21"/>
              </w:rPr>
              <w:t>≥</w:t>
            </w:r>
            <w:r>
              <w:rPr>
                <w:rFonts w:hint="eastAsia" w:ascii="仿宋" w:hAnsi="仿宋" w:eastAsia="仿宋"/>
                <w:color w:val="000000"/>
                <w:szCs w:val="21"/>
                <w:lang w:val="en-US" w:eastAsia="zh-CN"/>
              </w:rPr>
              <w:t>90%</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lang w:val="en-US" w:eastAsia="zh-CN"/>
              </w:rPr>
              <w:t>88</w:t>
            </w:r>
            <w:r>
              <w:rPr>
                <w:rFonts w:hint="eastAsia" w:ascii="仿宋" w:hAnsi="仿宋" w:eastAsia="仿宋"/>
                <w:color w:val="000000"/>
                <w:szCs w:val="21"/>
              </w:rPr>
              <w:t>%</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2</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lang w:val="en-US" w:eastAsia="zh-CN"/>
              </w:rPr>
            </w:pPr>
            <w:r>
              <w:rPr>
                <w:rFonts w:hint="eastAsia" w:ascii="仿宋" w:hAnsi="仿宋" w:eastAsia="仿宋"/>
                <w:color w:val="000000"/>
                <w:sz w:val="20"/>
                <w:szCs w:val="20"/>
              </w:rPr>
              <w:t>　</w:t>
            </w:r>
            <w:r>
              <w:rPr>
                <w:rFonts w:hint="eastAsia" w:ascii="仿宋" w:hAnsi="仿宋" w:eastAsia="仿宋"/>
                <w:color w:val="000000"/>
                <w:sz w:val="20"/>
                <w:szCs w:val="20"/>
                <w:lang w:val="en-US" w:eastAsia="zh-CN"/>
              </w:rPr>
              <w:t>0</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仿宋"/>
                <w:kern w:val="2"/>
                <w:sz w:val="20"/>
                <w:szCs w:val="20"/>
                <w:lang w:val="en-US" w:eastAsia="zh-CN" w:bidi="ar-SA"/>
              </w:rPr>
            </w:pPr>
            <w:r>
              <w:rPr>
                <w:rFonts w:hint="eastAsia" w:ascii="仿宋" w:hAnsi="仿宋" w:eastAsia="仿宋"/>
                <w:color w:val="000000"/>
                <w:sz w:val="20"/>
                <w:szCs w:val="20"/>
              </w:rPr>
              <w:t>按时间节点完成目标任务</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按时按质完成任务</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按时按质完成任务</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仿宋"/>
                <w:kern w:val="2"/>
                <w:sz w:val="20"/>
                <w:szCs w:val="20"/>
                <w:lang w:val="en-US" w:eastAsia="zh-CN" w:bidi="ar-SA"/>
              </w:rPr>
            </w:pPr>
            <w:r>
              <w:rPr>
                <w:rFonts w:hint="eastAsia" w:ascii="仿宋" w:hAnsi="仿宋" w:eastAsia="仿宋"/>
                <w:color w:val="000000"/>
                <w:sz w:val="20"/>
                <w:szCs w:val="20"/>
              </w:rPr>
              <w:t>公用经费保障性支出及时性</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w:t>
            </w:r>
            <w:r>
              <w:rPr>
                <w:rFonts w:hint="eastAsia" w:ascii="仿宋" w:hAnsi="仿宋" w:eastAsia="仿宋"/>
                <w:color w:val="000000"/>
                <w:szCs w:val="21"/>
                <w:lang w:val="en-US" w:eastAsia="zh-CN"/>
              </w:rPr>
              <w:t>90%</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olor w:val="000000"/>
                <w:szCs w:val="21"/>
              </w:rPr>
              <w:t>100%</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0"/>
                <w:szCs w:val="20"/>
                <w:lang w:val="en-US" w:eastAsia="zh-CN" w:bidi="ar-SA"/>
              </w:rPr>
            </w:pPr>
            <w:r>
              <w:rPr>
                <w:rFonts w:hint="eastAsia" w:ascii="仿宋" w:hAnsi="仿宋" w:eastAsia="仿宋"/>
                <w:color w:val="000000"/>
                <w:sz w:val="20"/>
                <w:szCs w:val="20"/>
              </w:rPr>
              <w:t>专项资金支付进度</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rPr>
              <w:t>≥</w:t>
            </w:r>
            <w:r>
              <w:rPr>
                <w:rFonts w:hint="eastAsia" w:ascii="仿宋" w:hAnsi="仿宋" w:eastAsia="仿宋"/>
                <w:color w:val="000000"/>
                <w:szCs w:val="21"/>
                <w:lang w:val="en-US" w:eastAsia="zh-CN"/>
              </w:rPr>
              <w:t>90%</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rPr>
              <w:t>100%</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olor w:val="000000"/>
                <w:szCs w:val="21"/>
              </w:rPr>
              <w:t>人员费用金额</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default" w:ascii="Arial" w:hAnsi="Arial" w:eastAsia="新宋体" w:cs="Arial"/>
                <w:color w:val="000000"/>
                <w:sz w:val="20"/>
                <w:szCs w:val="20"/>
              </w:rPr>
              <w:t>≤</w:t>
            </w:r>
            <w:r>
              <w:rPr>
                <w:rFonts w:hint="eastAsia" w:ascii="新宋体" w:hAnsi="新宋体" w:eastAsia="新宋体" w:cs="新宋体"/>
                <w:color w:val="000000"/>
                <w:sz w:val="20"/>
                <w:szCs w:val="20"/>
                <w:lang w:val="en-US" w:eastAsia="zh-CN"/>
              </w:rPr>
              <w:t>1200万元</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1147.20万元</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olor w:val="000000"/>
                <w:szCs w:val="21"/>
              </w:rPr>
              <w:t>公用费用金额</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r>
              <w:rPr>
                <w:rFonts w:hint="default" w:ascii="Arial" w:hAnsi="Arial" w:eastAsia="新宋体" w:cs="Arial"/>
                <w:color w:val="000000"/>
                <w:sz w:val="20"/>
                <w:szCs w:val="20"/>
              </w:rPr>
              <w:t>≤</w:t>
            </w:r>
            <w:r>
              <w:rPr>
                <w:rFonts w:hint="eastAsia" w:ascii="新宋体" w:hAnsi="新宋体" w:eastAsia="新宋体" w:cs="新宋体"/>
                <w:color w:val="000000"/>
                <w:sz w:val="20"/>
                <w:szCs w:val="20"/>
                <w:lang w:val="en-US" w:eastAsia="zh-CN"/>
              </w:rPr>
              <w:t>1200万元</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1114.92万元</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5</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1020"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rPr>
            </w:pPr>
          </w:p>
          <w:p>
            <w:pPr>
              <w:pStyle w:val="2"/>
              <w:keepNext w:val="0"/>
              <w:keepLines w:val="0"/>
              <w:widowControl w:val="0"/>
              <w:numPr>
                <w:ilvl w:val="0"/>
                <w:numId w:val="0"/>
              </w:numPr>
              <w:suppressLineNumbers w:val="0"/>
              <w:spacing w:before="0" w:beforeAutospacing="0" w:after="0" w:afterAutospacing="0"/>
              <w:ind w:left="0" w:right="0"/>
              <w:jc w:val="both"/>
              <w:rPr>
                <w:rFonts w:hint="eastAsia"/>
              </w:rPr>
            </w:pP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指标</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指标值</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完成值</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分值</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得分</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偏差原因分析及改进措施</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olor w:val="000000"/>
                <w:szCs w:val="21"/>
                <w:lang w:eastAsia="zh-CN"/>
              </w:rPr>
              <w:t>贡献财政收入</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default" w:ascii="Arial" w:hAnsi="Arial" w:eastAsia="仿宋" w:cs="Arial"/>
                <w:color w:val="000000"/>
                <w:szCs w:val="21"/>
                <w:lang w:val="en-US" w:eastAsia="zh-CN"/>
              </w:rPr>
              <w:t>≥</w:t>
            </w:r>
            <w:r>
              <w:rPr>
                <w:rFonts w:hint="eastAsia" w:ascii="仿宋" w:hAnsi="仿宋" w:eastAsia="仿宋"/>
                <w:color w:val="000000"/>
                <w:szCs w:val="21"/>
                <w:lang w:val="en-US" w:eastAsia="zh-CN"/>
              </w:rPr>
              <w:t>1000万元</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1128.62万元</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6</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6</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35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p>
        </w:tc>
        <w:tc>
          <w:tcPr>
            <w:tcW w:w="53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1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47"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仿宋_GB2312"/>
                <w:color w:val="000000"/>
                <w:kern w:val="2"/>
                <w:sz w:val="21"/>
                <w:szCs w:val="21"/>
                <w:lang w:val="en-US" w:eastAsia="zh-CN" w:bidi="ar-SA"/>
              </w:rPr>
            </w:pPr>
            <w:r>
              <w:rPr>
                <w:rFonts w:hint="eastAsia" w:ascii="仿宋" w:hAnsi="仿宋" w:eastAsia="仿宋"/>
                <w:color w:val="000000"/>
                <w:szCs w:val="21"/>
              </w:rPr>
              <w:t>确保党中央政令畅通，党内政治生态明显好转，全面从严治党取得重大成果</w:t>
            </w:r>
          </w:p>
        </w:tc>
        <w:tc>
          <w:tcPr>
            <w:tcW w:w="536"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效果显著</w:t>
            </w:r>
          </w:p>
        </w:tc>
        <w:tc>
          <w:tcPr>
            <w:tcW w:w="585"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rPr>
              <w:t>效果显著</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32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p>
        </w:tc>
        <w:tc>
          <w:tcPr>
            <w:tcW w:w="53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sz w:val="20"/>
                <w:szCs w:val="20"/>
              </w:rPr>
              <w:t>　</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47"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olor w:val="000000"/>
                <w:szCs w:val="21"/>
              </w:rPr>
              <w:t>严明党的政治纪律、政治规矩，净化政治生态</w:t>
            </w:r>
          </w:p>
        </w:tc>
        <w:tc>
          <w:tcPr>
            <w:tcW w:w="536"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rPr>
              <w:t>效果显著</w:t>
            </w:r>
          </w:p>
        </w:tc>
        <w:tc>
          <w:tcPr>
            <w:tcW w:w="585"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rPr>
              <w:t>效果显著</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38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p>
        </w:tc>
        <w:tc>
          <w:tcPr>
            <w:tcW w:w="53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6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r>
              <w:rPr>
                <w:rFonts w:hint="eastAsia" w:ascii="仿宋" w:hAnsi="仿宋" w:eastAsia="仿宋"/>
                <w:color w:val="000000"/>
                <w:szCs w:val="21"/>
              </w:rPr>
              <w:t>坚定不移惩贪治腐，紧贴中心、服务大局，充分发挥监督保障执行、促进完善发展作用</w:t>
            </w:r>
          </w:p>
        </w:tc>
        <w:tc>
          <w:tcPr>
            <w:tcW w:w="5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r>
              <w:rPr>
                <w:rFonts w:hint="eastAsia" w:ascii="仿宋" w:hAnsi="仿宋" w:eastAsia="仿宋"/>
                <w:color w:val="000000"/>
                <w:szCs w:val="21"/>
              </w:rPr>
              <w:t>效果显著</w:t>
            </w:r>
          </w:p>
        </w:tc>
        <w:tc>
          <w:tcPr>
            <w:tcW w:w="5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0"/>
                <w:szCs w:val="20"/>
                <w:lang w:val="en-US" w:eastAsia="zh-CN" w:bidi="ar-SA"/>
              </w:rPr>
            </w:pPr>
            <w:r>
              <w:rPr>
                <w:rFonts w:hint="eastAsia" w:ascii="仿宋" w:hAnsi="仿宋" w:eastAsia="仿宋"/>
                <w:color w:val="000000"/>
                <w:szCs w:val="21"/>
              </w:rPr>
              <w:t>效果显著</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4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8</w:t>
            </w:r>
          </w:p>
        </w:tc>
        <w:tc>
          <w:tcPr>
            <w:tcW w:w="8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p>
        </w:tc>
        <w:tc>
          <w:tcPr>
            <w:tcW w:w="53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sz w:val="20"/>
                <w:szCs w:val="20"/>
              </w:rPr>
              <w:t>　</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647"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olor w:val="000000"/>
                <w:szCs w:val="21"/>
              </w:rPr>
              <w:t>加大群众身边腐败问题的处理力度，增强人民群众获得感</w:t>
            </w:r>
          </w:p>
        </w:tc>
        <w:tc>
          <w:tcPr>
            <w:tcW w:w="536"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default" w:ascii="Arial" w:hAnsi="Arial" w:eastAsia="仿宋" w:cs="Arial"/>
                <w:color w:val="000000"/>
                <w:szCs w:val="21"/>
              </w:rPr>
              <w:t>≥</w:t>
            </w:r>
            <w:r>
              <w:rPr>
                <w:rFonts w:hint="eastAsia" w:ascii="仿宋" w:hAnsi="仿宋" w:eastAsia="仿宋"/>
                <w:color w:val="000000"/>
                <w:szCs w:val="21"/>
                <w:lang w:val="en-US" w:eastAsia="zh-CN"/>
              </w:rPr>
              <w:t>95</w:t>
            </w:r>
            <w:r>
              <w:rPr>
                <w:rFonts w:hint="eastAsia" w:ascii="仿宋" w:hAnsi="仿宋" w:eastAsia="仿宋"/>
                <w:color w:val="000000"/>
                <w:szCs w:val="21"/>
              </w:rPr>
              <w:t>%</w:t>
            </w:r>
          </w:p>
        </w:tc>
        <w:tc>
          <w:tcPr>
            <w:tcW w:w="585"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olor w:val="000000"/>
                <w:szCs w:val="21"/>
              </w:rPr>
              <w:t>100%</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10</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rPr>
              <w:t>　</w:t>
            </w:r>
            <w:r>
              <w:rPr>
                <w:rFonts w:hint="eastAsia" w:ascii="新宋体" w:hAnsi="新宋体" w:eastAsia="新宋体" w:cs="新宋体"/>
                <w:color w:val="000000"/>
                <w:sz w:val="20"/>
                <w:szCs w:val="20"/>
                <w:lang w:val="en-US" w:eastAsia="zh-CN"/>
              </w:rPr>
              <w:t>10</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25" w:hRule="atLeast"/>
          <w:jc w:val="center"/>
        </w:trPr>
        <w:tc>
          <w:tcPr>
            <w:tcW w:w="58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0"/>
                <w:szCs w:val="20"/>
              </w:rPr>
            </w:pPr>
          </w:p>
        </w:tc>
        <w:tc>
          <w:tcPr>
            <w:tcW w:w="53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58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　</w:t>
            </w:r>
          </w:p>
        </w:tc>
      </w:tr>
      <w:tr>
        <w:tblPrEx>
          <w:tblCellMar>
            <w:top w:w="0" w:type="dxa"/>
            <w:left w:w="108" w:type="dxa"/>
            <w:bottom w:w="0" w:type="dxa"/>
            <w:right w:w="108" w:type="dxa"/>
          </w:tblCellMar>
        </w:tblPrEx>
        <w:trPr>
          <w:trHeight w:val="489" w:hRule="atLeast"/>
          <w:jc w:val="center"/>
        </w:trPr>
        <w:tc>
          <w:tcPr>
            <w:tcW w:w="3286"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41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48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1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6"/>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刘建芳</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2023.07.17</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15873095838</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华容县纪委监委</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月 </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日</w:t>
      </w:r>
    </w:p>
    <w:p>
      <w:pPr>
        <w:pStyle w:val="2"/>
        <w:widowControl w:val="0"/>
        <w:numPr>
          <w:numId w:val="0"/>
        </w:numPr>
        <w:jc w:val="both"/>
        <w:rPr>
          <w:rFonts w:hint="default" w:ascii="Times New Roman" w:hAnsi="Times New Roman" w:eastAsia="楷体_GB2312" w:cs="Times New Roman"/>
          <w:sz w:val="32"/>
          <w:szCs w:val="32"/>
        </w:rPr>
      </w:pPr>
    </w:p>
    <w:p>
      <w:pPr>
        <w:pStyle w:val="2"/>
        <w:widowControl w:val="0"/>
        <w:numPr>
          <w:numId w:val="0"/>
        </w:numPr>
        <w:jc w:val="both"/>
        <w:rPr>
          <w:rFonts w:hint="default" w:ascii="Times New Roman" w:hAnsi="Times New Roman" w:eastAsia="楷体_GB2312" w:cs="Times New Roman"/>
          <w:sz w:val="32"/>
          <w:szCs w:val="32"/>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华容县纪委监委</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2"/>
        </w:numPr>
        <w:kinsoku/>
        <w:wordWrap/>
        <w:overflowPunct/>
        <w:topLinePunct w:val="0"/>
        <w:autoSpaceDE/>
        <w:autoSpaceDN/>
        <w:bidi w:val="0"/>
        <w:adjustRightInd/>
        <w:snapToGrid/>
        <w:spacing w:line="600" w:lineRule="exact"/>
        <w:jc w:val="both"/>
        <w:textAlignment w:val="auto"/>
        <w:rPr>
          <w:rFonts w:hint="default" w:ascii="高级黑" w:hAnsi="高级黑" w:eastAsia="高级黑" w:cs="高级黑"/>
          <w:sz w:val="32"/>
          <w:szCs w:val="32"/>
          <w:lang w:eastAsia="zh-CN"/>
        </w:rPr>
      </w:pPr>
      <w:r>
        <w:rPr>
          <w:rFonts w:hint="default" w:ascii="高级黑" w:hAnsi="高级黑" w:eastAsia="高级黑" w:cs="高级黑"/>
          <w:sz w:val="32"/>
          <w:szCs w:val="32"/>
          <w:lang w:eastAsia="zh-CN"/>
        </w:rPr>
        <w:t>部门（单位）基本情况</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lang w:eastAsia="zh-CN"/>
        </w:rPr>
      </w:pPr>
      <w:r>
        <w:rPr>
          <w:rFonts w:hint="eastAsia" w:ascii="仿宋" w:hAnsi="仿宋" w:eastAsia="仿宋" w:cs="仿宋_GB2312"/>
          <w:b w:val="0"/>
          <w:bCs/>
          <w:sz w:val="28"/>
          <w:szCs w:val="28"/>
        </w:rPr>
        <w:t>中国共产党华容县纪律检查委员会与华容县监察委员会合署办公，辖事业单位1个、内设部室13个、派驻纪检监察组1</w:t>
      </w:r>
      <w:r>
        <w:rPr>
          <w:rFonts w:hint="eastAsia" w:ascii="仿宋" w:hAnsi="仿宋" w:eastAsia="仿宋" w:cs="仿宋_GB2312"/>
          <w:b w:val="0"/>
          <w:bCs/>
          <w:sz w:val="28"/>
          <w:szCs w:val="28"/>
          <w:lang w:val="en-US" w:eastAsia="zh-CN"/>
        </w:rPr>
        <w:t>4</w:t>
      </w:r>
      <w:r>
        <w:rPr>
          <w:rFonts w:hint="eastAsia" w:ascii="仿宋" w:hAnsi="仿宋" w:eastAsia="仿宋" w:cs="仿宋_GB2312"/>
          <w:b w:val="0"/>
          <w:bCs/>
          <w:sz w:val="28"/>
          <w:szCs w:val="28"/>
        </w:rPr>
        <w:t>个。县委巡察办、县委巡察组为独立正科级单位，办公地点设在县纪委监委，其财务由县纪委监委统一核算。根据编委核定，我部门共有编制13</w:t>
      </w:r>
      <w:r>
        <w:rPr>
          <w:rFonts w:hint="eastAsia" w:ascii="仿宋" w:hAnsi="仿宋" w:eastAsia="仿宋" w:cs="仿宋_GB2312"/>
          <w:b w:val="0"/>
          <w:bCs/>
          <w:sz w:val="28"/>
          <w:szCs w:val="28"/>
          <w:lang w:val="en-US" w:eastAsia="zh-CN"/>
        </w:rPr>
        <w:t>6</w:t>
      </w:r>
      <w:r>
        <w:rPr>
          <w:rFonts w:hint="eastAsia" w:ascii="仿宋" w:hAnsi="仿宋" w:eastAsia="仿宋" w:cs="仿宋_GB2312"/>
          <w:b w:val="0"/>
          <w:bCs/>
          <w:sz w:val="28"/>
          <w:szCs w:val="28"/>
        </w:rPr>
        <w:t>名 (其中：纪委机关50名，派驻组59名，警教中心8名，巡察办1</w:t>
      </w:r>
      <w:r>
        <w:rPr>
          <w:rFonts w:hint="eastAsia" w:ascii="仿宋" w:hAnsi="仿宋" w:eastAsia="仿宋" w:cs="仿宋_GB2312"/>
          <w:b w:val="0"/>
          <w:bCs/>
          <w:sz w:val="28"/>
          <w:szCs w:val="28"/>
          <w:lang w:val="en-US" w:eastAsia="zh-CN"/>
        </w:rPr>
        <w:t>9</w:t>
      </w:r>
      <w:r>
        <w:rPr>
          <w:rFonts w:hint="eastAsia" w:ascii="仿宋" w:hAnsi="仿宋" w:eastAsia="仿宋" w:cs="仿宋_GB2312"/>
          <w:b w:val="0"/>
          <w:bCs/>
          <w:sz w:val="28"/>
          <w:szCs w:val="28"/>
        </w:rPr>
        <w:t>名) ，年末实有在编在岗人员1</w:t>
      </w:r>
      <w:r>
        <w:rPr>
          <w:rFonts w:hint="eastAsia" w:ascii="仿宋" w:hAnsi="仿宋" w:eastAsia="仿宋" w:cs="仿宋_GB2312"/>
          <w:b w:val="0"/>
          <w:bCs/>
          <w:sz w:val="28"/>
          <w:szCs w:val="28"/>
          <w:lang w:val="en-US" w:eastAsia="zh-CN"/>
        </w:rPr>
        <w:t>21</w:t>
      </w:r>
      <w:r>
        <w:rPr>
          <w:rFonts w:hint="eastAsia" w:ascii="仿宋" w:hAnsi="仿宋" w:eastAsia="仿宋" w:cs="仿宋_GB2312"/>
          <w:b w:val="0"/>
          <w:bCs/>
          <w:sz w:val="28"/>
          <w:szCs w:val="28"/>
        </w:rPr>
        <w:t>人。</w:t>
      </w: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0" w:firstLineChars="0"/>
        <w:jc w:val="both"/>
        <w:textAlignment w:val="auto"/>
        <w:rPr>
          <w:rFonts w:hint="default" w:ascii="高级黑" w:hAnsi="高级黑" w:eastAsia="高级黑" w:cs="高级黑"/>
          <w:sz w:val="32"/>
          <w:szCs w:val="32"/>
          <w:lang w:val="en-US" w:eastAsia="zh-CN"/>
        </w:rPr>
      </w:pPr>
      <w:r>
        <w:rPr>
          <w:rFonts w:hint="default" w:ascii="高级黑" w:hAnsi="高级黑" w:eastAsia="高级黑" w:cs="高级黑"/>
          <w:sz w:val="32"/>
          <w:szCs w:val="32"/>
          <w:lang w:val="en-US" w:eastAsia="zh-CN"/>
        </w:rPr>
        <w:t>基本支出情况</w:t>
      </w:r>
    </w:p>
    <w:p>
      <w:pPr>
        <w:pStyle w:val="2"/>
        <w:keepNext w:val="0"/>
        <w:keepLines w:val="0"/>
        <w:pageBreakBefore w:val="0"/>
        <w:numPr>
          <w:ilvl w:val="0"/>
          <w:numId w:val="0"/>
        </w:numPr>
        <w:kinsoku/>
        <w:wordWrap/>
        <w:overflowPunct/>
        <w:topLinePunct w:val="0"/>
        <w:autoSpaceDE/>
        <w:autoSpaceDN/>
        <w:bidi w:val="0"/>
        <w:adjustRightInd/>
        <w:snapToGrid/>
        <w:ind w:leftChars="0" w:firstLine="560" w:firstLineChars="200"/>
        <w:textAlignment w:val="auto"/>
        <w:rPr>
          <w:rFonts w:hint="default"/>
          <w:lang w:val="en-US" w:eastAsia="zh-CN"/>
        </w:rPr>
      </w:pPr>
      <w:r>
        <w:rPr>
          <w:rFonts w:hint="eastAsia" w:ascii="仿宋" w:hAnsi="仿宋" w:eastAsia="仿宋" w:cs="仿宋_GB2312"/>
          <w:b w:val="0"/>
          <w:bCs/>
          <w:sz w:val="28"/>
          <w:szCs w:val="28"/>
          <w:lang w:val="en-US" w:eastAsia="zh-CN"/>
        </w:rPr>
        <w:t>2022年度本部门基本支出1813.21万元，其中人员支出1147.20万元、公用支出383.74万元，对个人和家庭补助支出282.26万元。主要是用于保障机构正常运转的日常支出，包括基本工资、津贴补贴、社保缴费、住房公积金和日常公用经费等。</w:t>
      </w: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0" w:firstLineChars="0"/>
        <w:jc w:val="both"/>
        <w:textAlignment w:val="auto"/>
        <w:rPr>
          <w:rFonts w:hint="default" w:ascii="高级黑" w:hAnsi="高级黑" w:eastAsia="高级黑" w:cs="高级黑"/>
          <w:sz w:val="32"/>
          <w:szCs w:val="32"/>
          <w:lang w:val="en-US" w:eastAsia="zh-CN"/>
        </w:rPr>
      </w:pPr>
      <w:r>
        <w:rPr>
          <w:rFonts w:hint="default" w:ascii="高级黑" w:hAnsi="高级黑" w:eastAsia="高级黑" w:cs="高级黑"/>
          <w:sz w:val="32"/>
          <w:szCs w:val="32"/>
          <w:lang w:val="en-US" w:eastAsia="zh-CN"/>
        </w:rPr>
        <w:t>项目支出情况</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2022年度本部门专项资金支出822.41万元，其中留置专案经费407.12万元、办信办案专项265.54万元、党风廉政刊物43.25万元、干部警示教育18.61万元、专项巡察77.88万元、纪检监察移动安全办公平台10万元。专项资金主要用于全县的党风廉政建设和反腐败斗争工作，办案工作的软硬件建设、查处各种违纪违法案件和配合上级纪委查办各类案件，特别是大案要案的查处工作。</w:t>
      </w:r>
    </w:p>
    <w:p>
      <w:pPr>
        <w:pStyle w:val="2"/>
        <w:keepNext w:val="0"/>
        <w:keepLines w:val="0"/>
        <w:pageBreakBefore w:val="0"/>
        <w:numPr>
          <w:ilvl w:val="0"/>
          <w:numId w:val="0"/>
        </w:numPr>
        <w:kinsoku/>
        <w:wordWrap/>
        <w:overflowPunct/>
        <w:topLinePunct w:val="0"/>
        <w:autoSpaceDE/>
        <w:autoSpaceDN/>
        <w:bidi w:val="0"/>
        <w:adjustRightInd/>
        <w:snapToGrid/>
        <w:ind w:leftChars="0"/>
        <w:textAlignment w:val="auto"/>
        <w:rPr>
          <w:rFonts w:hint="default"/>
          <w:lang w:val="en-US" w:eastAsia="zh-CN"/>
        </w:rPr>
      </w:pP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0" w:firstLineChars="0"/>
        <w:jc w:val="both"/>
        <w:textAlignment w:val="auto"/>
        <w:rPr>
          <w:rFonts w:hint="default" w:ascii="高级黑" w:hAnsi="高级黑" w:eastAsia="高级黑" w:cs="高级黑"/>
          <w:sz w:val="32"/>
          <w:szCs w:val="32"/>
          <w:lang w:eastAsia="zh-CN"/>
        </w:rPr>
      </w:pPr>
      <w:r>
        <w:rPr>
          <w:rFonts w:hint="default" w:ascii="高级黑" w:hAnsi="高级黑" w:eastAsia="高级黑" w:cs="高级黑"/>
          <w:sz w:val="32"/>
          <w:szCs w:val="32"/>
          <w:lang w:eastAsia="zh-CN"/>
        </w:rPr>
        <w:t>部门整体支出绩效情况</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一）聚焦政治监督，践行“两个维护”有力有效。深入贯彻落实习近平总书记重要讲话重要指示批示精神，加强监督检查和调研督导，推动党中央重大决策部署落实落地。以丰穗粮食购销有限公司相关人员涉嫌违纪违法为突破口，核查问题线索5件，留置3人，粮食购销领域腐败问题专项整治工作成效显著。深化“洞庭清波”专项行动，下发提示督办函7份，查处问题线索13件，处理37人，15个年度整改任务按期销号。扎实开展巩固脱贫攻坚成果和乡村振兴有效衔接、自建房安全隐患排查整治、安全生产等专项监督，着力查纠其中责任、作风、腐败和机制问题，查处问题线索17件，给予党纪政务处分18人。面对“3·15”土坑酸菜事件，积极配合上级纪委监委开展调查核实，适时提出合理处理建议，以迅速行动争取工作主动，赢得上级理解支持。“8·20”疫情防控中，坚持第一时间到岗，第一时间明确“六大纪律要求”，15个督查小组24小时连轴转，下发督查通报10期，处置问题线索45件，处分15人，为全县3天控局面、7天无新增高效抗疫注入了强有力的纪检监察力量。主动开展谈心谈话1606人次，作风检查352次，通报批评100多人次。在选人用人、评先评优等方面，廉政把关74批3406人，出具暂缓或否定性意见31人次，把牢了政治关、廉洁关，强力推动管党治党政治责任落到实处。</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二）聚焦惩腐肃贪，“三不腐”效应叠加释放。全年立案207件，给予党纪政务处分182人次，其中县管干部18人，挽回经济损失1468.41万元。严肃查处丰穗粮食购销有限公司原总经理张某、原副总经理贺某严重违纪违法并涉嫌职务犯罪案件，移送检察机关3人。组织38人次办理市纪委监委“3·29”“4·28”“6·14”“9·01”“11·12”等5个系列专案，为全市反腐败斗争贡献了华容力量。针对典型案件暴露出的问题，督促县商务粮食局及时召开以案促改警示教育大会，修订完善相关规章制度，堵塞工作漏洞，强化风险防控。全年下发纪检监察建议书7份，督促相关单位党组织及时整改。组织开展专题监督检查，推动相关行业主管部门整治行业乱象，规范权力运行。组织全县公职人员及其家属集中开展廉政警示教育活动30余场1500余人次。严格落实新时代廉洁文化建设及清廉湖南建设要求，协助县委出台清廉建设工作方案，压紧压实牵头单位主体责任，构建“1+6”清廉华容建设模式，全市首个清廉单元建设现场推进会在华容召开，我县相关工作经验被中央、省、市主流媒体报道推介。</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三）聚焦监督首责，治理效能明显提升。树牢“严管就是厚爱”理念，坚持提醒在先、监督在前，着力整治“浮泛拖推、逐利争好”突出问题，加强年轻干部教育监督管理，进一步盯紧了“关键少数”、重要岗位。注重发挥派驻纪检监察组“派”的权威和“驻”的优势，14个派驻纪检监察组查办问题线索106件，立案60件，处分58人。督促织密织牢廉政风险防控网络，各单位共查找“关键少数”廉政风险点8003个，制定防控措施8456条，推动依纪依法用权、公平公正行权。精准规范运用“四种形态”，发现问题及时谈话函询、提醒纠正，严把第一道关口，其中运用第一、二种形态处置问题线索占比87%，促进了党员干部更加相信依赖组织，更加严格要求自己。出台县委巡察工作五年规划和村（社区）党组织巡察全覆盖五年专项规划，对4个乡镇党委、12个县直部门单位和49个村（社区）党组织开展第二轮、第三轮常规巡察、违规举债和虚假化债专项巡察，共发现问题257个，线索34件。完成第一轮巡察整改评估，及时将第二轮巡察集中整改进展情况报告向党内和社会公开，两轮巡察共追责问责干部311人，处分15人，诫勉谈话16人，谈话提醒78人，建章立制125项，清退清缴各类违规资金154.83万元，巡察利剑的震慑、遏制、治本作用得到充分彰显。积极探索“1+N”专项监督模式，盘活“室组地”力量资源，联合开展专项监督193轮次，发现问题446个，组织处理204人，处分48人。用好“互联网+监督”平台，比对发现“公职人员重复领取企业养老金”问题线索14件，组织处理4人，追缴资金1.24万元；加强公职人员违规兼职取酬问题线索处置，组织处理11人，追缴违规所得35.85万元。</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四）聚焦正风肃纪，新风正气不断充盈。锲而不舍落实中央八项规定及其实施细则精神，揪住不正之风“老问题”，密切关注“新动向”，对党员干部和公职人员“涉酒涉牌”突出问题进行集中整治，开展暗访督查10轮次，发现问题线索25件，处分29人。紧盯重要节假日开展作风督查6轮次，发现并移交各单位整改问题133个，约谈相关单位分管负责人23人次，以优良党风带动作风持续向好。着力防治“舌尖上的腐败”，紧盯违规吃喝典型问题，常态化开展明察暗访和专项检查，发现问题线索10件，处分6人。持续深化违规收送红包礼金专项整治，组织开展专题谈心谈话925人次，签订承诺书963份，上交“清风”账户112万元。扎实推进“吃空饷”专项整治，清查“吃空饷”人员39人，追缴资金57.67万元。更新完善廉政档案，新增县管干部纸质廉政档案116份，县管干部主动报备婚丧喜庆事宜65人次，有效遏制了“老问题”复燃、“新问题”萌发、“小问题”坐大。</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五）聚焦执纪为民，民生福祉更有“质感”。深化惠民惠农财政补贴资金“一卡通”问题专项治理，下发督办函11份，交办函3份，处理68人次，追缴资金5.55万元，注销、停用银行卡160张。开展农村乱占耕地建房专项治理，发现问题线索4件，处分10人。加强乡村振兴领域专项监督，查处问题线索14件，处分16人。持续开展“我为群众办实事”活动，推动“公开接访”“干部下访”，共接待来访群众234批326人次，交办督办疑难信访件112件，越级访53件，同比减少7%，我县信访举报办理质效的经验被省纪委监委推介。围绕“学位、床位、车位、厕位”问题，主动上门监督，督促职能部门新增城区停车位1900余个，严查在“四位”上利用公共资源与民争利、谋私贪腐典型问题4个，处分6人，追缴资金21.25万元，既让发展有“温度”，又让整治有“力度”。紧盯基层“事”，开展农村集体“三资”管理突出问题专项监督，抽查8个乡镇12个村（社区）乡村振兴资金项目78个，移送问题线索16件，处分6人。紧盯基层“人”，加强清廉支部建设，对38名新进村支两委班子候选人进行“廉政体检”，否定候选人3名。紧盯基层“声”，注重发挥“群情通”“小微权力监督一点通”平台作用，督促及时处理工单，妥善解决问题，切实做到了民有所呼、我有所应，民有所求、我有所为，助推了基层治理“136”工程不断走向深入。</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六）聚焦自身建设，着力打造反腐铁军。深入学习领会习近平新时代中国特色社会主义思想，切实把学习宣传贯彻党的二十大精神作为首要政治任务，严格落实“第一议题”制度，持之以恒用党的创新理论成果武装头脑，坚持在学习中坚定政治方向、锤炼政治信仰。持续推进“大起底、大讨论、大学习、大比武、大创建”系列活动，注重“导师带新人”、岗位大练兵，加强专业能力培训，提升业务本领。坚持边学习、边调研、边工作、边总结，深入开展走访调研，及时发现问题、总结经验，不断提高工作质量和水平，着力打造政治强、班子好、素质高、形象佳、业绩优的“有为”纪委监委，推进纪检监察工作规范化、法治化、正规化严格执行纪委常委班子自身建设十条、请示报告制度和纪检监察干部“负面清单”制度，加强对纪检监察干部“八小时之外”的监督和廉政档案管理，自觉接受党内监督、人大监督和社会各方面监督，坚决查处违纪违法行为，切实做到“三防”“四慎”，让纪检监察干部始终置身“最严格的监督”中。</w:t>
      </w: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高级黑" w:hAnsi="高级黑" w:eastAsia="高级黑" w:cs="高级黑"/>
          <w:sz w:val="32"/>
          <w:szCs w:val="32"/>
          <w:lang w:eastAsia="zh-CN"/>
        </w:rPr>
      </w:pPr>
      <w:r>
        <w:rPr>
          <w:rFonts w:hint="eastAsia" w:ascii="高级黑" w:hAnsi="高级黑" w:eastAsia="高级黑" w:cs="高级黑"/>
          <w:sz w:val="32"/>
          <w:szCs w:val="32"/>
          <w:lang w:eastAsia="zh-CN"/>
        </w:rPr>
        <w:t>五</w:t>
      </w:r>
      <w:r>
        <w:rPr>
          <w:rFonts w:hint="default" w:ascii="高级黑" w:hAnsi="高级黑" w:eastAsia="高级黑" w:cs="高级黑"/>
          <w:sz w:val="32"/>
          <w:szCs w:val="32"/>
          <w:lang w:eastAsia="zh-CN"/>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560" w:firstLineChars="200"/>
        <w:jc w:val="both"/>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（一）绩效指标不够明确、细化和量化。上级没有固定的绩效评价指标，各单位根据实际情况制定的绩效指标，引用的指标多是对本部门单位有利的指标，容易缺失工作重点，偏离工作实际。</w:t>
      </w:r>
    </w:p>
    <w:p>
      <w:pPr>
        <w:keepNext w:val="0"/>
        <w:keepLines w:val="0"/>
        <w:pageBreakBefore w:val="0"/>
        <w:widowControl/>
        <w:kinsoku/>
        <w:wordWrap/>
        <w:overflowPunct/>
        <w:topLinePunct w:val="0"/>
        <w:autoSpaceDE/>
        <w:autoSpaceDN/>
        <w:bidi w:val="0"/>
        <w:adjustRightInd/>
        <w:snapToGrid/>
        <w:spacing w:line="610" w:lineRule="exact"/>
        <w:ind w:firstLine="560" w:firstLineChars="200"/>
        <w:jc w:val="both"/>
        <w:textAlignment w:val="auto"/>
        <w:rPr>
          <w:rFonts w:hint="default" w:ascii="仿宋" w:hAnsi="仿宋" w:eastAsia="仿宋" w:cs="仿宋_GB2312"/>
          <w:b w:val="0"/>
          <w:bCs/>
          <w:sz w:val="28"/>
          <w:szCs w:val="28"/>
          <w:lang w:val="en-US" w:eastAsia="zh-CN"/>
        </w:rPr>
      </w:pPr>
      <w:r>
        <w:rPr>
          <w:rFonts w:hint="eastAsia" w:ascii="仿宋" w:hAnsi="仿宋" w:eastAsia="仿宋" w:cs="仿宋_GB2312"/>
          <w:b w:val="0"/>
          <w:bCs/>
          <w:sz w:val="28"/>
          <w:szCs w:val="28"/>
          <w:lang w:val="en-US" w:eastAsia="zh-CN"/>
        </w:rPr>
        <w:t>（二）绩效目标设定不够合理。部门在年初设定绩效目标时，往往是把年度工作计划或重点工作内容直接用来作为绩效目标，目标比较模糊，质量有待提高。</w:t>
      </w:r>
    </w:p>
    <w:p>
      <w:pPr>
        <w:keepNext w:val="0"/>
        <w:keepLines w:val="0"/>
        <w:pageBreakBefore w:val="0"/>
        <w:numPr>
          <w:ilvl w:val="0"/>
          <w:numId w:val="3"/>
        </w:numPr>
        <w:kinsoku/>
        <w:wordWrap/>
        <w:overflowPunct/>
        <w:topLinePunct w:val="0"/>
        <w:autoSpaceDE/>
        <w:autoSpaceDN/>
        <w:bidi w:val="0"/>
        <w:adjustRightInd/>
        <w:snapToGrid/>
        <w:spacing w:line="600" w:lineRule="exact"/>
        <w:jc w:val="both"/>
        <w:textAlignment w:val="auto"/>
        <w:rPr>
          <w:rFonts w:hint="default" w:ascii="高级黑" w:hAnsi="高级黑" w:eastAsia="高级黑" w:cs="高级黑"/>
          <w:sz w:val="32"/>
          <w:szCs w:val="32"/>
          <w:lang w:eastAsia="zh-CN"/>
        </w:rPr>
      </w:pPr>
      <w:r>
        <w:rPr>
          <w:rFonts w:hint="default" w:ascii="高级黑" w:hAnsi="高级黑" w:eastAsia="高级黑" w:cs="高级黑"/>
          <w:sz w:val="32"/>
          <w:szCs w:val="32"/>
          <w:lang w:eastAsia="zh-CN"/>
        </w:rPr>
        <w:t>下一步改进措施</w:t>
      </w:r>
    </w:p>
    <w:p>
      <w:pPr>
        <w:pStyle w:val="2"/>
        <w:keepNext w:val="0"/>
        <w:keepLines w:val="0"/>
        <w:pageBreakBefore w:val="0"/>
        <w:numPr>
          <w:ilvl w:val="0"/>
          <w:numId w:val="0"/>
        </w:numPr>
        <w:kinsoku/>
        <w:wordWrap/>
        <w:overflowPunct/>
        <w:topLinePunct w:val="0"/>
        <w:autoSpaceDE/>
        <w:autoSpaceDN/>
        <w:bidi w:val="0"/>
        <w:adjustRightInd/>
        <w:snapToGrid/>
        <w:ind w:leftChars="0" w:firstLine="560" w:firstLineChars="200"/>
        <w:textAlignment w:val="auto"/>
        <w:rPr>
          <w:rFonts w:hint="default"/>
          <w:lang w:eastAsia="zh-CN"/>
        </w:rPr>
      </w:pPr>
      <w:r>
        <w:rPr>
          <w:rFonts w:hint="eastAsia" w:ascii="仿宋" w:hAnsi="仿宋" w:eastAsia="仿宋" w:cs="仿宋_GB2312"/>
          <w:b w:val="0"/>
          <w:bCs/>
          <w:sz w:val="28"/>
          <w:szCs w:val="28"/>
          <w:lang w:val="en-US" w:eastAsia="zh-CN"/>
        </w:rPr>
        <w:t>严肃财政预算执行，预算执行情况直接影响部门整体支出绩效，重视预算执行效果，严格把控资金运行，使财政资金发挥更大的效益。</w:t>
      </w:r>
    </w:p>
    <w:p>
      <w:pPr>
        <w:keepNext w:val="0"/>
        <w:keepLines w:val="0"/>
        <w:pageBreakBefore w:val="0"/>
        <w:numPr>
          <w:ilvl w:val="0"/>
          <w:numId w:val="3"/>
        </w:numPr>
        <w:kinsoku/>
        <w:wordWrap/>
        <w:overflowPunct/>
        <w:topLinePunct w:val="0"/>
        <w:autoSpaceDE/>
        <w:autoSpaceDN/>
        <w:bidi w:val="0"/>
        <w:adjustRightInd/>
        <w:snapToGrid/>
        <w:spacing w:line="600" w:lineRule="exact"/>
        <w:ind w:left="0" w:leftChars="0" w:firstLine="0" w:firstLineChars="0"/>
        <w:jc w:val="both"/>
        <w:textAlignment w:val="auto"/>
        <w:rPr>
          <w:rFonts w:hint="default" w:ascii="高级黑" w:hAnsi="高级黑" w:eastAsia="高级黑" w:cs="高级黑"/>
          <w:sz w:val="32"/>
          <w:szCs w:val="32"/>
          <w:lang w:eastAsia="zh-CN"/>
        </w:rPr>
      </w:pPr>
      <w:r>
        <w:rPr>
          <w:rFonts w:hint="default" w:ascii="高级黑" w:hAnsi="高级黑" w:eastAsia="高级黑" w:cs="高级黑"/>
          <w:sz w:val="32"/>
          <w:szCs w:val="32"/>
          <w:lang w:eastAsia="zh-CN"/>
        </w:rPr>
        <w:t>其他需要说明的情况</w:t>
      </w: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r>
        <w:rPr>
          <w:rFonts w:hint="eastAsia"/>
          <w:lang w:val="en-US" w:eastAsia="zh-CN"/>
        </w:rPr>
        <w:t>无。</w:t>
      </w: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仿宋_GB2312" w:hAnsi="宋体" w:eastAsia="仿宋_GB2312" w:cs="宋体"/>
                <w:b/>
                <w:bCs/>
                <w:kern w:val="0"/>
                <w:sz w:val="18"/>
                <w:szCs w:val="18"/>
                <w:lang w:val="en-US" w:eastAsia="zh-CN"/>
              </w:rPr>
              <w:t>99</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6"/>
        <w:rPr>
          <w:rFonts w:hint="eastAsia"/>
          <w:lang w:val="en-US" w:eastAsia="zh-CN"/>
        </w:rPr>
        <w:sectPr>
          <w:headerReference r:id="rId3" w:type="default"/>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留置专项</w:t>
            </w:r>
          </w:p>
        </w:tc>
      </w:tr>
      <w:tr>
        <w:tblPrEx>
          <w:tblCellMar>
            <w:top w:w="0" w:type="dxa"/>
            <w:left w:w="108" w:type="dxa"/>
            <w:bottom w:w="0" w:type="dxa"/>
            <w:right w:w="108" w:type="dxa"/>
          </w:tblCellMar>
        </w:tblPrEx>
        <w:trPr>
          <w:trHeight w:val="485" w:hRule="atLeast"/>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华容县纪委监委</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华容县纪委监委</w:t>
            </w:r>
          </w:p>
        </w:tc>
      </w:tr>
      <w:tr>
        <w:tblPrEx>
          <w:tblCellMar>
            <w:top w:w="0" w:type="dxa"/>
            <w:left w:w="108" w:type="dxa"/>
            <w:bottom w:w="0" w:type="dxa"/>
            <w:right w:w="108" w:type="dxa"/>
          </w:tblCellMar>
        </w:tblPrEx>
        <w:trPr>
          <w:trHeight w:val="580"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47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407.12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407.12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trHeight w:val="48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407.12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407.12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trHeight w:val="42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9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70"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102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认真贯彻落实全面从严治党战略方针，坚决扛起管党治党政治责任，深入推进党风廉政建设和反腐败斗争</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忠诚履职尽责、敢于担当作为，切实发挥监督保障执行、促进完善发展作用，为加快推进富美华容现代化强县建设提供了坚强保障。</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留置对象人数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6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57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目标完成率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0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按时间节点完成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按期完成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按期完成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9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严格控制专项开支</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2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贡献财政收入</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确保党中央政令畅通，党内政治生态明显好转</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效果显著</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效果显著</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6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严明党的政治纪律、政治规矩，净化政治生态</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效果显著</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效果显著</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4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坚定不移惩贪治腐，紧贴中心、服务大局，充分发挥监督保障执行、促进完善发展作用</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效果显著</w:t>
            </w: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效果显著</w:t>
            </w: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55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加大群众身边腐败问题的处理力度，增强人民群众获得感</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效果显著</w:t>
            </w: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效果显著</w:t>
            </w: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62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600" w:hRule="atLeast"/>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6"/>
        <w:rPr>
          <w:rFonts w:hint="eastAsia"/>
        </w:rPr>
      </w:pPr>
      <w:bookmarkStart w:id="0" w:name="_GoBack"/>
      <w:bookmarkEnd w:id="0"/>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刘建芳</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2013.07.17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15873095838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华容县纪委监委留置专项经费</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华容县纪委监委留置专项经费</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rPr>
      </w:pPr>
      <w:r>
        <w:rPr>
          <w:rFonts w:hint="eastAsia" w:ascii="高级黑" w:hAnsi="高级黑" w:eastAsia="高级黑" w:cs="高级黑"/>
          <w:sz w:val="30"/>
          <w:szCs w:val="30"/>
        </w:rPr>
        <w:t>一、基本情况</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(一)项目概况。</w:t>
      </w:r>
      <w:r>
        <w:rPr>
          <w:rFonts w:hint="eastAsia" w:ascii="仿宋" w:hAnsi="仿宋" w:eastAsia="仿宋" w:cs="仿宋_GB2312"/>
          <w:b w:val="0"/>
          <w:bCs/>
          <w:sz w:val="28"/>
          <w:szCs w:val="28"/>
          <w:lang w:val="en-US" w:eastAsia="zh-CN"/>
        </w:rPr>
        <w:t>深入贯彻落实习近平总书记重要讲话重要指示批示精神，加强监督检查和调研督导，推动党中央重大决策部署落实落地。2022年华容县纪委监委留置对象3人，同时选派优秀办案人员38人次，参与上级纪委监委专案办理，为全市反腐败斗争贡献华容力量。</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(二)项目绩效目标。</w:t>
      </w:r>
      <w:r>
        <w:rPr>
          <w:rFonts w:hint="eastAsia" w:ascii="仿宋" w:hAnsi="仿宋" w:eastAsia="仿宋" w:cs="仿宋_GB2312"/>
          <w:b w:val="0"/>
          <w:bCs/>
          <w:sz w:val="28"/>
          <w:szCs w:val="28"/>
          <w:lang w:val="en-US" w:eastAsia="zh-CN"/>
        </w:rPr>
        <w:t>围绕监督执纪问责和监督调查处置职能职责深入开展调查研究，深入查处民生领域与群众边腐败和作风问题，为全县经济发展保驾护航。</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rPr>
      </w:pPr>
      <w:r>
        <w:rPr>
          <w:rFonts w:hint="eastAsia" w:ascii="高级黑" w:hAnsi="高级黑" w:eastAsia="高级黑" w:cs="高级黑"/>
          <w:sz w:val="30"/>
          <w:szCs w:val="30"/>
        </w:rPr>
        <w:t>二、绩效评价工作开展情况</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(一)绩效评价目的、对象和范围。</w:t>
      </w:r>
      <w:r>
        <w:rPr>
          <w:rFonts w:hint="eastAsia" w:ascii="仿宋" w:hAnsi="仿宋" w:eastAsia="仿宋" w:cs="仿宋_GB2312"/>
          <w:b w:val="0"/>
          <w:bCs/>
          <w:sz w:val="28"/>
          <w:szCs w:val="28"/>
          <w:lang w:val="en-US" w:eastAsia="zh-CN"/>
        </w:rPr>
        <w:t>为了客观、科学、公正的评价纪检监察留置专项资金使用情况，全面评价专项资金的效用效益，</w:t>
      </w:r>
      <w:r>
        <w:rPr>
          <w:rFonts w:hint="default" w:ascii="仿宋" w:hAnsi="仿宋" w:eastAsia="仿宋" w:cs="仿宋_GB2312"/>
          <w:b w:val="0"/>
          <w:bCs/>
          <w:sz w:val="28"/>
          <w:szCs w:val="28"/>
          <w:lang w:val="en-US" w:eastAsia="zh-CN"/>
        </w:rPr>
        <w:t>通过开展绩效评价工作能够清晰的从资金层面反映单位工作的内容及工作目标、工作成效、工作标准。借助投入与产出分析，资金使用效果及产生的经济效益、社会效益分析。促进资金管理科学化、规范化。通过适时的资金预算、预算执行、执行成果的绩效评价，为以后年度更加合理、精准、合理编制预算，选择项目和项目实施主体提供经验基础。</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(二)绩效评价原则、评价指标体系(附表说明)、评价方法、 评价标准等。</w:t>
      </w:r>
      <w:r>
        <w:rPr>
          <w:rFonts w:hint="eastAsia" w:ascii="仿宋" w:hAnsi="仿宋" w:eastAsia="仿宋" w:cs="仿宋_GB2312"/>
          <w:b w:val="0"/>
          <w:bCs/>
          <w:sz w:val="28"/>
          <w:szCs w:val="28"/>
          <w:lang w:val="en-US" w:eastAsia="zh-CN"/>
        </w:rPr>
        <w:t>根据财政部门对财政支出绩效评价管理的相关规定和工作要求，本次绩效评价遵循科学规范和绩效相关原则；评价方法采用目标比较法和因素分析法；设置了定量与定性相结合的指标，评价标准详见“2022年度项目支出绩效自评表”。</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(三)绩效评价工作过程。</w:t>
      </w:r>
      <w:r>
        <w:rPr>
          <w:rFonts w:hint="eastAsia" w:ascii="仿宋" w:hAnsi="仿宋" w:eastAsia="仿宋" w:cs="仿宋_GB2312"/>
          <w:b w:val="0"/>
          <w:bCs/>
          <w:sz w:val="28"/>
          <w:szCs w:val="28"/>
          <w:lang w:val="en-US" w:eastAsia="zh-CN"/>
        </w:rPr>
        <w:t>根据《华容县财政局关于开展2022年度财政预算支出绩效自评工作的通知》（华财函[2023]63号）有关规定，结合我委工作实际，成立了以县纪委副书记县监委副主任为组长的绩效自评工作组，认真开展预算支出绩效自评工作。绩效自评采取量化评分的形式，由各项指标加权汇总形成，总分100分，其中全部完成记该指标所赋全部分值，未完成指标按照完成值与指标的比例计分。最后根据打分情况，由办公室财务人员进行汇总填写绩效自评表撰写自评报告。在开展绩效自评工作时，各室、办、中心、组认真配合，全面整理评价所需基础信息资料，在日常财务管理严格遵循财务审批制度，做到了客观真实，绩效目标按计划完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rPr>
      </w:pPr>
      <w:r>
        <w:rPr>
          <w:rFonts w:hint="eastAsia" w:ascii="高级黑" w:hAnsi="高级黑" w:eastAsia="高级黑" w:cs="高级黑"/>
          <w:sz w:val="30"/>
          <w:szCs w:val="30"/>
        </w:rPr>
        <w:t xml:space="preserve">三、综合评价情况及评价结论 </w:t>
      </w:r>
    </w:p>
    <w:p>
      <w:pPr>
        <w:pStyle w:val="2"/>
        <w:numPr>
          <w:ilvl w:val="0"/>
          <w:numId w:val="0"/>
        </w:numPr>
        <w:ind w:leftChars="0"/>
        <w:rPr>
          <w:rFonts w:hint="eastAsia" w:ascii="仿宋" w:hAnsi="仿宋" w:eastAsia="仿宋" w:cs="仿宋_GB2312"/>
          <w:b w:val="0"/>
          <w:bCs/>
          <w:kern w:val="2"/>
          <w:sz w:val="28"/>
          <w:szCs w:val="28"/>
          <w:lang w:val="en-US" w:eastAsia="zh-CN" w:bidi="ar-SA"/>
        </w:rPr>
      </w:pPr>
      <w:r>
        <w:rPr>
          <w:rFonts w:hint="eastAsia" w:ascii="仿宋" w:hAnsi="仿宋" w:eastAsia="仿宋" w:cs="仿宋_GB2312"/>
          <w:b w:val="0"/>
          <w:bCs/>
          <w:kern w:val="2"/>
          <w:sz w:val="28"/>
          <w:szCs w:val="28"/>
          <w:lang w:val="en-US" w:eastAsia="zh-CN" w:bidi="ar-SA"/>
        </w:rPr>
        <w:t>圆满完成大案要案的各项工作任务，实现政治效果、纪法效果、社会效果的有机统一。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rPr>
      </w:pPr>
      <w:r>
        <w:rPr>
          <w:rFonts w:hint="eastAsia" w:ascii="高级黑" w:hAnsi="高级黑" w:eastAsia="高级黑" w:cs="高级黑"/>
          <w:sz w:val="30"/>
          <w:szCs w:val="30"/>
        </w:rPr>
        <w:t>四、绩效评价指标分析</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(一)项目决策情况。</w:t>
      </w:r>
      <w:r>
        <w:rPr>
          <w:rFonts w:hint="eastAsia" w:ascii="仿宋" w:hAnsi="仿宋" w:eastAsia="仿宋" w:cs="仿宋_GB2312"/>
          <w:b w:val="0"/>
          <w:bCs/>
          <w:sz w:val="28"/>
          <w:szCs w:val="28"/>
          <w:lang w:val="en-US" w:eastAsia="zh-CN"/>
        </w:rPr>
        <w:t>坚持把纪律规矩挺在前面，深入查找违纪违法方面问题。</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(二)项目过程情况。</w:t>
      </w:r>
      <w:r>
        <w:rPr>
          <w:rFonts w:hint="eastAsia" w:ascii="仿宋" w:hAnsi="仿宋" w:eastAsia="仿宋" w:cs="仿宋_GB2312"/>
          <w:b w:val="0"/>
          <w:bCs/>
          <w:sz w:val="28"/>
          <w:szCs w:val="28"/>
          <w:lang w:val="en-US" w:eastAsia="zh-CN"/>
        </w:rPr>
        <w:t>在项目实施过程中，本着厉行节约的原则，严格按照“三重一大”程序和一事一议、一案一报的要求管理和使用专项资金。</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(三)项目产出情况。</w:t>
      </w:r>
      <w:r>
        <w:rPr>
          <w:rFonts w:hint="eastAsia" w:ascii="仿宋" w:hAnsi="仿宋" w:eastAsia="仿宋" w:cs="仿宋_GB2312"/>
          <w:b w:val="0"/>
          <w:bCs/>
          <w:sz w:val="28"/>
          <w:szCs w:val="28"/>
          <w:lang w:val="en-US" w:eastAsia="zh-CN"/>
        </w:rPr>
        <w:t>严肃查处丰穗粮食购销有限公司原总经理张军、原副总经理贺常义严重违纪违法并涉嫌职务犯罪案件，移送检察机关3人，粮食购销领域腐败问题专项整治工作成效显著。针对典型案件暴露出的问题，督促县商务粮食局及时召开以案促改警示教育大会，修订完善相关规章制度，堵塞工作漏洞，强化风险防控。组织38人次办理市纪委监委“3·29”“4·28”“6·14”“9·01”“11·12”等5个系列专案，为全市反腐败斗争贡献了华容力量。</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_GB2312"/>
          <w:b w:val="0"/>
          <w:bCs/>
          <w:sz w:val="28"/>
          <w:szCs w:val="28"/>
          <w:lang w:val="en-US" w:eastAsia="zh-CN"/>
        </w:rPr>
      </w:pPr>
      <w:r>
        <w:rPr>
          <w:rFonts w:hint="eastAsia" w:ascii="仿宋" w:hAnsi="仿宋" w:eastAsia="仿宋" w:cs="仿宋_GB2312"/>
          <w:b/>
          <w:bCs w:val="0"/>
          <w:sz w:val="28"/>
          <w:szCs w:val="28"/>
          <w:lang w:val="en-US" w:eastAsia="zh-CN"/>
        </w:rPr>
        <w:t>(四)项目效益情况。</w:t>
      </w:r>
      <w:r>
        <w:rPr>
          <w:rFonts w:hint="eastAsia" w:ascii="仿宋" w:hAnsi="仿宋" w:eastAsia="仿宋" w:cs="仿宋_GB2312"/>
          <w:b w:val="0"/>
          <w:bCs/>
          <w:sz w:val="28"/>
          <w:szCs w:val="28"/>
          <w:lang w:val="en-US" w:eastAsia="zh-CN"/>
        </w:rPr>
        <w:t>坚持推进“三不”一体拓展深化，治腐效能显著提升，“不敢腐”的震慑更强烈，“不能腐”的笼子更严密，“不想腐”的堤坝更牢固。</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rPr>
      </w:pPr>
      <w:r>
        <w:rPr>
          <w:rFonts w:hint="eastAsia" w:ascii="高级黑" w:hAnsi="高级黑" w:eastAsia="高级黑" w:cs="高级黑"/>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_GB2312"/>
          <w:b w:val="0"/>
          <w:bCs/>
          <w:kern w:val="2"/>
          <w:sz w:val="28"/>
          <w:szCs w:val="28"/>
          <w:lang w:val="en-US" w:eastAsia="zh-CN" w:bidi="ar-SA"/>
        </w:rPr>
      </w:pPr>
      <w:r>
        <w:rPr>
          <w:rFonts w:hint="eastAsia" w:ascii="仿宋" w:hAnsi="仿宋" w:eastAsia="仿宋" w:cs="仿宋_GB2312"/>
          <w:b w:val="0"/>
          <w:bCs/>
          <w:sz w:val="28"/>
          <w:szCs w:val="28"/>
          <w:lang w:val="en-US" w:eastAsia="zh-CN"/>
        </w:rPr>
        <w:t>华容县纪委监委留置专项经费预算</w:t>
      </w:r>
      <w:r>
        <w:rPr>
          <w:rFonts w:hint="default" w:ascii="仿宋" w:hAnsi="仿宋" w:eastAsia="仿宋" w:cs="仿宋_GB2312"/>
          <w:b w:val="0"/>
          <w:bCs/>
          <w:sz w:val="28"/>
          <w:szCs w:val="28"/>
          <w:lang w:val="en-US" w:eastAsia="zh-CN"/>
        </w:rPr>
        <w:t>科学、合理、实事求是</w:t>
      </w:r>
      <w:r>
        <w:rPr>
          <w:rFonts w:hint="eastAsia" w:ascii="仿宋" w:hAnsi="仿宋" w:eastAsia="仿宋" w:cs="仿宋_GB2312"/>
          <w:b w:val="0"/>
          <w:bCs/>
          <w:sz w:val="28"/>
          <w:szCs w:val="28"/>
          <w:lang w:val="en-US" w:eastAsia="zh-CN"/>
        </w:rPr>
        <w:t>，项目资金专款专用，每笔资金的拨付都严格遵守审批程序，不存在</w:t>
      </w:r>
      <w:r>
        <w:rPr>
          <w:rFonts w:hint="default" w:ascii="仿宋" w:hAnsi="仿宋" w:eastAsia="仿宋" w:cs="仿宋_GB2312"/>
          <w:b w:val="0"/>
          <w:bCs/>
          <w:sz w:val="28"/>
          <w:szCs w:val="28"/>
          <w:lang w:val="en-US" w:eastAsia="zh-CN"/>
        </w:rPr>
        <w:t>挤占、挪用，浪费等情况，在整个项目执行过程中没有发现违规、违纪现象。</w:t>
      </w:r>
      <w:r>
        <w:rPr>
          <w:rFonts w:hint="eastAsia" w:ascii="仿宋" w:hAnsi="仿宋" w:eastAsia="仿宋" w:cs="仿宋_GB2312"/>
          <w:b w:val="0"/>
          <w:bCs/>
          <w:sz w:val="28"/>
          <w:szCs w:val="28"/>
          <w:lang w:val="en-US" w:eastAsia="zh-CN"/>
        </w:rPr>
        <w:t>但项目绩效评价工作部署、执行等总体工作离上级要求还有差距，原因主要是</w:t>
      </w:r>
      <w:r>
        <w:rPr>
          <w:rFonts w:hint="default" w:ascii="仿宋" w:hAnsi="仿宋" w:eastAsia="仿宋" w:cs="仿宋_GB2312"/>
          <w:b w:val="0"/>
          <w:bCs/>
          <w:sz w:val="28"/>
          <w:szCs w:val="28"/>
          <w:lang w:val="en-US" w:eastAsia="zh-CN"/>
        </w:rPr>
        <w:t>单位前期项目</w:t>
      </w:r>
      <w:r>
        <w:rPr>
          <w:rFonts w:hint="eastAsia" w:ascii="仿宋" w:hAnsi="仿宋" w:eastAsia="仿宋" w:cs="仿宋_GB2312"/>
          <w:b w:val="0"/>
          <w:bCs/>
          <w:sz w:val="28"/>
          <w:szCs w:val="28"/>
          <w:lang w:val="en-US" w:eastAsia="zh-CN"/>
        </w:rPr>
        <w:t>预算</w:t>
      </w:r>
      <w:r>
        <w:rPr>
          <w:rFonts w:hint="default" w:ascii="仿宋" w:hAnsi="仿宋" w:eastAsia="仿宋" w:cs="仿宋_GB2312"/>
          <w:b w:val="0"/>
          <w:bCs/>
          <w:sz w:val="28"/>
          <w:szCs w:val="28"/>
          <w:lang w:val="en-US" w:eastAsia="zh-CN"/>
        </w:rPr>
        <w:t>编制</w:t>
      </w:r>
      <w:r>
        <w:rPr>
          <w:rFonts w:hint="eastAsia" w:ascii="仿宋" w:hAnsi="仿宋" w:eastAsia="仿宋" w:cs="仿宋_GB2312"/>
          <w:b w:val="0"/>
          <w:bCs/>
          <w:sz w:val="28"/>
          <w:szCs w:val="28"/>
          <w:lang w:val="en-US" w:eastAsia="zh-CN"/>
        </w:rPr>
        <w:t>绩效目标</w:t>
      </w:r>
      <w:r>
        <w:rPr>
          <w:rFonts w:hint="default" w:ascii="仿宋" w:hAnsi="仿宋" w:eastAsia="仿宋" w:cs="仿宋_GB2312"/>
          <w:b w:val="0"/>
          <w:bCs/>
          <w:sz w:val="28"/>
          <w:szCs w:val="28"/>
          <w:lang w:val="en-US" w:eastAsia="zh-CN"/>
        </w:rPr>
        <w:t>工作精细化有待提高，指标设定合理性不够。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高级黑" w:hAnsi="高级黑" w:eastAsia="高级黑" w:cs="高级黑"/>
          <w:sz w:val="30"/>
          <w:szCs w:val="30"/>
          <w:lang w:val="en-US" w:eastAsia="zh-CN"/>
        </w:rPr>
      </w:pPr>
      <w:r>
        <w:rPr>
          <w:rFonts w:hint="eastAsia" w:ascii="高级黑" w:hAnsi="高级黑" w:eastAsia="高级黑" w:cs="高级黑"/>
          <w:sz w:val="30"/>
          <w:szCs w:val="30"/>
          <w:lang w:eastAsia="zh-CN"/>
        </w:rPr>
        <w:t>六</w:t>
      </w:r>
      <w:r>
        <w:rPr>
          <w:rFonts w:hint="eastAsia" w:ascii="高级黑" w:hAnsi="高级黑" w:eastAsia="高级黑" w:cs="高级黑"/>
          <w:sz w:val="30"/>
          <w:szCs w:val="30"/>
        </w:rPr>
        <w:t>、其他需要说明的问题</w:t>
      </w:r>
    </w:p>
    <w:p>
      <w:pPr>
        <w:pStyle w:val="2"/>
        <w:keepNext w:val="0"/>
        <w:keepLines w:val="0"/>
        <w:pageBreakBefore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_GB2312"/>
          <w:b w:val="0"/>
          <w:bCs/>
          <w:kern w:val="2"/>
          <w:sz w:val="28"/>
          <w:szCs w:val="28"/>
          <w:lang w:val="en-US" w:eastAsia="zh-CN" w:bidi="ar-SA"/>
        </w:rPr>
      </w:pPr>
      <w:r>
        <w:rPr>
          <w:rFonts w:hint="eastAsia" w:ascii="仿宋" w:hAnsi="仿宋" w:eastAsia="仿宋" w:cs="仿宋_GB2312"/>
          <w:b w:val="0"/>
          <w:bCs/>
          <w:kern w:val="2"/>
          <w:sz w:val="28"/>
          <w:szCs w:val="28"/>
          <w:lang w:val="en-US" w:eastAsia="zh-CN" w:bidi="ar-SA"/>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4FA4E2-024A-4323-9144-EAC5A35D528A}"/>
  </w:font>
  <w:font w:name="Arial">
    <w:panose1 w:val="020B0604020202020204"/>
    <w:charset w:val="01"/>
    <w:family w:val="swiss"/>
    <w:pitch w:val="default"/>
    <w:sig w:usb0="E0002AFF" w:usb1="C0007843" w:usb2="00000009" w:usb3="00000000" w:csb0="400001FF" w:csb1="FFFF0000"/>
    <w:embedRegular r:id="rId2" w:fontKey="{C1385F7B-4627-47D7-ADCE-B10490243EC7}"/>
  </w:font>
  <w:font w:name="黑体">
    <w:altName w:val="hakuyoxingshu7000"/>
    <w:panose1 w:val="02010609060101010101"/>
    <w:charset w:val="86"/>
    <w:family w:val="auto"/>
    <w:pitch w:val="default"/>
    <w:sig w:usb0="800002BF" w:usb1="38CF7CFA" w:usb2="00000016" w:usb3="00000000" w:csb0="00040001" w:csb1="00000000"/>
    <w:embedRegular r:id="rId3" w:fontKey="{B4E73169-D83E-4403-A7EF-FF69BDC31D05}"/>
  </w:font>
  <w:font w:name="Courier New">
    <w:panose1 w:val="02070309020205020404"/>
    <w:charset w:val="01"/>
    <w:family w:val="modern"/>
    <w:pitch w:val="default"/>
    <w:sig w:usb0="E0002AFF" w:usb1="C0007843" w:usb2="00000009" w:usb3="00000000" w:csb0="400001FF" w:csb1="FFFF0000"/>
    <w:embedRegular r:id="rId4" w:fontKey="{2CC8C6FF-F7DF-4157-ACE8-9BAEA911D8A7}"/>
  </w:font>
  <w:font w:name="Symbol">
    <w:panose1 w:val="05050102010706020507"/>
    <w:charset w:val="02"/>
    <w:family w:val="roman"/>
    <w:pitch w:val="default"/>
    <w:sig w:usb0="00000000" w:usb1="00000000" w:usb2="00000000" w:usb3="00000000" w:csb0="80000000" w:csb1="00000000"/>
    <w:embedRegular r:id="rId5" w:fontKey="{DC7E1E7F-1A45-4F8E-B23C-576277C2A72D}"/>
  </w:font>
  <w:font w:name="Calibri">
    <w:panose1 w:val="020F0502020204030204"/>
    <w:charset w:val="00"/>
    <w:family w:val="swiss"/>
    <w:pitch w:val="default"/>
    <w:sig w:usb0="E00002FF" w:usb1="4000ACFF" w:usb2="00000001" w:usb3="00000000" w:csb0="2000019F" w:csb1="00000000"/>
    <w:embedRegular r:id="rId6" w:fontKey="{E2A21305-D737-4D39-B7E8-58D96197AFFA}"/>
  </w:font>
  <w:font w:name="方正小标宋简体">
    <w:panose1 w:val="02000000000000000000"/>
    <w:charset w:val="86"/>
    <w:family w:val="auto"/>
    <w:pitch w:val="default"/>
    <w:sig w:usb0="00000001" w:usb1="08000000" w:usb2="00000000" w:usb3="00000000" w:csb0="00040000" w:csb1="00000000"/>
    <w:embedRegular r:id="rId7" w:fontKey="{60893060-23A5-463B-BEBC-9BB0A003F270}"/>
  </w:font>
  <w:font w:name="新宋体">
    <w:panose1 w:val="02010609030101010101"/>
    <w:charset w:val="86"/>
    <w:family w:val="auto"/>
    <w:pitch w:val="default"/>
    <w:sig w:usb0="00000003" w:usb1="288F0000" w:usb2="00000006" w:usb3="00000000" w:csb0="00040001" w:csb1="00000000"/>
    <w:embedRegular r:id="rId8" w:fontKey="{B990EAAF-177D-480B-932B-2049D7E4DE45}"/>
  </w:font>
  <w:font w:name="仿宋_GB2312">
    <w:panose1 w:val="02010609030101010101"/>
    <w:charset w:val="86"/>
    <w:family w:val="auto"/>
    <w:pitch w:val="default"/>
    <w:sig w:usb0="00000001" w:usb1="080E0000" w:usb2="00000000" w:usb3="00000000" w:csb0="00040000" w:csb1="00000000"/>
    <w:embedRegular r:id="rId9" w:fontKey="{87DA2BF2-20EB-4019-89E7-B337990B08F7}"/>
  </w:font>
  <w:font w:name="仿宋">
    <w:panose1 w:val="02010609060101010101"/>
    <w:charset w:val="86"/>
    <w:family w:val="auto"/>
    <w:pitch w:val="default"/>
    <w:sig w:usb0="800002BF" w:usb1="38CF7CFA" w:usb2="00000016" w:usb3="00000000" w:csb0="00040001" w:csb1="00000000"/>
    <w:embedRegular r:id="rId10" w:fontKey="{F3DF8691-6E03-4AE8-9B12-BEF30D63D3B6}"/>
  </w:font>
  <w:font w:name="方正小标宋_GBK">
    <w:panose1 w:val="02000000000000000000"/>
    <w:charset w:val="86"/>
    <w:family w:val="script"/>
    <w:pitch w:val="default"/>
    <w:sig w:usb0="A00002BF" w:usb1="38CF7CFA" w:usb2="00082016" w:usb3="00000000" w:csb0="00040001" w:csb1="00000000"/>
    <w:embedRegular r:id="rId11" w:fontKey="{35CCE5F5-CFDB-4F6A-BD69-074EA213149F}"/>
  </w:font>
  <w:font w:name="楷体_GB2312">
    <w:panose1 w:val="02010609030101010101"/>
    <w:charset w:val="86"/>
    <w:family w:val="auto"/>
    <w:pitch w:val="default"/>
    <w:sig w:usb0="00000001" w:usb1="080E0000" w:usb2="00000000" w:usb3="00000000" w:csb0="00040000" w:csb1="00000000"/>
    <w:embedRegular r:id="rId12" w:fontKey="{49D2FCBC-A247-4CB5-BFD7-248BA0852E3C}"/>
  </w:font>
  <w:font w:name="高级黑">
    <w:panose1 w:val="02010600010101010101"/>
    <w:charset w:val="86"/>
    <w:family w:val="auto"/>
    <w:pitch w:val="default"/>
    <w:sig w:usb0="800002BF" w:usb1="78CF6CFB" w:usb2="00000012" w:usb3="00000000" w:csb0="00040001" w:csb1="00000000"/>
    <w:embedRegular r:id="rId13" w:fontKey="{4A7E8351-E385-46B7-943C-CA59FB461F87}"/>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0E180"/>
    <w:multiLevelType w:val="singleLevel"/>
    <w:tmpl w:val="B5B0E180"/>
    <w:lvl w:ilvl="0" w:tentative="0">
      <w:start w:val="6"/>
      <w:numFmt w:val="chineseCounting"/>
      <w:suff w:val="nothing"/>
      <w:lvlText w:val="%1、"/>
      <w:lvlJc w:val="left"/>
      <w:rPr>
        <w:rFonts w:hint="eastAsia"/>
      </w:rPr>
    </w:lvl>
  </w:abstractNum>
  <w:abstractNum w:abstractNumId="1">
    <w:nsid w:val="14E436AB"/>
    <w:multiLevelType w:val="singleLevel"/>
    <w:tmpl w:val="14E436AB"/>
    <w:lvl w:ilvl="0" w:tentative="0">
      <w:start w:val="1"/>
      <w:numFmt w:val="decimal"/>
      <w:pStyle w:val="2"/>
      <w:lvlText w:val="%1."/>
      <w:lvlJc w:val="left"/>
      <w:pPr>
        <w:tabs>
          <w:tab w:val="left" w:pos="360"/>
        </w:tabs>
        <w:ind w:left="360" w:hanging="360"/>
      </w:pPr>
    </w:lvl>
  </w:abstractNum>
  <w:abstractNum w:abstractNumId="2">
    <w:nsid w:val="698E6F78"/>
    <w:multiLevelType w:val="singleLevel"/>
    <w:tmpl w:val="698E6F78"/>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DU5OWIzMDExZDRiOWYxZGQ2ZTRkZjcwOGFlMTQifQ=="/>
  </w:docVars>
  <w:rsids>
    <w:rsidRoot w:val="0CCB7736"/>
    <w:rsid w:val="00047FEF"/>
    <w:rsid w:val="000A3906"/>
    <w:rsid w:val="001776F1"/>
    <w:rsid w:val="002B49EE"/>
    <w:rsid w:val="006F0A16"/>
    <w:rsid w:val="00773328"/>
    <w:rsid w:val="00821883"/>
    <w:rsid w:val="00917857"/>
    <w:rsid w:val="00A755C2"/>
    <w:rsid w:val="016A347B"/>
    <w:rsid w:val="01B446F6"/>
    <w:rsid w:val="02B50488"/>
    <w:rsid w:val="0338470A"/>
    <w:rsid w:val="034822A9"/>
    <w:rsid w:val="03D86621"/>
    <w:rsid w:val="04EE6171"/>
    <w:rsid w:val="05395EA9"/>
    <w:rsid w:val="06BC49F8"/>
    <w:rsid w:val="07EC2E3C"/>
    <w:rsid w:val="09513E3D"/>
    <w:rsid w:val="09EF09C1"/>
    <w:rsid w:val="09EF6941"/>
    <w:rsid w:val="0ABD557B"/>
    <w:rsid w:val="0BBB5A8D"/>
    <w:rsid w:val="0C104906"/>
    <w:rsid w:val="0CCB7736"/>
    <w:rsid w:val="0CE71E24"/>
    <w:rsid w:val="0D9E0E8D"/>
    <w:rsid w:val="0DD71E98"/>
    <w:rsid w:val="0E5F5F62"/>
    <w:rsid w:val="0EAB7397"/>
    <w:rsid w:val="0EF755B3"/>
    <w:rsid w:val="0F0274E4"/>
    <w:rsid w:val="0F17035E"/>
    <w:rsid w:val="0F461BB7"/>
    <w:rsid w:val="0F4E168D"/>
    <w:rsid w:val="10E613F3"/>
    <w:rsid w:val="11404466"/>
    <w:rsid w:val="11963ADD"/>
    <w:rsid w:val="11EB0F5C"/>
    <w:rsid w:val="11F20483"/>
    <w:rsid w:val="12E17C5D"/>
    <w:rsid w:val="131D1B36"/>
    <w:rsid w:val="136F31F8"/>
    <w:rsid w:val="138750E0"/>
    <w:rsid w:val="15032603"/>
    <w:rsid w:val="155913E5"/>
    <w:rsid w:val="15A620D3"/>
    <w:rsid w:val="161F15F0"/>
    <w:rsid w:val="16A3369E"/>
    <w:rsid w:val="17092996"/>
    <w:rsid w:val="178536BD"/>
    <w:rsid w:val="17B202CC"/>
    <w:rsid w:val="1890044B"/>
    <w:rsid w:val="19516372"/>
    <w:rsid w:val="19575CC2"/>
    <w:rsid w:val="19A80228"/>
    <w:rsid w:val="1A101464"/>
    <w:rsid w:val="1AB74849"/>
    <w:rsid w:val="1AC52FF2"/>
    <w:rsid w:val="1AE6175D"/>
    <w:rsid w:val="1B4346C9"/>
    <w:rsid w:val="1B742AA7"/>
    <w:rsid w:val="1BC3580A"/>
    <w:rsid w:val="1C40720A"/>
    <w:rsid w:val="1CA34935"/>
    <w:rsid w:val="1D4604A0"/>
    <w:rsid w:val="1D5A640E"/>
    <w:rsid w:val="1DC55869"/>
    <w:rsid w:val="1F282554"/>
    <w:rsid w:val="1F7640EC"/>
    <w:rsid w:val="1F7A2507"/>
    <w:rsid w:val="1F841754"/>
    <w:rsid w:val="209D487B"/>
    <w:rsid w:val="20D76C5F"/>
    <w:rsid w:val="21057490"/>
    <w:rsid w:val="214A230E"/>
    <w:rsid w:val="21B052C4"/>
    <w:rsid w:val="22FF5445"/>
    <w:rsid w:val="238D0E57"/>
    <w:rsid w:val="23DE7685"/>
    <w:rsid w:val="24256710"/>
    <w:rsid w:val="249B079E"/>
    <w:rsid w:val="249E6619"/>
    <w:rsid w:val="251E7983"/>
    <w:rsid w:val="25D54AB7"/>
    <w:rsid w:val="260D5D83"/>
    <w:rsid w:val="284A2254"/>
    <w:rsid w:val="292F1467"/>
    <w:rsid w:val="29786927"/>
    <w:rsid w:val="297B51B4"/>
    <w:rsid w:val="29A9603F"/>
    <w:rsid w:val="29E40467"/>
    <w:rsid w:val="29F527E2"/>
    <w:rsid w:val="2BD01342"/>
    <w:rsid w:val="2BF35971"/>
    <w:rsid w:val="2C487650"/>
    <w:rsid w:val="2C7212B2"/>
    <w:rsid w:val="2D3E1A59"/>
    <w:rsid w:val="2E4F43C0"/>
    <w:rsid w:val="2EC7368E"/>
    <w:rsid w:val="305D5DD5"/>
    <w:rsid w:val="30FB4B41"/>
    <w:rsid w:val="31621165"/>
    <w:rsid w:val="323C5548"/>
    <w:rsid w:val="32E02BCB"/>
    <w:rsid w:val="336A2CE3"/>
    <w:rsid w:val="33837901"/>
    <w:rsid w:val="3589141A"/>
    <w:rsid w:val="35EF5721"/>
    <w:rsid w:val="369F0246"/>
    <w:rsid w:val="37450F88"/>
    <w:rsid w:val="37764372"/>
    <w:rsid w:val="37D6106F"/>
    <w:rsid w:val="37F605EC"/>
    <w:rsid w:val="38055D99"/>
    <w:rsid w:val="38545D10"/>
    <w:rsid w:val="38A87E0A"/>
    <w:rsid w:val="38AA5938"/>
    <w:rsid w:val="38D806EF"/>
    <w:rsid w:val="38F862EB"/>
    <w:rsid w:val="39343807"/>
    <w:rsid w:val="39887BBC"/>
    <w:rsid w:val="3A53023B"/>
    <w:rsid w:val="3A6164C2"/>
    <w:rsid w:val="3AF42D2D"/>
    <w:rsid w:val="3B3A041F"/>
    <w:rsid w:val="3B497617"/>
    <w:rsid w:val="3BAE6BF9"/>
    <w:rsid w:val="3CCA47F2"/>
    <w:rsid w:val="3CDE0708"/>
    <w:rsid w:val="3D1B73AB"/>
    <w:rsid w:val="3D5877DF"/>
    <w:rsid w:val="3D912D0A"/>
    <w:rsid w:val="3DC55CAA"/>
    <w:rsid w:val="3DD556CA"/>
    <w:rsid w:val="3F450429"/>
    <w:rsid w:val="40226C80"/>
    <w:rsid w:val="40C451A5"/>
    <w:rsid w:val="4156470B"/>
    <w:rsid w:val="41742F7F"/>
    <w:rsid w:val="41943ACE"/>
    <w:rsid w:val="425D4066"/>
    <w:rsid w:val="42C56017"/>
    <w:rsid w:val="43173FD4"/>
    <w:rsid w:val="43DD0745"/>
    <w:rsid w:val="44143822"/>
    <w:rsid w:val="44654A12"/>
    <w:rsid w:val="457C5F26"/>
    <w:rsid w:val="45D4223E"/>
    <w:rsid w:val="471C758C"/>
    <w:rsid w:val="483B47F6"/>
    <w:rsid w:val="49416D3B"/>
    <w:rsid w:val="49CF255F"/>
    <w:rsid w:val="4A3C55BC"/>
    <w:rsid w:val="4B1732F9"/>
    <w:rsid w:val="4B2C5DCD"/>
    <w:rsid w:val="4B666F41"/>
    <w:rsid w:val="4B7D1173"/>
    <w:rsid w:val="4BEB7E9C"/>
    <w:rsid w:val="4C150E22"/>
    <w:rsid w:val="4C6A38FC"/>
    <w:rsid w:val="4CE74BC3"/>
    <w:rsid w:val="4CF5000E"/>
    <w:rsid w:val="4DB17672"/>
    <w:rsid w:val="4DEE6977"/>
    <w:rsid w:val="4E323FA5"/>
    <w:rsid w:val="4E9E788D"/>
    <w:rsid w:val="4EB62E28"/>
    <w:rsid w:val="4F786330"/>
    <w:rsid w:val="4FDB014C"/>
    <w:rsid w:val="50010670"/>
    <w:rsid w:val="5023629C"/>
    <w:rsid w:val="50AC44C4"/>
    <w:rsid w:val="50EA6DB9"/>
    <w:rsid w:val="515D3A2F"/>
    <w:rsid w:val="51CA7471"/>
    <w:rsid w:val="521C2FA3"/>
    <w:rsid w:val="522529B2"/>
    <w:rsid w:val="52A336C4"/>
    <w:rsid w:val="530776F6"/>
    <w:rsid w:val="533802B0"/>
    <w:rsid w:val="53910AF4"/>
    <w:rsid w:val="547A0454"/>
    <w:rsid w:val="555952B3"/>
    <w:rsid w:val="556B5A36"/>
    <w:rsid w:val="558B3766"/>
    <w:rsid w:val="55AF40BB"/>
    <w:rsid w:val="568B176A"/>
    <w:rsid w:val="56BC4D45"/>
    <w:rsid w:val="56CB31E9"/>
    <w:rsid w:val="56F72F7C"/>
    <w:rsid w:val="5822724B"/>
    <w:rsid w:val="5829466B"/>
    <w:rsid w:val="586243BF"/>
    <w:rsid w:val="58FD3402"/>
    <w:rsid w:val="5AAF7799"/>
    <w:rsid w:val="5B5C1753"/>
    <w:rsid w:val="5C3A6E47"/>
    <w:rsid w:val="5CCD7CBB"/>
    <w:rsid w:val="5E134100"/>
    <w:rsid w:val="5F7A1C50"/>
    <w:rsid w:val="5FBC4443"/>
    <w:rsid w:val="601C4AB5"/>
    <w:rsid w:val="607466A0"/>
    <w:rsid w:val="60BE691E"/>
    <w:rsid w:val="6105554A"/>
    <w:rsid w:val="61444403"/>
    <w:rsid w:val="617050B9"/>
    <w:rsid w:val="61993CED"/>
    <w:rsid w:val="62265BDF"/>
    <w:rsid w:val="62E1699A"/>
    <w:rsid w:val="6410048D"/>
    <w:rsid w:val="64147F0D"/>
    <w:rsid w:val="64D66362"/>
    <w:rsid w:val="65860217"/>
    <w:rsid w:val="658729D1"/>
    <w:rsid w:val="667E0AA1"/>
    <w:rsid w:val="677D0530"/>
    <w:rsid w:val="68FB17C3"/>
    <w:rsid w:val="695F12F9"/>
    <w:rsid w:val="69636C3A"/>
    <w:rsid w:val="69CF7B2C"/>
    <w:rsid w:val="69D63F27"/>
    <w:rsid w:val="6A0B0004"/>
    <w:rsid w:val="6B0A032C"/>
    <w:rsid w:val="6B6F4633"/>
    <w:rsid w:val="6BA1010E"/>
    <w:rsid w:val="6C70478B"/>
    <w:rsid w:val="6CE47E41"/>
    <w:rsid w:val="6CED5810"/>
    <w:rsid w:val="6CF92413"/>
    <w:rsid w:val="6D5C2995"/>
    <w:rsid w:val="6DFE5E04"/>
    <w:rsid w:val="6E010A7F"/>
    <w:rsid w:val="6E87203D"/>
    <w:rsid w:val="6EF47119"/>
    <w:rsid w:val="6F802AE9"/>
    <w:rsid w:val="6F9278BB"/>
    <w:rsid w:val="70141305"/>
    <w:rsid w:val="708E73B5"/>
    <w:rsid w:val="71572F19"/>
    <w:rsid w:val="719B7427"/>
    <w:rsid w:val="724A6793"/>
    <w:rsid w:val="741F26FA"/>
    <w:rsid w:val="74470DF8"/>
    <w:rsid w:val="75FD1676"/>
    <w:rsid w:val="763E532E"/>
    <w:rsid w:val="770B16B4"/>
    <w:rsid w:val="78177BE5"/>
    <w:rsid w:val="789E0306"/>
    <w:rsid w:val="78B25122"/>
    <w:rsid w:val="799536BA"/>
    <w:rsid w:val="7B170752"/>
    <w:rsid w:val="7B8F681B"/>
    <w:rsid w:val="7C335B9A"/>
    <w:rsid w:val="7CB96B6B"/>
    <w:rsid w:val="7CCA3477"/>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List Number"/>
    <w:basedOn w:val="1"/>
    <w:semiHidden/>
    <w:unhideWhenUsed/>
    <w:qFormat/>
    <w:uiPriority w:val="99"/>
    <w:pPr>
      <w:numPr>
        <w:ilvl w:val="0"/>
        <w:numId w:val="1"/>
      </w:numPr>
    </w:p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next w:val="1"/>
    <w:qFormat/>
    <w:uiPriority w:val="0"/>
    <w:pPr>
      <w:snapToGrid w:val="0"/>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4"/>
    <w:semiHidden/>
    <w:qFormat/>
    <w:uiPriority w:val="99"/>
    <w:rPr>
      <w:sz w:val="18"/>
      <w:szCs w:val="18"/>
    </w:rPr>
  </w:style>
  <w:style w:type="character" w:customStyle="1" w:styleId="13">
    <w:name w:val="Header Char"/>
    <w:basedOn w:val="10"/>
    <w:link w:val="5"/>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19</Pages>
  <Words>9048</Words>
  <Characters>9829</Characters>
  <Lines>0</Lines>
  <Paragraphs>0</Paragraphs>
  <TotalTime>23</TotalTime>
  <ScaleCrop>false</ScaleCrop>
  <LinksUpToDate>false</LinksUpToDate>
  <CharactersWithSpaces>9984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陈璨</cp:lastModifiedBy>
  <cp:lastPrinted>2023-07-17T09:40:25Z</cp:lastPrinted>
  <dcterms:modified xsi:type="dcterms:W3CDTF">2023-07-17T09:41:40Z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