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20" w:afterLines="50"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年度部门整体支出绩效评价基础数据表</w:t>
      </w:r>
    </w:p>
    <w:tbl>
      <w:tblPr>
        <w:tblStyle w:val="6"/>
        <w:tblW w:w="4997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1"/>
        <w:gridCol w:w="1836"/>
        <w:gridCol w:w="2287"/>
        <w:gridCol w:w="157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财政供养人员情况（人）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编制数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年实际在职人数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控制率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37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经费控制情况（万元）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2021年决算数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年预算数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202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b/>
                <w:bCs/>
                <w:sz w:val="21"/>
                <w:szCs w:val="21"/>
              </w:rPr>
              <w:t>年决算数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一、基本支出：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862.83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777.85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777.85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其中：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三公经费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公务用车购置和维护经费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其中：公车购置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公车运行维护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2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出国经费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3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公务接待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0.11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2.00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0.15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二、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项目支出：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新宋体" w:hAnsi="新宋体" w:eastAsia="新宋体" w:cs="新宋体"/>
                <w:sz w:val="21"/>
                <w:szCs w:val="21"/>
                <w:lang w:eastAsia="zh-CN"/>
              </w:rPr>
              <w:t>县级</w:t>
            </w: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专项资金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（一个专项一行）</w:t>
            </w: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</w:p>
        </w:tc>
        <w:tc>
          <w:tcPr>
            <w:tcW w:w="1053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1312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  <w:tc>
          <w:tcPr>
            <w:tcW w:w="901" w:type="pc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rPr>
                <w:rFonts w:hint="eastAsia" w:ascii="新宋体" w:hAnsi="新宋体" w:eastAsia="新宋体" w:cs="新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73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厉行节约保障措施</w:t>
            </w:r>
          </w:p>
        </w:tc>
        <w:tc>
          <w:tcPr>
            <w:tcW w:w="3266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both"/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强化干部职工节约意识，确保每一分钱用在刀刃上。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360" w:lineRule="exact"/>
              <w:ind w:left="0" w:leftChars="0" w:right="0" w:rightChars="0"/>
              <w:jc w:val="both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2、严把票据审核关，坚决杜绝不合理票据入账。</w:t>
            </w:r>
          </w:p>
        </w:tc>
      </w:tr>
    </w:tbl>
    <w:p>
      <w:pPr>
        <w:widowControl/>
        <w:spacing w:afterLines="0" w:line="400" w:lineRule="exact"/>
        <w:jc w:val="left"/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说明：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以上数据均来源于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部门决算报表，其中</w:t>
      </w:r>
      <w:r>
        <w:rPr>
          <w:rFonts w:hint="eastAsia" w:ascii="新宋体" w:hAnsi="新宋体" w:eastAsia="新宋体" w:cs="新宋体"/>
          <w:sz w:val="21"/>
          <w:szCs w:val="21"/>
        </w:rPr>
        <w:t>“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基本支出</w:t>
      </w:r>
      <w:r>
        <w:rPr>
          <w:rFonts w:hint="eastAsia" w:ascii="新宋体" w:hAnsi="新宋体" w:eastAsia="新宋体" w:cs="新宋体"/>
          <w:sz w:val="21"/>
          <w:szCs w:val="21"/>
        </w:rPr>
        <w:t>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数据参照基本支出决算明细表（财决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05-1表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）；“三公经费”数据参照机构运行信息表（财决附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03表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）；</w:t>
      </w:r>
      <w:r>
        <w:rPr>
          <w:rFonts w:hint="eastAsia" w:ascii="新宋体" w:hAnsi="新宋体" w:eastAsia="新宋体" w:cs="新宋体"/>
          <w:sz w:val="21"/>
          <w:szCs w:val="21"/>
        </w:rPr>
        <w:t>“项目支出”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数据参照项目支出决算明细表（财决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05-2表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）。</w:t>
      </w:r>
    </w:p>
    <w:p>
      <w:pPr>
        <w:widowControl/>
        <w:spacing w:after="0" w:afterLines="0" w:line="400" w:lineRule="exact"/>
        <w:jc w:val="left"/>
        <w:rPr>
          <w:rFonts w:hint="default" w:ascii="Times New Roman" w:hAnsi="Times New Roman" w:eastAsia="仿宋_GB2312" w:cs="Times New Roman"/>
          <w:sz w:val="22"/>
        </w:rPr>
      </w:pPr>
      <w:r>
        <w:rPr>
          <w:rFonts w:hint="default" w:ascii="Times New Roman" w:hAnsi="Times New Roman" w:eastAsia="仿宋_GB2312" w:cs="Times New Roman"/>
          <w:sz w:val="22"/>
        </w:rPr>
        <w:t>填表人：</w:t>
      </w:r>
      <w:r>
        <w:rPr>
          <w:rFonts w:hint="eastAsia" w:eastAsia="仿宋_GB2312" w:cs="Times New Roman"/>
          <w:sz w:val="22"/>
          <w:lang w:eastAsia="zh-CN"/>
        </w:rPr>
        <w:t>戴芳乐</w:t>
      </w:r>
      <w:r>
        <w:rPr>
          <w:rFonts w:hint="default" w:ascii="Times New Roman" w:hAnsi="Times New Roman" w:eastAsia="仿宋_GB2312" w:cs="Times New Roman"/>
          <w:sz w:val="22"/>
        </w:rPr>
        <w:t xml:space="preserve">  填报日期：</w:t>
      </w:r>
      <w:r>
        <w:rPr>
          <w:rFonts w:hint="eastAsia" w:eastAsia="仿宋_GB2312" w:cs="Times New Roman"/>
          <w:sz w:val="22"/>
          <w:lang w:val="en-US" w:eastAsia="zh-CN"/>
        </w:rPr>
        <w:t>2023年7月11日</w:t>
      </w:r>
      <w:r>
        <w:rPr>
          <w:rFonts w:hint="default" w:ascii="Times New Roman" w:hAnsi="Times New Roman" w:eastAsia="仿宋_GB2312" w:cs="Times New Roman"/>
          <w:sz w:val="22"/>
        </w:rPr>
        <w:t xml:space="preserve">  联系电话：</w:t>
      </w:r>
      <w:r>
        <w:rPr>
          <w:rFonts w:hint="eastAsia" w:eastAsia="仿宋_GB2312" w:cs="Times New Roman"/>
          <w:sz w:val="22"/>
          <w:lang w:val="en-US" w:eastAsia="zh-CN"/>
        </w:rPr>
        <w:t>13874097846</w:t>
      </w:r>
      <w:r>
        <w:rPr>
          <w:rFonts w:hint="default" w:ascii="Times New Roman" w:hAnsi="Times New Roman" w:eastAsia="仿宋_GB2312" w:cs="Times New Roman"/>
          <w:sz w:val="22"/>
        </w:rPr>
        <w:t xml:space="preserve">   </w:t>
      </w:r>
    </w:p>
    <w:p>
      <w:pPr>
        <w:widowControl/>
        <w:spacing w:after="0" w:afterLines="0" w:line="400" w:lineRule="exact"/>
        <w:jc w:val="lef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</w:rPr>
        <w:br w:type="page"/>
      </w:r>
      <w:r>
        <w:rPr>
          <w:rFonts w:hint="default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年度部门整体支出绩效自评表</w:t>
      </w:r>
    </w:p>
    <w:tbl>
      <w:tblPr>
        <w:tblStyle w:val="6"/>
        <w:tblW w:w="4996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5"/>
        <w:gridCol w:w="1203"/>
        <w:gridCol w:w="818"/>
        <w:gridCol w:w="987"/>
        <w:gridCol w:w="1264"/>
        <w:gridCol w:w="1050"/>
        <w:gridCol w:w="749"/>
        <w:gridCol w:w="544"/>
        <w:gridCol w:w="14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  <w:jc w:val="center"/>
        </w:trPr>
        <w:tc>
          <w:tcPr>
            <w:tcW w:w="3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县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级预算部门名称</w:t>
            </w:r>
          </w:p>
        </w:tc>
        <w:tc>
          <w:tcPr>
            <w:tcW w:w="4646" w:type="pct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  <w:t>华容县审计局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353" w:type="pct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预算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申请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（万元）</w:t>
            </w:r>
          </w:p>
        </w:tc>
        <w:tc>
          <w:tcPr>
            <w:tcW w:w="115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年初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  <w:t>预算数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执行数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分值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执行率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1159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年度资金总额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425.00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sz w:val="21"/>
                <w:szCs w:val="21"/>
                <w:lang w:val="en-US" w:eastAsia="zh-CN"/>
              </w:rPr>
              <w:t>777.85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777.85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</w:rPr>
              <w:t>10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100%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1"/>
                <w:szCs w:val="21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按收入性质分：</w:t>
            </w:r>
          </w:p>
        </w:tc>
        <w:tc>
          <w:tcPr>
            <w:tcW w:w="21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按支出性质分：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其中：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一般公共预算：</w:t>
            </w: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  <w:lang w:val="en-US" w:eastAsia="zh-CN"/>
              </w:rPr>
              <w:t>777.85</w:t>
            </w:r>
          </w:p>
        </w:tc>
        <w:tc>
          <w:tcPr>
            <w:tcW w:w="21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其中：基本支出：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777.85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政府性基金拨款：</w:t>
            </w:r>
          </w:p>
        </w:tc>
        <w:tc>
          <w:tcPr>
            <w:tcW w:w="21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630" w:firstLineChars="30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项目支出：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纳入专户管理的非税收入拨款：</w:t>
            </w:r>
          </w:p>
        </w:tc>
        <w:tc>
          <w:tcPr>
            <w:tcW w:w="21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</w:p>
        </w:tc>
        <w:tc>
          <w:tcPr>
            <w:tcW w:w="2450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 w:firstLine="1260" w:firstLineChars="600"/>
              <w:jc w:val="left"/>
              <w:textAlignment w:val="auto"/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i w:val="0"/>
                <w:iCs w:val="0"/>
                <w:color w:val="000000"/>
                <w:sz w:val="21"/>
                <w:szCs w:val="21"/>
              </w:rPr>
              <w:t>其他资金：</w:t>
            </w:r>
          </w:p>
        </w:tc>
        <w:tc>
          <w:tcPr>
            <w:tcW w:w="2196" w:type="pct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总体目标</w:t>
            </w:r>
          </w:p>
        </w:tc>
        <w:tc>
          <w:tcPr>
            <w:tcW w:w="24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预期目标</w:t>
            </w:r>
          </w:p>
        </w:tc>
        <w:tc>
          <w:tcPr>
            <w:tcW w:w="21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245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通过完成年度审计项目计划，规范财务管理，提高资金使用效益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目标2：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组织开展丰富多彩的党建活动和文体活动，提高思想政治素质，丰富职工文化生活，增强机关凝聚力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目标3：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选派优秀干部下点进村，助力乡村振兴。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目标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4：创建省级文明单位。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both"/>
              <w:textAlignment w:val="auto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1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目标1：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en-US"/>
              </w:rPr>
              <w:t>完成审计和专项审计调查项目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190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en-US"/>
              </w:rPr>
              <w:t>个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en-US"/>
              </w:rPr>
              <w:t>核减投资额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5709万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en-US"/>
              </w:rPr>
              <w:t>元,采纳审计建议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92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en-US"/>
              </w:rPr>
              <w:t>条，出具审计报告和专项审计调查报告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65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en-US"/>
              </w:rPr>
              <w:t>篇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，推动被审计单位建立健全制度103项。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目标2：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组织党员开展党史教育活动，重温峥嵘革命历史。开展乒乓球、羽毛球等文体活动。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目标3：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选派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2人到章华镇五星社区办点，协助村两委谋划社区发展。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目标4：</w:t>
            </w: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  <w:t>组织职工到北景港镇益华学校、光荣院开展关爱留守儿童和五保老人活动，组织职工到城区开展环境保护和文明交通劝导志愿服务活动。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3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完成值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得分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产出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(50分)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次数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82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93次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天数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260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天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287天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组织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会议次数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8次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审计人员外调，召开会议不及时，今后应预先安排。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参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加审计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会议人数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35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32人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审计人员外调，人员难以到齐，今后应预先安排。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举办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业务培训次数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8次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接受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业务培训人数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30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32人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形成工作报告数量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1份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形成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整改建议书数量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40份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审计单位数量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42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家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43家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审计项目数量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190个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审计人数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22人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审计报告数量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40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65份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审计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覆盖率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％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93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％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eastAsia="zh-CN"/>
              </w:rPr>
              <w:t>业务人员不足，应补充专业人员。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问题回查率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default" w:ascii="Arial" w:hAnsi="Arial" w:eastAsia="仿宋" w:cs="Arial"/>
                <w:color w:val="000000"/>
                <w:sz w:val="20"/>
                <w:szCs w:val="20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％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％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问题整改率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％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97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eastAsia="zh-CN"/>
              </w:rPr>
              <w:t>％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任务完成时间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日前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2022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年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12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15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日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353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成本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预算控制数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777.85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0"/>
                <w:szCs w:val="20"/>
                <w:lang w:val="en-US" w:eastAsia="zh-CN"/>
              </w:rPr>
              <w:t>777.85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0"/>
                <w:lang w:val="en-US" w:eastAsia="zh-CN"/>
              </w:rPr>
              <w:t>万元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35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标</w:t>
            </w:r>
          </w:p>
        </w:tc>
        <w:tc>
          <w:tcPr>
            <w:tcW w:w="6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一级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4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二级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三级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指标值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  <w:t>完成值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分值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效益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（30分）</w:t>
            </w:r>
          </w:p>
        </w:tc>
        <w:tc>
          <w:tcPr>
            <w:tcW w:w="469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挽回经济损失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1000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5709万元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发现违规资金金额</w:t>
            </w:r>
          </w:p>
        </w:tc>
        <w:tc>
          <w:tcPr>
            <w:tcW w:w="7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2000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万元</w:t>
            </w:r>
          </w:p>
        </w:tc>
        <w:tc>
          <w:tcPr>
            <w:tcW w:w="6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8005万元</w:t>
            </w:r>
          </w:p>
        </w:tc>
        <w:tc>
          <w:tcPr>
            <w:tcW w:w="43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8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益指标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审计建议采纳率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  <w:t>％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97%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469" w:type="pct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审计问题同质率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default" w:ascii="Arial" w:hAnsi="Arial" w:eastAsia="仿宋" w:cs="Arial"/>
                <w:color w:val="000000"/>
                <w:sz w:val="18"/>
                <w:szCs w:val="18"/>
              </w:rPr>
              <w:t>≤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  <w:t>％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5%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353" w:type="pct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</w:p>
        </w:tc>
        <w:tc>
          <w:tcPr>
            <w:tcW w:w="690" w:type="pc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0分）</w:t>
            </w:r>
          </w:p>
        </w:tc>
        <w:tc>
          <w:tcPr>
            <w:tcW w:w="469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服务对象满意度指标</w:t>
            </w:r>
          </w:p>
        </w:tc>
        <w:tc>
          <w:tcPr>
            <w:tcW w:w="566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服务对象满意度</w:t>
            </w:r>
          </w:p>
        </w:tc>
        <w:tc>
          <w:tcPr>
            <w:tcW w:w="72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leftChars="0" w:right="0"/>
              <w:jc w:val="center"/>
              <w:rPr>
                <w:rFonts w:hint="eastAsia" w:ascii="新宋体" w:hAnsi="新宋体" w:eastAsia="新宋体" w:cs="新宋体"/>
                <w:color w:val="00000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</w:rPr>
              <w:t>≥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val="en-US" w:eastAsia="zh-CN"/>
              </w:rPr>
              <w:t>95</w:t>
            </w:r>
            <w:r>
              <w:rPr>
                <w:rFonts w:hint="eastAsia" w:ascii="仿宋" w:hAnsi="仿宋" w:eastAsia="仿宋" w:cs="仿宋"/>
                <w:color w:val="000000"/>
                <w:sz w:val="18"/>
                <w:szCs w:val="18"/>
                <w:lang w:eastAsia="zh-CN"/>
              </w:rPr>
              <w:t>％</w:t>
            </w:r>
          </w:p>
        </w:tc>
        <w:tc>
          <w:tcPr>
            <w:tcW w:w="60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18"/>
                <w:szCs w:val="18"/>
                <w:lang w:val="en-US" w:eastAsia="zh-CN"/>
              </w:rPr>
              <w:t>100%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404" w:type="pct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总分</w:t>
            </w:r>
          </w:p>
        </w:tc>
        <w:tc>
          <w:tcPr>
            <w:tcW w:w="43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100</w:t>
            </w:r>
          </w:p>
        </w:tc>
        <w:tc>
          <w:tcPr>
            <w:tcW w:w="31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center"/>
              <w:textAlignment w:val="auto"/>
              <w:rPr>
                <w:rFonts w:hint="default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  <w:lang w:val="en-US" w:eastAsia="zh-CN"/>
              </w:rPr>
              <w:t>97</w:t>
            </w:r>
          </w:p>
        </w:tc>
        <w:tc>
          <w:tcPr>
            <w:tcW w:w="8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0" w:right="0"/>
              <w:jc w:val="left"/>
              <w:textAlignment w:val="auto"/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</w:pPr>
            <w:r>
              <w:rPr>
                <w:rFonts w:hint="eastAsia" w:ascii="新宋体" w:hAnsi="新宋体" w:eastAsia="新宋体" w:cs="新宋体"/>
                <w:color w:val="000000"/>
                <w:sz w:val="21"/>
                <w:szCs w:val="21"/>
              </w:rPr>
              <w:t>　</w:t>
            </w:r>
          </w:p>
        </w:tc>
      </w:tr>
    </w:tbl>
    <w:p>
      <w:pPr>
        <w:rPr>
          <w:rFonts w:hint="eastAsia" w:eastAsia="仿宋_GB2312" w:cs="Times New Roman"/>
          <w:sz w:val="2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</w:rPr>
        <w:t>说明：</w:t>
      </w:r>
      <w:r>
        <w:rPr>
          <w:rFonts w:hint="eastAsia" w:eastAsia="仿宋_GB2312" w:cs="Times New Roman"/>
          <w:sz w:val="22"/>
          <w:lang w:eastAsia="zh-CN"/>
        </w:rPr>
        <w:t>以上数据参照</w:t>
      </w:r>
      <w:r>
        <w:rPr>
          <w:rFonts w:hint="eastAsia" w:eastAsia="仿宋_GB2312" w:cs="Times New Roman"/>
          <w:sz w:val="22"/>
          <w:lang w:val="en-US" w:eastAsia="zh-CN"/>
        </w:rPr>
        <w:t>2022年部门决算报表中的“收入支出决算总表”(财决01表)。</w:t>
      </w: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2"/>
          <w:szCs w:val="22"/>
        </w:rPr>
        <w:t>填表人：</w:t>
      </w:r>
      <w:r>
        <w:rPr>
          <w:rFonts w:hint="eastAsia" w:eastAsia="仿宋_GB2312" w:cs="Times New Roman"/>
          <w:sz w:val="22"/>
          <w:szCs w:val="22"/>
          <w:lang w:eastAsia="zh-CN"/>
        </w:rPr>
        <w:t>戴芳乐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填报日期：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2023.7.17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联系电话：</w:t>
      </w:r>
      <w:r>
        <w:rPr>
          <w:rFonts w:hint="eastAsia" w:eastAsia="仿宋_GB2312" w:cs="Times New Roman"/>
          <w:sz w:val="22"/>
          <w:szCs w:val="22"/>
          <w:lang w:val="en-US" w:eastAsia="zh-CN"/>
        </w:rPr>
        <w:t>13874097846</w:t>
      </w:r>
      <w:r>
        <w:rPr>
          <w:rFonts w:hint="default" w:ascii="Times New Roman" w:hAnsi="Times New Roman" w:eastAsia="仿宋_GB2312" w:cs="Times New Roman"/>
          <w:sz w:val="22"/>
          <w:szCs w:val="22"/>
        </w:rPr>
        <w:t xml:space="preserve">  </w:t>
      </w:r>
      <w:r>
        <w:rPr>
          <w:rFonts w:hint="eastAsia" w:ascii="Times New Roman" w:hAnsi="Times New Roman" w:eastAsia="仿宋_GB2312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2"/>
          <w:szCs w:val="22"/>
        </w:rPr>
        <w:t>单位负责人签字：</w:t>
      </w:r>
      <w:r>
        <w:rPr>
          <w:rFonts w:hint="default" w:ascii="Times New Roman" w:hAnsi="Times New Roman" w:eastAsia="仿宋_GB2312" w:cs="Times New Roman"/>
          <w:sz w:val="22"/>
          <w:szCs w:val="22"/>
        </w:rPr>
        <w:br w:type="pag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202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年度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审计局</w: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整体支出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绩效自评报告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月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审计局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整体支出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一、部门基本情况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县审计</w:t>
      </w:r>
      <w:r>
        <w:rPr>
          <w:rFonts w:hint="eastAsia" w:ascii="仿宋" w:hAnsi="仿宋" w:eastAsia="仿宋" w:cs="仿宋"/>
          <w:sz w:val="32"/>
          <w:szCs w:val="32"/>
        </w:rPr>
        <w:t>局是主管全县审计工作的县人民政府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工作部门</w:t>
      </w:r>
      <w:r>
        <w:rPr>
          <w:rFonts w:hint="eastAsia" w:ascii="仿宋" w:hAnsi="仿宋" w:eastAsia="仿宋" w:cs="仿宋"/>
          <w:sz w:val="32"/>
          <w:szCs w:val="32"/>
        </w:rPr>
        <w:t>，是财政全额拨款预算单位。内设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办公室</w:t>
      </w:r>
      <w:r>
        <w:rPr>
          <w:rFonts w:hint="eastAsia" w:ascii="仿宋" w:hAnsi="仿宋" w:eastAsia="仿宋" w:cs="仿宋"/>
          <w:sz w:val="32"/>
          <w:szCs w:val="32"/>
        </w:rPr>
        <w:t>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个股室，下设1个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副科级</w:t>
      </w:r>
      <w:r>
        <w:rPr>
          <w:rFonts w:hint="eastAsia" w:ascii="仿宋" w:hAnsi="仿宋" w:eastAsia="仿宋" w:cs="仿宋"/>
          <w:sz w:val="32"/>
          <w:szCs w:val="32"/>
        </w:rPr>
        <w:t>非独立核算二级机构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县审计事务中心</w:t>
      </w:r>
      <w:r>
        <w:rPr>
          <w:rFonts w:hint="eastAsia" w:ascii="仿宋" w:hAnsi="仿宋" w:eastAsia="仿宋" w:cs="仿宋"/>
          <w:sz w:val="32"/>
          <w:szCs w:val="32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编制数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37个</w:t>
      </w:r>
      <w:r>
        <w:rPr>
          <w:rFonts w:hint="eastAsia" w:ascii="仿宋" w:hAnsi="仿宋" w:eastAsia="仿宋" w:cs="仿宋"/>
          <w:sz w:val="32"/>
          <w:szCs w:val="32"/>
        </w:rPr>
        <w:t>，实有在职人员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</w:t>
      </w:r>
      <w:r>
        <w:rPr>
          <w:rFonts w:hint="eastAsia" w:ascii="仿宋" w:hAnsi="仿宋" w:eastAsia="仿宋" w:cs="仿宋"/>
          <w:sz w:val="32"/>
          <w:szCs w:val="32"/>
        </w:rPr>
        <w:t>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</w:rPr>
        <w:t>另有退休人员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sz w:val="32"/>
          <w:szCs w:val="32"/>
        </w:rPr>
        <w:t>人，遗属1人。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二、基本支出情况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</w:t>
      </w:r>
      <w:r>
        <w:rPr>
          <w:rFonts w:hint="eastAsia" w:ascii="仿宋" w:hAnsi="仿宋" w:eastAsia="仿宋" w:cs="仿宋"/>
          <w:sz w:val="32"/>
          <w:szCs w:val="32"/>
        </w:rPr>
        <w:t>年基本支出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777.85</w:t>
      </w:r>
      <w:r>
        <w:rPr>
          <w:rFonts w:hint="eastAsia" w:ascii="仿宋" w:hAnsi="仿宋" w:eastAsia="仿宋" w:cs="仿宋"/>
          <w:sz w:val="32"/>
          <w:szCs w:val="32"/>
        </w:rPr>
        <w:t>万元，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其中: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人员经费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415.23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万元，主要包括基本工资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159.06万元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、津贴补贴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28.6万元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奖金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75.12万元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、绩效工资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51.66，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机关事业单位基本养老保险缴费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38.39万元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、职工基本医疗保险缴费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21.06万元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、其他社会保障缴费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4.02万元</w:t>
      </w:r>
      <w:r>
        <w:rPr>
          <w:rFonts w:hint="eastAsia" w:ascii="仿宋" w:hAnsi="仿宋" w:eastAsia="仿宋" w:cs="仿宋"/>
          <w:sz w:val="32"/>
          <w:szCs w:val="32"/>
          <w:lang w:val="zh-CN"/>
        </w:rPr>
        <w:t>、住房公积金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37.32万元。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/>
        </w:rPr>
        <w:t>公用经费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362.62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万元，主要包括办公费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5.32万元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印刷费2.47万元、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水费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2.4万元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、电费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3.99万元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、邮电费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3.88万元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、维修（护）费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2.52万元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会议费0.08万元、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培训费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2.24万元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0.15万元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差旅费24.45万元、工会费19.56万元、其他交通费11.65万元、劳务费19.21万元、委托业务费136.6万元、福利费94.86万元、</w:t>
      </w:r>
      <w:r>
        <w:rPr>
          <w:rFonts w:hint="eastAsia" w:ascii="仿宋" w:hAnsi="仿宋" w:eastAsia="仿宋" w:cs="仿宋"/>
          <w:sz w:val="32"/>
          <w:szCs w:val="32"/>
          <w:lang w:val="en-US"/>
        </w:rPr>
        <w:t>其他商品和服务支出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25.03万元、资本性支出8.21万元。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both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三、项目支出情况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2022年无项目支出。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sz w:val="32"/>
          <w:szCs w:val="32"/>
        </w:rPr>
        <w:t>、部门整体支出绩效情况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20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年，根据年初审计工作计划，围绕党委政府及主管部门工作安排，积极履行审计监督职责，强化管理，较好完成了年度工作目标。同时，加强预算收支管理，建立健全内部管理制度，严格内部管理流程，部门整体支出绩效得到了提升，主要情况如下：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（一）预算执行方面，基本严格执行年初预算，各项支出较规范。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认真落实中央“八项规定”精神和厉行节约要求，从严控制“三公”经费开支，全年实际支出比预算有所节约，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2022年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公务接待费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0.15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万元，占总支出的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0.02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%，公务用车维护费、出国（境）费用零发生。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zh-CN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（二）预算管理方面，进一步健全财务管理制度，严把票据审核关，坚决杜绝了不合规票据入账，节省了开支，</w:t>
      </w:r>
      <w:r>
        <w:rPr>
          <w:rFonts w:hint="eastAsia" w:ascii="仿宋" w:hAnsi="仿宋" w:eastAsia="仿宋" w:cs="仿宋"/>
          <w:sz w:val="32"/>
          <w:szCs w:val="32"/>
          <w:lang w:val="zh-CN" w:eastAsia="zh-CN"/>
        </w:rPr>
        <w:t>全年支出更合理更有效。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（三）审计工作任务完成较好。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审计和专项审计调查项目190个（其中：预收执行审计项目8个，经济责任审计项目23个，政府投资审计项目146个，中心项目13个），核减投资额5709万元,采纳审计建议92条，出具审计报告和专项审计调查报告65篇。是年，该局被评为湖南省文明单位和县综合绩效考评先进单位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（四）出色完成其他各项工作任务。认真开展文明创建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活动，组织机关干部开展登山、乒乓球、羽毛球等文体活动，机关凝聚力、向心力进一步增强。深入开展政治建设年、审计质量提升年活动，加强审计整改常态化、动态化监督，审计工作质量有新的提升。</w:t>
      </w:r>
    </w:p>
    <w:p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sz w:val="32"/>
          <w:szCs w:val="32"/>
        </w:rPr>
        <w:t>、存在的问题及原因分析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干部职工节约意识不够，水电支出较大。国有资产管理不够规范，账务系统、资产管理系统和资产月报系统数据不一致，已损毁资产有待进一步清理。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下一步改进措施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（一）严把财务审核关，严控费用支出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和不合规票据入账，减少非必要支出</w:t>
      </w:r>
      <w:r>
        <w:rPr>
          <w:rFonts w:hint="eastAsia" w:ascii="仿宋" w:hAnsi="仿宋" w:eastAsia="仿宋" w:cs="仿宋"/>
          <w:sz w:val="32"/>
          <w:szCs w:val="32"/>
        </w:rPr>
        <w:t>。同时，定期做好财务分析，做好整体支出预算评价工作。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（二）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加强国有资产管理，做到账实相符。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</w:t>
      </w:r>
      <w:r>
        <w:rPr>
          <w:rFonts w:hint="eastAsia" w:ascii="黑体" w:hAnsi="黑体" w:eastAsia="黑体" w:cs="黑体"/>
          <w:sz w:val="32"/>
          <w:szCs w:val="32"/>
        </w:rPr>
        <w:t>其他需要说明的情况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暂无其他需要说明的情况。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440" w:firstLineChars="17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华容县审计局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5120" w:firstLineChars="16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2023年7月17日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both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3F41D49B-A773-4499-9548-BCFF0E3BDA86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9B76B554-A552-4AE1-86CE-362AE991317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BE7B2EA-00AD-4156-B733-9B66DF3BA782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263E37D7-9274-41FF-82D7-45BCBC8A5336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CD7A503B-5229-4805-9CB8-A42EAF40598B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764FCB3A-7C8F-4E42-B721-681B6931F685}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7" w:fontKey="{B9FB659A-39A8-4743-A4F7-CA5004A7E4EC}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  <w:embedRegular r:id="rId8" w:fontKey="{89478E2D-DA48-477C-BA16-39AA4FA3F52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C67A8F65-E195-4765-A921-DBCF47F0A1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0" w:fontKey="{6FF58B5F-A39F-4C5A-A223-BCE420FEB19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1" w:fontKey="{257863AA-3F0C-443D-A42A-1D20865FAA4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2" w:fontKey="{86E8CB9B-8441-4390-BED3-543131D31DA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9EC71F"/>
    <w:multiLevelType w:val="singleLevel"/>
    <w:tmpl w:val="E89EC71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F517EC52"/>
    <w:multiLevelType w:val="singleLevel"/>
    <w:tmpl w:val="F517EC52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zZjc5NTllMGFiYmY5NmVhMTllZTJlYTQ3YTVjMjg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B50488"/>
    <w:rsid w:val="0338470A"/>
    <w:rsid w:val="034822A9"/>
    <w:rsid w:val="03D86621"/>
    <w:rsid w:val="040C78D7"/>
    <w:rsid w:val="04EE6171"/>
    <w:rsid w:val="05395EA9"/>
    <w:rsid w:val="08F32F05"/>
    <w:rsid w:val="0ABD557B"/>
    <w:rsid w:val="0BBB5A8D"/>
    <w:rsid w:val="0C104906"/>
    <w:rsid w:val="0CCB7736"/>
    <w:rsid w:val="0D9E0E8D"/>
    <w:rsid w:val="0E462E88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6C1179"/>
    <w:rsid w:val="1F7640EC"/>
    <w:rsid w:val="20D76C5F"/>
    <w:rsid w:val="21057490"/>
    <w:rsid w:val="214A230E"/>
    <w:rsid w:val="21B052C4"/>
    <w:rsid w:val="225D7552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8C7B39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3A184F"/>
    <w:rsid w:val="3F450429"/>
    <w:rsid w:val="3FC92DEB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B876E8A"/>
    <w:rsid w:val="4C150E22"/>
    <w:rsid w:val="4C6A38FC"/>
    <w:rsid w:val="4CE74BC3"/>
    <w:rsid w:val="4CF5000E"/>
    <w:rsid w:val="4D0F68E3"/>
    <w:rsid w:val="4DB17672"/>
    <w:rsid w:val="50AC44C4"/>
    <w:rsid w:val="50EA6DB9"/>
    <w:rsid w:val="51CA7471"/>
    <w:rsid w:val="521C2FA3"/>
    <w:rsid w:val="522529B2"/>
    <w:rsid w:val="53910AF4"/>
    <w:rsid w:val="554E7F12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2600</Words>
  <Characters>2980</Characters>
  <Lines>0</Lines>
  <Paragraphs>0</Paragraphs>
  <TotalTime>10</TotalTime>
  <ScaleCrop>false</ScaleCrop>
  <LinksUpToDate>false</LinksUpToDate>
  <CharactersWithSpaces>3008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戴</cp:lastModifiedBy>
  <cp:lastPrinted>2023-07-17T07:37:00Z</cp:lastPrinted>
  <dcterms:modified xsi:type="dcterms:W3CDTF">2023-07-17T08:03:39Z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BCEA63DAF624456AADE85B6B06C14A45_13</vt:lpwstr>
  </property>
</Properties>
</file>