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293.52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293.52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牢固树立节约意识，强化监管审核。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880"/>
        <w:gridCol w:w="867"/>
        <w:gridCol w:w="1057"/>
        <w:gridCol w:w="1103"/>
        <w:gridCol w:w="1077"/>
        <w:gridCol w:w="589"/>
        <w:gridCol w:w="1023"/>
        <w:gridCol w:w="15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华容县乡镇财政服务中心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210.45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293.52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293.52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加强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  <w:t>乡财镇管理和财税信息平台建设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加强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  <w:t>乡财镇干部队伍建设和管理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加强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  <w:t>乡镇财政资金监管和绩效评价工作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FFFFFF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  <w:t>推进财政所创建，提升乡财管理水平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FFFFFF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二、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  <w:t>落实惠民惠农政策、保障人民群众福祉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FFFFFF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三、加强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财政资金的绩效评价工作，确保财政资金安全有效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仿宋_GB2312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加强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</w:rPr>
              <w:t>乡镇财政资金监管和绩效评价工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微软雅黑" w:hAnsiTheme="minorEastAsia"/>
                <w:color w:val="030303"/>
                <w:kern w:val="0"/>
                <w:sz w:val="24"/>
                <w:szCs w:val="24"/>
                <w:shd w:val="clear" w:color="auto" w:fill="FFFFFF"/>
              </w:rPr>
              <w:t>完成了“一事一议”项目</w:t>
            </w:r>
            <w:r>
              <w:rPr>
                <w:rFonts w:hint="eastAsia" w:ascii="仿宋_GB2312" w:eastAsia="仿宋_GB2312" w:cs="微软雅黑" w:hAnsiTheme="minorEastAsia"/>
                <w:color w:val="030303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建设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村覆盖率70%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完成</w:t>
            </w:r>
            <w:r>
              <w:rPr>
                <w:rFonts w:hint="eastAsia" w:ascii="仿宋_GB2312" w:eastAsia="仿宋_GB2312" w:cs="微软雅黑" w:hAnsiTheme="minorEastAsia"/>
                <w:color w:val="030303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2022年度惠农补贴资金发放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完成率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FFFFFF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  <w:t>推进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示范型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  <w:t>财政所创建，提升乡财管理水平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达标率100%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及时完成惠农补贴放。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资金到位及时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新宋体" w:hAnsi="新宋体" w:eastAsia="仿宋_GB2312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争取省级项目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资金，提升乡村经济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有效提升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30303"/>
                <w:kern w:val="0"/>
                <w:sz w:val="24"/>
                <w:szCs w:val="24"/>
                <w:shd w:val="clear" w:color="auto" w:fill="FFFFFF"/>
              </w:rPr>
              <w:t>落实惠民惠农政策、保障人民群众福祉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限时办理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生态环境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有效改善环境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戴丽勋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联系电话：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13789049605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乡镇财政服务中心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华容县乡镇财政服务中心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（一）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华容县乡镇财政服务中心为财政局二级机构，人员编制55人，实有在职人数29人。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</w:rPr>
        <w:t>负责乡财镇管理和财税信息平台建设、乡财镇干部队伍建设和管理；负责乡镇财政资金监管和绩效评价工作。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（二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)2022年财政拨款收入293.52万元，使用主要为单位人员经费和日常工作，以及完成其他交办的工作任务。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（一）基本支出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2022年财政基本支出293.52万元，其中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人员费支出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249.99万元，日常工作经费43.53万元。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三、项目支出情况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1280" w:firstLineChars="4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600" w:lineRule="exact"/>
        <w:ind w:left="0" w:firstLine="548" w:firstLineChars="196"/>
        <w:jc w:val="left"/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加强乡镇财政所基础建设，争创省级阳光财政所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val="en-US" w:eastAsia="zh-CN"/>
        </w:rPr>
        <w:t>1个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及市示范型财政所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val="en-US" w:eastAsia="zh-CN"/>
        </w:rPr>
        <w:t>1个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；</w:t>
      </w:r>
    </w:p>
    <w:p>
      <w:pPr>
        <w:keepNext w:val="0"/>
        <w:keepLines w:val="0"/>
        <w:widowControl/>
        <w:suppressLineNumbers w:val="0"/>
        <w:shd w:val="clear" w:fill="FFFFFF"/>
        <w:spacing w:line="600" w:lineRule="exact"/>
        <w:ind w:left="0"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、强化资金监管，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shd w:val="clear" w:fill="FFFFFF"/>
        </w:rPr>
        <w:t>不断完善监管机制，做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好乡镇一事一议工作的跟踪问效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val="en-US" w:eastAsia="zh-CN"/>
        </w:rPr>
        <w:t>村级项目覆盖率达到70%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；</w:t>
      </w:r>
    </w:p>
    <w:p>
      <w:pPr>
        <w:keepNext w:val="0"/>
        <w:keepLines w:val="0"/>
        <w:widowControl/>
        <w:suppressLineNumbers w:val="0"/>
        <w:shd w:val="clear" w:fill="FFFFFF"/>
        <w:spacing w:line="600" w:lineRule="exact"/>
        <w:ind w:left="0"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、落实惠民惠农政策、保障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shd w:val="clear" w:fill="FFFFFF"/>
        </w:rPr>
        <w:t>惠农补贴“一卡通”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发放及时到位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  <w:lang w:val="en-US" w:eastAsia="zh-CN"/>
        </w:rPr>
        <w:t>2022年度发放各项补贴50000万元</w:t>
      </w:r>
      <w:r>
        <w:rPr>
          <w:rFonts w:hint="eastAsia" w:ascii="仿宋" w:hAnsi="仿宋" w:eastAsia="仿宋" w:cs="仿宋"/>
          <w:b w:val="0"/>
          <w:bCs w:val="0"/>
          <w:color w:val="030303"/>
          <w:kern w:val="0"/>
          <w:sz w:val="28"/>
          <w:szCs w:val="28"/>
          <w:shd w:val="clear" w:fill="FFFFFF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tabs>
          <w:tab w:val="left" w:pos="0"/>
        </w:tabs>
        <w:spacing w:line="600" w:lineRule="exact"/>
        <w:ind w:leftChars="196" w:firstLine="480" w:firstLineChars="200"/>
        <w:jc w:val="left"/>
        <w:rPr>
          <w:rFonts w:hint="default" w:ascii="宋体" w:hAnsi="宋体" w:eastAsia="宋体" w:cs="宋体"/>
          <w:b w:val="0"/>
          <w:bCs w:val="0"/>
          <w:color w:val="030303"/>
          <w:kern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30303"/>
          <w:kern w:val="0"/>
          <w:sz w:val="24"/>
          <w:szCs w:val="24"/>
          <w:shd w:val="clear" w:fill="FFFFFF"/>
          <w:lang w:val="en-US" w:eastAsia="zh-CN"/>
        </w:rPr>
        <w:t>期初指标设定不够科学，目标过高，难以达到。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tabs>
          <w:tab w:val="left" w:pos="0"/>
        </w:tabs>
        <w:spacing w:line="600" w:lineRule="exact"/>
        <w:ind w:leftChars="196" w:firstLine="240" w:firstLineChars="100"/>
        <w:jc w:val="left"/>
        <w:rPr>
          <w:rFonts w:hint="eastAsia" w:ascii="宋体" w:hAnsi="宋体" w:eastAsia="宋体" w:cs="宋体"/>
          <w:b w:val="0"/>
          <w:bCs w:val="0"/>
          <w:color w:val="030303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shd w:val="clear" w:fill="FFFFFF"/>
        </w:rPr>
        <w:t>加强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shd w:val="clear" w:fill="FFFFFF"/>
          <w:lang w:val="en-US" w:eastAsia="zh-CN"/>
        </w:rPr>
        <w:t>年初目标预算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shd w:val="clear" w:fill="FFFFFF"/>
        </w:rPr>
        <w:t>管理，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shd w:val="clear" w:fill="FFFFFF"/>
          <w:lang w:val="en-US" w:eastAsia="zh-CN"/>
        </w:rPr>
        <w:t>科学预算，科学设定绩效考核目标</w:t>
      </w:r>
      <w:r>
        <w:rPr>
          <w:rFonts w:hint="eastAsia" w:ascii="宋体" w:hAnsi="宋体" w:cs="宋体"/>
          <w:b w:val="0"/>
          <w:bCs w:val="0"/>
          <w:kern w:val="2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numPr>
          <w:ilvl w:val="0"/>
          <w:numId w:val="0"/>
        </w:numPr>
        <w:rPr>
          <w:rFonts w:hint="default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pStyle w:val="2"/>
        <w:ind w:firstLine="1280" w:firstLineChars="400"/>
        <w:rPr>
          <w:rFonts w:hint="eastAsia" w:eastAsia="黑体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6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39038B5-F253-4472-B177-6E32B3DA0EF5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263783A2-6096-49FD-8136-E2F3C39B732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F975F21-C7F6-4022-98D0-A4CAFC2FA2F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BA90A40C-3405-45A3-AB31-E9798B4E322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6509D0C-165A-441A-93B6-134F23497E58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F7EFEA35-3C2C-4992-A4CD-34DFB095A1C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4E0CFE38-471A-4E08-AD2A-3D2C24D5638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B3649261-184A-46C9-9D2A-9FA90A38CE6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98B59DA4-9F0C-4B82-911E-1BF99D99B33D}"/>
  </w:font>
  <w:font w:name="华文楷体">
    <w:altName w:val="楷体_GB2312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63DB49C3-37B7-484C-AF24-CD792BA96444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834AC6E3-A083-44A9-A9B6-A585E7528F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A3B71429-EC9C-4786-907F-41BFB95AE033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3" w:fontKey="{7AA354FF-DC10-4E8E-9C3D-5C7FD33176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4D79E5"/>
    <w:multiLevelType w:val="singleLevel"/>
    <w:tmpl w:val="A64D79E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0A76291"/>
    <w:multiLevelType w:val="singleLevel"/>
    <w:tmpl w:val="F0A7629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F8D3559"/>
    <w:multiLevelType w:val="multilevel"/>
    <w:tmpl w:val="2F8D3559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1F19FB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44727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1237B6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9E5CEC"/>
    <w:rsid w:val="37D6106F"/>
    <w:rsid w:val="38E47094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4CB4349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2C5484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C710AF4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15</Pages>
  <Words>4810</Words>
  <Characters>5210</Characters>
  <Lines>0</Lines>
  <Paragraphs>0</Paragraphs>
  <TotalTime>15</TotalTime>
  <ScaleCrop>false</ScaleCrop>
  <LinksUpToDate>false</LinksUpToDate>
  <CharactersWithSpaces>5578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戴</cp:lastModifiedBy>
  <cp:lastPrinted>2023-06-29T01:04:00Z</cp:lastPrinted>
  <dcterms:modified xsi:type="dcterms:W3CDTF">2023-07-19T03:07:27Z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598409A87DA54A43A7D448E142E5B9BE_13</vt:lpwstr>
  </property>
</Properties>
</file>