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600" w:lineRule="exact"/>
        <w:rPr>
          <w:rFonts w:ascii="黑体" w:hAnsi="黑体" w:eastAsia="黑体" w:cs="黑体"/>
          <w:sz w:val="32"/>
          <w:szCs w:val="32"/>
        </w:rPr>
      </w:pPr>
      <w:r>
        <w:rPr>
          <w:rFonts w:hint="eastAsia" w:ascii="黑体" w:hAnsi="黑体" w:eastAsia="黑体" w:cs="黑体"/>
          <w:sz w:val="32"/>
          <w:szCs w:val="32"/>
        </w:rPr>
        <w:t>附件1</w:t>
      </w:r>
    </w:p>
    <w:p>
      <w:pPr>
        <w:spacing w:beforeLines="50" w:afterLines="100" w:line="600" w:lineRule="exact"/>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2022年度部门整体支出绩效评价基础数据表</w:t>
      </w:r>
    </w:p>
    <w:tbl>
      <w:tblPr>
        <w:tblStyle w:val="7"/>
        <w:tblW w:w="5000" w:type="pct"/>
        <w:jc w:val="center"/>
        <w:tblLayout w:type="fixed"/>
        <w:tblCellMar>
          <w:top w:w="0" w:type="dxa"/>
          <w:left w:w="108" w:type="dxa"/>
          <w:bottom w:w="0" w:type="dxa"/>
          <w:right w:w="108" w:type="dxa"/>
        </w:tblCellMar>
      </w:tblPr>
      <w:tblGrid>
        <w:gridCol w:w="2334"/>
        <w:gridCol w:w="2445"/>
        <w:gridCol w:w="2218"/>
        <w:gridCol w:w="2291"/>
      </w:tblGrid>
      <w:tr>
        <w:tblPrEx>
          <w:tblCellMar>
            <w:top w:w="0" w:type="dxa"/>
            <w:left w:w="108" w:type="dxa"/>
            <w:bottom w:w="0" w:type="dxa"/>
            <w:right w:w="108" w:type="dxa"/>
          </w:tblCellMar>
        </w:tblPrEx>
        <w:trPr>
          <w:trHeight w:val="479" w:hRule="atLeast"/>
          <w:jc w:val="center"/>
        </w:trPr>
        <w:tc>
          <w:tcPr>
            <w:tcW w:w="1256"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新宋体" w:hAnsi="新宋体" w:eastAsia="新宋体" w:cs="新宋体"/>
                <w:szCs w:val="21"/>
              </w:rPr>
            </w:pPr>
            <w:r>
              <w:rPr>
                <w:rFonts w:hint="eastAsia" w:ascii="新宋体" w:hAnsi="新宋体" w:eastAsia="新宋体" w:cs="新宋体"/>
                <w:szCs w:val="21"/>
              </w:rPr>
              <w:t>财政供养人员情况（人）</w:t>
            </w:r>
          </w:p>
        </w:tc>
        <w:tc>
          <w:tcPr>
            <w:tcW w:w="1316"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编制数</w:t>
            </w:r>
          </w:p>
        </w:tc>
        <w:tc>
          <w:tcPr>
            <w:tcW w:w="1194"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2022年实际在职人数</w:t>
            </w:r>
          </w:p>
        </w:tc>
        <w:tc>
          <w:tcPr>
            <w:tcW w:w="1233"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控制率</w:t>
            </w:r>
          </w:p>
        </w:tc>
      </w:tr>
      <w:tr>
        <w:tblPrEx>
          <w:tblCellMar>
            <w:top w:w="0" w:type="dxa"/>
            <w:left w:w="108" w:type="dxa"/>
            <w:bottom w:w="0" w:type="dxa"/>
            <w:right w:w="108" w:type="dxa"/>
          </w:tblCellMar>
        </w:tblPrEx>
        <w:trPr>
          <w:trHeight w:val="421" w:hRule="atLeast"/>
          <w:jc w:val="center"/>
        </w:trPr>
        <w:tc>
          <w:tcPr>
            <w:tcW w:w="1256" w:type="pct"/>
            <w:vMerge w:val="continue"/>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新宋体" w:hAnsi="新宋体" w:eastAsia="新宋体" w:cs="新宋体"/>
                <w:szCs w:val="21"/>
              </w:rPr>
            </w:pPr>
          </w:p>
        </w:tc>
        <w:tc>
          <w:tcPr>
            <w:tcW w:w="1316"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77</w:t>
            </w:r>
          </w:p>
        </w:tc>
        <w:tc>
          <w:tcPr>
            <w:tcW w:w="1194"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77</w:t>
            </w:r>
          </w:p>
        </w:tc>
        <w:tc>
          <w:tcPr>
            <w:tcW w:w="1233" w:type="pct"/>
            <w:tcBorders>
              <w:top w:val="single" w:color="auto" w:sz="4" w:space="0"/>
              <w:left w:val="nil"/>
              <w:bottom w:val="single" w:color="auto" w:sz="4" w:space="0"/>
              <w:right w:val="single" w:color="auto"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100%</w:t>
            </w:r>
          </w:p>
        </w:tc>
      </w:tr>
      <w:tr>
        <w:tblPrEx>
          <w:tblCellMar>
            <w:top w:w="0" w:type="dxa"/>
            <w:left w:w="108" w:type="dxa"/>
            <w:bottom w:w="0" w:type="dxa"/>
            <w:right w:w="108" w:type="dxa"/>
          </w:tblCellMar>
        </w:tblPrEx>
        <w:trPr>
          <w:trHeight w:val="697"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新宋体" w:hAnsi="新宋体" w:eastAsia="新宋体" w:cs="新宋体"/>
                <w:szCs w:val="21"/>
              </w:rPr>
            </w:pPr>
            <w:r>
              <w:rPr>
                <w:rFonts w:hint="eastAsia" w:ascii="新宋体" w:hAnsi="新宋体" w:eastAsia="新宋体" w:cs="新宋体"/>
                <w:szCs w:val="21"/>
              </w:rPr>
              <w:t>经费控制情况（万元）</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2021年决算数</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2022年预算数</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2022年决算数</w:t>
            </w:r>
          </w:p>
        </w:tc>
      </w:tr>
      <w:tr>
        <w:tblPrEx>
          <w:tblCellMar>
            <w:top w:w="0" w:type="dxa"/>
            <w:left w:w="108" w:type="dxa"/>
            <w:bottom w:w="0" w:type="dxa"/>
            <w:right w:w="108" w:type="dxa"/>
          </w:tblCellMar>
        </w:tblPrEx>
        <w:trPr>
          <w:trHeight w:val="456"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一、基本支出：</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955.50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1,398.85</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1,398.85</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其中：三公经费</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30.13</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9.99</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9.99</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1.公务用车购置和维护经费</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395"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其中：公车购置</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403"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公车运行维护</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354"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2.出国经费</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3.公务接待</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30.13</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9.99</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9.99</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二、项目支出：</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391.40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435.74</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435.74</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1.</w:t>
            </w:r>
            <w:r>
              <w:rPr>
                <w:rFonts w:hint="eastAsia"/>
              </w:rPr>
              <w:t xml:space="preserve"> </w:t>
            </w:r>
            <w:r>
              <w:rPr>
                <w:rFonts w:hint="eastAsia" w:ascii="新宋体" w:hAnsi="新宋体" w:eastAsia="新宋体" w:cs="新宋体"/>
                <w:szCs w:val="21"/>
              </w:rPr>
              <w:t>禁毒项目</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65.00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55.00</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55.00</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2.</w:t>
            </w:r>
            <w:r>
              <w:rPr>
                <w:rFonts w:hint="eastAsia"/>
              </w:rPr>
              <w:t xml:space="preserve"> </w:t>
            </w:r>
            <w:r>
              <w:rPr>
                <w:rFonts w:hint="eastAsia" w:ascii="新宋体" w:hAnsi="新宋体" w:eastAsia="新宋体" w:cs="新宋体"/>
                <w:szCs w:val="21"/>
              </w:rPr>
              <w:t>金融工作支出</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64.00</w:t>
            </w:r>
            <w:bookmarkStart w:id="0" w:name="_GoBack"/>
            <w:bookmarkEnd w:id="0"/>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64.00</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3.</w:t>
            </w:r>
            <w:r>
              <w:rPr>
                <w:rFonts w:hint="eastAsia"/>
              </w:rPr>
              <w:t xml:space="preserve"> </w:t>
            </w:r>
            <w:r>
              <w:rPr>
                <w:rFonts w:hint="eastAsia" w:ascii="新宋体" w:hAnsi="新宋体" w:eastAsia="新宋体" w:cs="新宋体"/>
                <w:szCs w:val="21"/>
              </w:rPr>
              <w:t>机关行政事务</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323.00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264.50</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264.50</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4.</w:t>
            </w:r>
            <w:r>
              <w:rPr>
                <w:rFonts w:hint="eastAsia"/>
              </w:rPr>
              <w:t xml:space="preserve"> </w:t>
            </w:r>
            <w:r>
              <w:rPr>
                <w:rFonts w:hint="eastAsia" w:ascii="新宋体" w:hAnsi="新宋体" w:eastAsia="新宋体" w:cs="新宋体"/>
                <w:szCs w:val="21"/>
              </w:rPr>
              <w:t>优化办工作支出</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42.24</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42.24</w:t>
            </w:r>
          </w:p>
        </w:tc>
      </w:tr>
      <w:tr>
        <w:tblPrEx>
          <w:tblCellMar>
            <w:top w:w="0" w:type="dxa"/>
            <w:left w:w="108" w:type="dxa"/>
            <w:bottom w:w="0" w:type="dxa"/>
            <w:right w:w="108" w:type="dxa"/>
          </w:tblCellMar>
        </w:tblPrEx>
        <w:trPr>
          <w:trHeight w:val="539"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5.</w:t>
            </w:r>
            <w:r>
              <w:rPr>
                <w:rFonts w:hint="eastAsia"/>
              </w:rPr>
              <w:t xml:space="preserve"> </w:t>
            </w:r>
            <w:r>
              <w:rPr>
                <w:rFonts w:hint="eastAsia" w:ascii="新宋体" w:hAnsi="新宋体" w:eastAsia="新宋体" w:cs="新宋体"/>
                <w:szCs w:val="21"/>
              </w:rPr>
              <w:t>生环办工作支出</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10.00</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ascii="新宋体" w:hAnsi="新宋体" w:eastAsia="新宋体" w:cs="新宋体"/>
                <w:szCs w:val="21"/>
              </w:rPr>
              <w:t>10.00</w:t>
            </w:r>
          </w:p>
        </w:tc>
      </w:tr>
      <w:tr>
        <w:tblPrEx>
          <w:tblCellMar>
            <w:top w:w="0" w:type="dxa"/>
            <w:left w:w="108" w:type="dxa"/>
            <w:bottom w:w="0" w:type="dxa"/>
            <w:right w:w="108" w:type="dxa"/>
          </w:tblCellMar>
        </w:tblPrEx>
        <w:trPr>
          <w:trHeight w:val="397"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hint="eastAsia" w:ascii="新宋体" w:hAnsi="新宋体" w:eastAsia="新宋体" w:cs="新宋体"/>
                <w:szCs w:val="21"/>
              </w:rPr>
            </w:pPr>
            <w:r>
              <w:rPr>
                <w:rFonts w:hint="eastAsia" w:ascii="新宋体" w:hAnsi="新宋体" w:eastAsia="新宋体" w:cs="新宋体"/>
                <w:szCs w:val="21"/>
              </w:rPr>
              <w:t>6.人大调研经费</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新宋体" w:hAnsi="新宋体" w:eastAsia="新宋体" w:cs="新宋体"/>
                <w:szCs w:val="21"/>
              </w:rPr>
            </w:pPr>
            <w:r>
              <w:rPr>
                <w:rFonts w:hint="eastAsia" w:ascii="新宋体" w:hAnsi="新宋体" w:eastAsia="新宋体" w:cs="新宋体"/>
                <w:szCs w:val="21"/>
              </w:rPr>
              <w:t>2.40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476"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hint="eastAsia" w:ascii="新宋体" w:hAnsi="新宋体" w:eastAsia="新宋体" w:cs="新宋体"/>
                <w:szCs w:val="21"/>
              </w:rPr>
            </w:pPr>
            <w:r>
              <w:rPr>
                <w:rFonts w:hint="eastAsia" w:ascii="新宋体" w:hAnsi="新宋体" w:eastAsia="新宋体" w:cs="新宋体"/>
                <w:szCs w:val="21"/>
              </w:rPr>
              <w:t>7.其他支出</w:t>
            </w:r>
          </w:p>
        </w:tc>
        <w:tc>
          <w:tcPr>
            <w:tcW w:w="1316"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hint="eastAsia" w:ascii="新宋体" w:hAnsi="新宋体" w:eastAsia="新宋体" w:cs="新宋体"/>
                <w:szCs w:val="21"/>
              </w:rPr>
            </w:pPr>
            <w:r>
              <w:rPr>
                <w:rFonts w:hint="eastAsia" w:ascii="新宋体" w:hAnsi="新宋体" w:eastAsia="新宋体" w:cs="新宋体"/>
                <w:szCs w:val="21"/>
              </w:rPr>
              <w:t>1.00</w:t>
            </w:r>
          </w:p>
        </w:tc>
        <w:tc>
          <w:tcPr>
            <w:tcW w:w="1194"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233" w:type="pct"/>
            <w:tcBorders>
              <w:top w:val="single" w:color="auto" w:sz="4" w:space="0"/>
              <w:left w:val="nil"/>
              <w:bottom w:val="single" w:color="auto" w:sz="4" w:space="0"/>
              <w:right w:val="single" w:color="000000" w:sz="4" w:space="0"/>
            </w:tcBorders>
            <w:noWrap/>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985" w:hRule="atLeast"/>
          <w:jc w:val="center"/>
        </w:trPr>
        <w:tc>
          <w:tcPr>
            <w:tcW w:w="1256" w:type="pct"/>
            <w:tcBorders>
              <w:top w:val="nil"/>
              <w:left w:val="single" w:color="auto" w:sz="4" w:space="0"/>
              <w:bottom w:val="single" w:color="auto" w:sz="4" w:space="0"/>
              <w:right w:val="single" w:color="auto" w:sz="4" w:space="0"/>
            </w:tcBorders>
            <w:noWrap/>
            <w:vAlign w:val="center"/>
          </w:tcPr>
          <w:p>
            <w:pPr>
              <w:widowControl/>
              <w:spacing w:line="240" w:lineRule="exact"/>
              <w:rPr>
                <w:rFonts w:ascii="新宋体" w:hAnsi="新宋体" w:eastAsia="新宋体" w:cs="新宋体"/>
                <w:szCs w:val="21"/>
              </w:rPr>
            </w:pPr>
            <w:r>
              <w:rPr>
                <w:rFonts w:hint="eastAsia" w:ascii="新宋体" w:hAnsi="新宋体" w:eastAsia="新宋体" w:cs="新宋体"/>
                <w:szCs w:val="21"/>
              </w:rPr>
              <w:t>厉行节约保障措施</w:t>
            </w:r>
          </w:p>
        </w:tc>
        <w:tc>
          <w:tcPr>
            <w:tcW w:w="3743" w:type="pct"/>
            <w:gridSpan w:val="3"/>
            <w:tcBorders>
              <w:top w:val="single" w:color="auto" w:sz="4" w:space="0"/>
              <w:left w:val="nil"/>
              <w:bottom w:val="single" w:color="auto" w:sz="4" w:space="0"/>
              <w:right w:val="single" w:color="000000" w:sz="4" w:space="0"/>
            </w:tcBorders>
            <w:noWrap/>
            <w:vAlign w:val="center"/>
          </w:tcPr>
          <w:p>
            <w:pPr>
              <w:widowControl/>
              <w:spacing w:line="240" w:lineRule="exact"/>
              <w:jc w:val="left"/>
              <w:rPr>
                <w:rFonts w:ascii="新宋体" w:hAnsi="新宋体" w:eastAsia="新宋体" w:cs="新宋体"/>
                <w:szCs w:val="21"/>
              </w:rPr>
            </w:pPr>
            <w:r>
              <w:rPr>
                <w:rFonts w:hint="eastAsia" w:ascii="新宋体" w:hAnsi="新宋体" w:eastAsia="新宋体" w:cs="新宋体"/>
                <w:szCs w:val="21"/>
              </w:rPr>
              <w:t>厉行节约，落实压减一般性支出文件精神；完善单位内部控制制度；控制接待费和差旅费；执行会议报批制度；强化节能宣传、创新制度规范、完善管理手续，对能耗适时监控，切实加强节能降耗工作力度。</w:t>
            </w:r>
          </w:p>
        </w:tc>
      </w:tr>
    </w:tbl>
    <w:p>
      <w:pPr>
        <w:widowControl/>
        <w:spacing w:line="400" w:lineRule="exact"/>
        <w:jc w:val="left"/>
        <w:rPr>
          <w:rFonts w:ascii="新宋体" w:hAnsi="新宋体" w:eastAsia="新宋体" w:cs="新宋体"/>
          <w:szCs w:val="21"/>
        </w:rPr>
      </w:pPr>
      <w:r>
        <w:rPr>
          <w:rFonts w:hint="eastAsia" w:ascii="新宋体" w:hAnsi="新宋体" w:eastAsia="新宋体" w:cs="新宋体"/>
          <w:szCs w:val="21"/>
        </w:rPr>
        <w:t>说明：以上数据均来源于部门决算报表，其中“基本支出”数据参照基本支出决算明细表（财决05-1表）；“三公经费”数据参照机构运行信息表（财决附03表）；“项目支出”数据参照项目支出决算明细表（财决05-2表）。</w:t>
      </w:r>
    </w:p>
    <w:p>
      <w:pPr>
        <w:widowControl/>
        <w:spacing w:line="400" w:lineRule="exact"/>
        <w:jc w:val="left"/>
        <w:rPr>
          <w:rFonts w:eastAsia="黑体"/>
          <w:sz w:val="32"/>
          <w:szCs w:val="32"/>
        </w:rPr>
      </w:pPr>
      <w:r>
        <w:rPr>
          <w:rFonts w:eastAsia="仿宋_GB2312"/>
          <w:sz w:val="22"/>
        </w:rPr>
        <w:t>填表人：</w:t>
      </w:r>
      <w:r>
        <w:rPr>
          <w:rFonts w:hint="eastAsia" w:eastAsia="仿宋_GB2312"/>
          <w:sz w:val="22"/>
        </w:rPr>
        <w:t>赵梦雅</w:t>
      </w:r>
      <w:r>
        <w:rPr>
          <w:rFonts w:eastAsia="仿宋_GB2312"/>
          <w:sz w:val="22"/>
        </w:rPr>
        <w:t xml:space="preserve"> 填报日期：</w:t>
      </w:r>
      <w:r>
        <w:rPr>
          <w:rFonts w:hint="eastAsia" w:eastAsia="仿宋_GB2312"/>
          <w:sz w:val="22"/>
        </w:rPr>
        <w:t>2023年7月12日</w:t>
      </w:r>
      <w:r>
        <w:rPr>
          <w:rFonts w:eastAsia="仿宋_GB2312"/>
          <w:sz w:val="22"/>
        </w:rPr>
        <w:t xml:space="preserve"> 联系电话：</w:t>
      </w:r>
      <w:r>
        <w:rPr>
          <w:rFonts w:hint="eastAsia" w:eastAsia="仿宋_GB2312"/>
          <w:sz w:val="22"/>
        </w:rPr>
        <w:t>18390158809</w:t>
      </w:r>
      <w:r>
        <w:rPr>
          <w:rFonts w:eastAsia="仿宋_GB2312"/>
          <w:sz w:val="22"/>
        </w:rPr>
        <w:t xml:space="preserve">  单位负责人签字：</w:t>
      </w:r>
      <w:r>
        <w:rPr>
          <w:rFonts w:eastAsia="仿宋_GB2312"/>
          <w:sz w:val="22"/>
        </w:rPr>
        <w:br w:type="page"/>
      </w:r>
      <w:r>
        <w:rPr>
          <w:rFonts w:ascii="黑体" w:hAnsi="黑体" w:eastAsia="黑体" w:cs="黑体"/>
          <w:sz w:val="32"/>
          <w:szCs w:val="32"/>
        </w:rPr>
        <w:t>附件</w:t>
      </w:r>
      <w:r>
        <w:rPr>
          <w:rFonts w:hint="eastAsia" w:ascii="黑体" w:hAnsi="黑体" w:eastAsia="黑体" w:cs="黑体"/>
          <w:sz w:val="32"/>
          <w:szCs w:val="32"/>
        </w:rPr>
        <w:t>2</w:t>
      </w:r>
    </w:p>
    <w:p>
      <w:pPr>
        <w:spacing w:beforeLines="50" w:afterLines="100" w:line="600" w:lineRule="exact"/>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2022年度部门整体支出绩效自评表</w:t>
      </w:r>
    </w:p>
    <w:tbl>
      <w:tblPr>
        <w:tblStyle w:val="7"/>
        <w:tblW w:w="5000" w:type="pct"/>
        <w:jc w:val="center"/>
        <w:tblLayout w:type="autofit"/>
        <w:tblCellMar>
          <w:top w:w="0" w:type="dxa"/>
          <w:left w:w="108" w:type="dxa"/>
          <w:bottom w:w="0" w:type="dxa"/>
          <w:right w:w="108" w:type="dxa"/>
        </w:tblCellMar>
      </w:tblPr>
      <w:tblGrid>
        <w:gridCol w:w="495"/>
        <w:gridCol w:w="365"/>
        <w:gridCol w:w="530"/>
        <w:gridCol w:w="1963"/>
        <w:gridCol w:w="1963"/>
        <w:gridCol w:w="1059"/>
        <w:gridCol w:w="933"/>
        <w:gridCol w:w="968"/>
        <w:gridCol w:w="1012"/>
      </w:tblGrid>
      <w:tr>
        <w:tblPrEx>
          <w:tblCellMar>
            <w:top w:w="0" w:type="dxa"/>
            <w:left w:w="108" w:type="dxa"/>
            <w:bottom w:w="0" w:type="dxa"/>
            <w:right w:w="108" w:type="dxa"/>
          </w:tblCellMar>
        </w:tblPrEx>
        <w:trPr>
          <w:trHeight w:val="1003" w:hRule="atLeast"/>
          <w:jc w:val="center"/>
        </w:trPr>
        <w:tc>
          <w:tcPr>
            <w:tcW w:w="26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县级预算部门名称</w:t>
            </w:r>
          </w:p>
        </w:tc>
        <w:tc>
          <w:tcPr>
            <w:tcW w:w="4733" w:type="pct"/>
            <w:gridSpan w:val="8"/>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华容县人民政府办公室</w:t>
            </w:r>
          </w:p>
        </w:tc>
      </w:tr>
      <w:tr>
        <w:tblPrEx>
          <w:tblCellMar>
            <w:top w:w="0" w:type="dxa"/>
            <w:left w:w="108" w:type="dxa"/>
            <w:bottom w:w="0" w:type="dxa"/>
            <w:right w:w="108" w:type="dxa"/>
          </w:tblCellMar>
        </w:tblPrEx>
        <w:trPr>
          <w:trHeight w:val="863" w:hRule="atLeast"/>
          <w:jc w:val="center"/>
        </w:trPr>
        <w:tc>
          <w:tcPr>
            <w:tcW w:w="267" w:type="pct"/>
            <w:vMerge w:val="restart"/>
            <w:tcBorders>
              <w:top w:val="nil"/>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预算</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申请</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（万元）</w:t>
            </w:r>
          </w:p>
        </w:tc>
        <w:tc>
          <w:tcPr>
            <w:tcW w:w="482" w:type="pct"/>
            <w:gridSpan w:val="2"/>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年初</w:t>
            </w:r>
          </w:p>
          <w:p>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57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pPr>
              <w:spacing w:line="0" w:lineRule="atLeast"/>
              <w:jc w:val="center"/>
              <w:rPr>
                <w:rFonts w:ascii="新宋体" w:hAnsi="新宋体" w:eastAsia="新宋体" w:cs="新宋体"/>
                <w:szCs w:val="21"/>
              </w:rPr>
            </w:pPr>
            <w:r>
              <w:rPr>
                <w:rFonts w:hint="eastAsia" w:ascii="新宋体" w:hAnsi="新宋体" w:eastAsia="新宋体" w:cs="新宋体"/>
                <w:szCs w:val="21"/>
              </w:rPr>
              <w:t>执行数</w:t>
            </w:r>
          </w:p>
        </w:tc>
        <w:tc>
          <w:tcPr>
            <w:tcW w:w="495"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分值</w:t>
            </w:r>
          </w:p>
        </w:tc>
        <w:tc>
          <w:tcPr>
            <w:tcW w:w="51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执行率</w:t>
            </w:r>
          </w:p>
        </w:tc>
        <w:tc>
          <w:tcPr>
            <w:tcW w:w="54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得分</w:t>
            </w:r>
          </w:p>
        </w:tc>
      </w:tr>
      <w:tr>
        <w:tblPrEx>
          <w:tblCellMar>
            <w:top w:w="0" w:type="dxa"/>
            <w:left w:w="108" w:type="dxa"/>
            <w:bottom w:w="0" w:type="dxa"/>
            <w:right w:w="108" w:type="dxa"/>
          </w:tblCellMar>
        </w:tblPrEx>
        <w:trPr>
          <w:trHeight w:val="462" w:hRule="atLeast"/>
          <w:jc w:val="center"/>
        </w:trPr>
        <w:tc>
          <w:tcPr>
            <w:tcW w:w="267" w:type="pct"/>
            <w:vMerge w:val="continue"/>
            <w:tcBorders>
              <w:top w:val="nil"/>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482" w:type="pct"/>
            <w:gridSpan w:val="2"/>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color w:val="000000"/>
                <w:szCs w:val="21"/>
              </w:rPr>
              <w:t>年度资金总额</w:t>
            </w: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ascii="新宋体" w:hAnsi="新宋体" w:eastAsia="新宋体" w:cs="新宋体"/>
                <w:szCs w:val="21"/>
              </w:rPr>
              <w:t>852.00</w:t>
            </w:r>
          </w:p>
        </w:tc>
        <w:tc>
          <w:tcPr>
            <w:tcW w:w="105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ascii="新宋体" w:hAnsi="新宋体" w:eastAsia="新宋体" w:cs="新宋体"/>
                <w:szCs w:val="21"/>
              </w:rPr>
              <w:t>1,834.59</w:t>
            </w:r>
          </w:p>
        </w:tc>
        <w:tc>
          <w:tcPr>
            <w:tcW w:w="57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ascii="新宋体" w:hAnsi="新宋体" w:eastAsia="新宋体" w:cs="新宋体"/>
                <w:szCs w:val="21"/>
              </w:rPr>
              <w:t>1,834.59</w:t>
            </w:r>
          </w:p>
        </w:tc>
        <w:tc>
          <w:tcPr>
            <w:tcW w:w="495"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c>
          <w:tcPr>
            <w:tcW w:w="518"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100%</w:t>
            </w:r>
          </w:p>
        </w:tc>
        <w:tc>
          <w:tcPr>
            <w:tcW w:w="547" w:type="pct"/>
            <w:tcBorders>
              <w:top w:val="nil"/>
              <w:left w:val="nil"/>
              <w:bottom w:val="single" w:color="auto" w:sz="4" w:space="0"/>
              <w:right w:val="single" w:color="auto" w:sz="4" w:space="0"/>
            </w:tcBorders>
            <w:noWrap/>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按收入性质分：</w:t>
            </w:r>
            <w:r>
              <w:rPr>
                <w:rFonts w:ascii="新宋体" w:hAnsi="新宋体" w:eastAsia="新宋体" w:cs="新宋体"/>
                <w:color w:val="000000"/>
                <w:szCs w:val="21"/>
              </w:rPr>
              <w:t>1,834.59</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按支出性质分：</w:t>
            </w:r>
            <w:r>
              <w:rPr>
                <w:rFonts w:ascii="新宋体" w:hAnsi="新宋体" w:eastAsia="新宋体" w:cs="新宋体"/>
                <w:color w:val="000000"/>
                <w:szCs w:val="21"/>
              </w:rPr>
              <w:t>1,834.59</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其中：一般公共预算：</w:t>
            </w:r>
            <w:r>
              <w:rPr>
                <w:rFonts w:ascii="新宋体" w:hAnsi="新宋体" w:eastAsia="新宋体" w:cs="新宋体"/>
                <w:color w:val="000000"/>
                <w:szCs w:val="21"/>
              </w:rPr>
              <w:t>1,834.59</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其中：基本支出：</w:t>
            </w:r>
            <w:r>
              <w:rPr>
                <w:rFonts w:ascii="新宋体" w:hAnsi="新宋体" w:eastAsia="新宋体" w:cs="新宋体"/>
                <w:color w:val="000000"/>
                <w:szCs w:val="21"/>
              </w:rPr>
              <w:t>1,398.85</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政府性基金拨款：</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项目支出：</w:t>
            </w:r>
            <w:r>
              <w:rPr>
                <w:rFonts w:ascii="新宋体" w:hAnsi="新宋体" w:eastAsia="新宋体" w:cs="新宋体"/>
                <w:color w:val="000000"/>
                <w:szCs w:val="21"/>
              </w:rPr>
              <w:t>435.74</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纳入专户管理的非税收入拨款：</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bottom w:val="single" w:color="000000"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nil"/>
              <w:left w:val="nil"/>
              <w:bottom w:val="single" w:color="auto" w:sz="4" w:space="0"/>
              <w:right w:val="single" w:color="auto" w:sz="4" w:space="0"/>
            </w:tcBorders>
            <w:noWrap/>
            <w:vAlign w:val="center"/>
          </w:tcPr>
          <w:p>
            <w:pPr>
              <w:widowControl/>
              <w:spacing w:line="0" w:lineRule="atLeast"/>
              <w:ind w:firstLine="1260" w:firstLineChars="600"/>
              <w:jc w:val="left"/>
              <w:rPr>
                <w:rFonts w:ascii="新宋体" w:hAnsi="新宋体" w:eastAsia="新宋体" w:cs="新宋体"/>
                <w:color w:val="000000"/>
                <w:szCs w:val="21"/>
              </w:rPr>
            </w:pPr>
            <w:r>
              <w:rPr>
                <w:rFonts w:hint="eastAsia" w:ascii="新宋体" w:hAnsi="新宋体" w:eastAsia="新宋体" w:cs="新宋体"/>
                <w:color w:val="000000"/>
                <w:szCs w:val="21"/>
              </w:rPr>
              <w:t>其他资金：</w:t>
            </w:r>
          </w:p>
        </w:tc>
        <w:tc>
          <w:tcPr>
            <w:tcW w:w="2138" w:type="pct"/>
            <w:gridSpan w:val="4"/>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restart"/>
            <w:tcBorders>
              <w:top w:val="nil"/>
              <w:left w:val="single" w:color="auto" w:sz="4" w:space="0"/>
              <w:bottom w:val="single" w:color="000000"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总体目标</w:t>
            </w:r>
          </w:p>
        </w:tc>
        <w:tc>
          <w:tcPr>
            <w:tcW w:w="2595" w:type="pct"/>
            <w:gridSpan w:val="4"/>
            <w:tcBorders>
              <w:top w:val="single" w:color="auto" w:sz="4" w:space="0"/>
              <w:left w:val="nil"/>
              <w:bottom w:val="single" w:color="auto" w:sz="4" w:space="0"/>
              <w:right w:val="single" w:color="000000"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预期目标</w:t>
            </w:r>
          </w:p>
        </w:tc>
        <w:tc>
          <w:tcPr>
            <w:tcW w:w="2138" w:type="pct"/>
            <w:gridSpan w:val="4"/>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实际完成情况　</w:t>
            </w:r>
          </w:p>
        </w:tc>
      </w:tr>
      <w:tr>
        <w:tblPrEx>
          <w:tblCellMar>
            <w:top w:w="0" w:type="dxa"/>
            <w:left w:w="108" w:type="dxa"/>
            <w:bottom w:w="0" w:type="dxa"/>
            <w:right w:w="108" w:type="dxa"/>
          </w:tblCellMar>
        </w:tblPrEx>
        <w:trPr>
          <w:trHeight w:val="5266" w:hRule="atLeast"/>
          <w:jc w:val="center"/>
        </w:trPr>
        <w:tc>
          <w:tcPr>
            <w:tcW w:w="267" w:type="pct"/>
            <w:vMerge w:val="continue"/>
            <w:tcBorders>
              <w:top w:val="nil"/>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595" w:type="pct"/>
            <w:gridSpan w:val="4"/>
            <w:tcBorders>
              <w:top w:val="single" w:color="auto" w:sz="4" w:space="0"/>
              <w:left w:val="nil"/>
              <w:bottom w:val="single" w:color="auto" w:sz="4" w:space="0"/>
              <w:right w:val="single" w:color="000000"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目标1：做好政府会议的准备工作和重要活动安排</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目标2：协助政府领导组织起草或审核以政府、政府办名义发布的公文</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目标3：督促检查政府各部门、各乡镇（街道）对政府决定事项和上级机关文件及领导重要批示的贯彻落实情况</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目标4：负责推进、指导、协调、监督政府信息公开工作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目标5：负责政府文电运转、政务信息及机关信息化建设工作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目标6：负责政府行政复议和行政应诉工作，指导、推进、协调、监督依法行政工作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目标7：负责金融工作领导小组办公室日常工作</w:t>
            </w:r>
          </w:p>
          <w:p>
            <w:pPr>
              <w:widowControl/>
              <w:spacing w:line="0" w:lineRule="atLeast"/>
              <w:jc w:val="left"/>
            </w:pPr>
            <w:r>
              <w:rPr>
                <w:rFonts w:hint="eastAsia" w:ascii="新宋体" w:hAnsi="新宋体" w:eastAsia="新宋体" w:cs="新宋体"/>
                <w:color w:val="000000"/>
                <w:szCs w:val="21"/>
              </w:rPr>
              <w:t>目标8：负责管理政府总值班室工作</w:t>
            </w:r>
          </w:p>
        </w:tc>
        <w:tc>
          <w:tcPr>
            <w:tcW w:w="2138" w:type="pct"/>
            <w:gridSpan w:val="4"/>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1：做好政府会议的准备工作和重要活动安排，全年共承办政府性会议66次。</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2：协助政府领导组织起草或审核以政府、政府办名义发布的公文，今年共审印各类文稿439份。</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3：督促检查政府各部门、各乡镇（街道）对政府决定事项和上级机关文件及领导重要批示的贯彻落实情况，全年共办理领导批办交办事项64件次，下发交办函、督办函42个，印发政务通报和督查通报22期。</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4：完成推进、指导、协调、监督政府信息公开工作。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5：完成政府文电运转、政务信息及机关信息化建设工作。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6：完成政府行政复议和行政应诉工作，指导、推进、协调、监督依法行政工作。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7：完成金融工作领导小组办公室日常工作。</w:t>
            </w:r>
          </w:p>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8：完成管理政府总值班室工作。</w:t>
            </w:r>
          </w:p>
        </w:tc>
      </w:tr>
      <w:tr>
        <w:tblPrEx>
          <w:tblCellMar>
            <w:top w:w="0" w:type="dxa"/>
            <w:left w:w="108" w:type="dxa"/>
            <w:bottom w:w="0" w:type="dxa"/>
            <w:right w:w="108" w:type="dxa"/>
          </w:tblCellMar>
        </w:tblPrEx>
        <w:trPr>
          <w:trHeight w:val="850" w:hRule="atLeast"/>
          <w:jc w:val="center"/>
        </w:trPr>
        <w:tc>
          <w:tcPr>
            <w:tcW w:w="267"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196"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28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产出</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(50分)</w:t>
            </w:r>
          </w:p>
        </w:tc>
        <w:tc>
          <w:tcPr>
            <w:tcW w:w="285"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数量</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发布、办理公文数量。</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发布、办理公文数量≥2000。</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2777</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撰写高质量的调研报告或考察报告</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≥20篇</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30</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ind w:firstLine="210" w:firstLineChars="100"/>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ind w:firstLine="210" w:firstLineChars="100"/>
              <w:rPr>
                <w:rFonts w:ascii="新宋体" w:hAnsi="新宋体" w:eastAsia="新宋体" w:cs="新宋体"/>
                <w:color w:val="000000"/>
                <w:szCs w:val="21"/>
              </w:rPr>
            </w:pPr>
            <w:r>
              <w:rPr>
                <w:rFonts w:hint="eastAsia" w:ascii="新宋体" w:hAnsi="新宋体" w:eastAsia="新宋体" w:cs="新宋体"/>
                <w:color w:val="000000"/>
                <w:szCs w:val="21"/>
              </w:rPr>
              <w:t>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市长信箱回复处理完成情况,县长信箱回复处理完成情况。</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市长、县长信箱回复处理办结率达到100%，满意度≥85%。</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办结率100%、满意度88%</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全县人大代表建议、政协提案的办理、交办、督办。</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全县人大代表建议、政协提案的办理、交办、督办≥220次。</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228</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质量</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应急管理工作预案制度、日常值班管理工作是否执行严格。</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高质量执行到位。</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已执行到位</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各项工作是否落实到位。</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高质量落实到位。</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已落实到位</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994"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时效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对县政府常务会议决定事项在规定时间内完成。</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按时完成。</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已在规定时间内完成　</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对中央、省委、省政府、市委、市政府主要负责同志的重要批示件及时办结回复及妥善处理。</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按时完成。</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已及时办结回复及妥善处理</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107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成本</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承担中央、省市重大活动或中心工作，成效显著。</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承担中央、省市重大活动、中心工作，成效显著。</w:t>
            </w:r>
          </w:p>
        </w:tc>
        <w:tc>
          <w:tcPr>
            <w:tcW w:w="578" w:type="pct"/>
            <w:tcBorders>
              <w:top w:val="single" w:color="auto" w:sz="4" w:space="0"/>
              <w:left w:val="single" w:color="auto" w:sz="4" w:space="0"/>
              <w:bottom w:val="single" w:color="auto" w:sz="4" w:space="0"/>
              <w:right w:val="single" w:color="auto" w:sz="4" w:space="0"/>
            </w:tcBorders>
            <w:noWrap/>
            <w:vAlign w:val="center"/>
          </w:tcPr>
          <w:p>
            <w:pPr>
              <w:autoSpaceDN w:val="0"/>
              <w:textAlignment w:val="center"/>
              <w:rPr>
                <w:rFonts w:ascii="新宋体" w:hAnsi="新宋体" w:eastAsia="新宋体" w:cs="新宋体"/>
                <w:color w:val="000000"/>
                <w:szCs w:val="21"/>
              </w:rPr>
            </w:pPr>
            <w:r>
              <w:rPr>
                <w:rFonts w:hint="eastAsia" w:ascii="新宋体" w:hAnsi="新宋体" w:eastAsia="新宋体" w:cs="新宋体"/>
                <w:color w:val="000000"/>
                <w:szCs w:val="21"/>
              </w:rPr>
              <w:t>已承担，成效显著</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受到专题通报表扬或市委、市政府会议正式表扬或主要领导批示表扬。</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受到表扬。</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受到多次表扬</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5</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1044" w:hRule="atLeast"/>
          <w:jc w:val="center"/>
        </w:trPr>
        <w:tc>
          <w:tcPr>
            <w:tcW w:w="267"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850" w:hRule="atLeast"/>
          <w:jc w:val="center"/>
        </w:trPr>
        <w:tc>
          <w:tcPr>
            <w:tcW w:w="267"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196"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28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851"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效益</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（30分）</w:t>
            </w:r>
          </w:p>
        </w:tc>
        <w:tc>
          <w:tcPr>
            <w:tcW w:w="285" w:type="pct"/>
            <w:vMerge w:val="restar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经济效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260" w:lineRule="exact"/>
              <w:rPr>
                <w:rFonts w:ascii="新宋体" w:hAnsi="新宋体" w:eastAsia="新宋体" w:cs="新宋体"/>
                <w:color w:val="000000"/>
                <w:szCs w:val="21"/>
              </w:rPr>
            </w:pPr>
            <w:r>
              <w:rPr>
                <w:rFonts w:hint="eastAsia" w:ascii="新宋体" w:hAnsi="新宋体" w:eastAsia="新宋体" w:cs="新宋体"/>
                <w:color w:val="000000"/>
                <w:szCs w:val="21"/>
              </w:rPr>
              <w:t>政府采购是否从全局角度考察，是否站在市场经济角度。</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政府采购从全局角度考察，站在市场经济角度。</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按照规定进行政府采购。</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1247"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合理调整工业、农业和财政金融等方面经济结构，改善经济效益。</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合理调整工业、农业和财政金融等方面经济结构，改善经济效益。</w:t>
            </w:r>
          </w:p>
        </w:tc>
        <w:tc>
          <w:tcPr>
            <w:tcW w:w="578" w:type="pct"/>
            <w:tcBorders>
              <w:top w:val="single" w:color="auto" w:sz="4" w:space="0"/>
              <w:left w:val="single" w:color="auto" w:sz="4" w:space="0"/>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经济结构合理调整，经济效益显著提高。</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社会效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57" w:type="pct"/>
            <w:tcBorders>
              <w:top w:val="nil"/>
              <w:left w:val="nil"/>
              <w:bottom w:val="single" w:color="auto" w:sz="4" w:space="0"/>
              <w:right w:val="single" w:color="auto" w:sz="4" w:space="0"/>
            </w:tcBorders>
            <w:noWrap/>
            <w:vAlign w:val="center"/>
          </w:tcPr>
          <w:p>
            <w:pPr>
              <w:widowControl/>
              <w:spacing w:line="260" w:lineRule="exact"/>
              <w:rPr>
                <w:rFonts w:ascii="新宋体" w:hAnsi="新宋体" w:eastAsia="新宋体" w:cs="新宋体"/>
                <w:color w:val="000000"/>
                <w:szCs w:val="21"/>
              </w:rPr>
            </w:pPr>
            <w:r>
              <w:rPr>
                <w:rFonts w:hint="eastAsia" w:ascii="新宋体" w:hAnsi="新宋体" w:eastAsia="新宋体" w:cs="新宋体"/>
                <w:color w:val="000000"/>
                <w:szCs w:val="21"/>
              </w:rPr>
              <w:t>县内居民收入分配是否公平合理，最低生活保障资金是否到位。</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县内居民收入分配公平合理，最低生活保障资金到位。</w:t>
            </w:r>
          </w:p>
        </w:tc>
        <w:tc>
          <w:tcPr>
            <w:tcW w:w="578" w:type="pct"/>
            <w:tcBorders>
              <w:top w:val="nil"/>
              <w:left w:val="nil"/>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公平合理分配，保障最低生活资金。</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县内居民居住水平、消费水平、消费结构是否合理。</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县内居民居住水平、消费水平、消费结构合理。</w:t>
            </w:r>
          </w:p>
        </w:tc>
        <w:tc>
          <w:tcPr>
            <w:tcW w:w="578"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各项水平结构合理。</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仿宋_GB2312" w:hAnsi="仿宋_GB2312" w:eastAsia="仿宋_GB2312" w:cs="仿宋_GB2312"/>
                <w:color w:val="000000"/>
                <w:sz w:val="24"/>
              </w:rPr>
            </w:pPr>
            <w:r>
              <w:rPr>
                <w:rFonts w:hint="eastAsia" w:ascii="新宋体" w:hAnsi="新宋体" w:eastAsia="新宋体" w:cs="新宋体"/>
                <w:color w:val="000000"/>
                <w:szCs w:val="21"/>
              </w:rPr>
              <w:t>居民就业结构和就业机会是否引发社会矛盾。</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居民就业结构和就业机会未引发社会矛盾。</w:t>
            </w:r>
          </w:p>
        </w:tc>
        <w:tc>
          <w:tcPr>
            <w:tcW w:w="578" w:type="pct"/>
            <w:tcBorders>
              <w:top w:val="nil"/>
              <w:left w:val="nil"/>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未引发社会矛盾，居民安居乐业。</w:t>
            </w:r>
          </w:p>
        </w:tc>
        <w:tc>
          <w:tcPr>
            <w:tcW w:w="495" w:type="pct"/>
            <w:tcBorders>
              <w:top w:val="nil"/>
              <w:left w:val="nil"/>
              <w:bottom w:val="single" w:color="auto" w:sz="4" w:space="0"/>
              <w:right w:val="single" w:color="auto" w:sz="4" w:space="0"/>
            </w:tcBorders>
            <w:noWrap/>
            <w:vAlign w:val="center"/>
          </w:tcPr>
          <w:p>
            <w:pPr>
              <w:widowControl/>
              <w:spacing w:line="0" w:lineRule="atLeast"/>
              <w:ind w:firstLine="210" w:firstLineChars="100"/>
              <w:jc w:val="left"/>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518" w:type="pct"/>
            <w:tcBorders>
              <w:top w:val="nil"/>
              <w:left w:val="nil"/>
              <w:bottom w:val="single" w:color="auto" w:sz="4" w:space="0"/>
              <w:right w:val="single" w:color="auto" w:sz="4" w:space="0"/>
            </w:tcBorders>
            <w:noWrap/>
            <w:vAlign w:val="center"/>
          </w:tcPr>
          <w:p>
            <w:pPr>
              <w:widowControl/>
              <w:spacing w:line="0" w:lineRule="atLeast"/>
              <w:ind w:firstLine="210" w:firstLineChars="100"/>
              <w:jc w:val="left"/>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26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县域地区文化教育水平、卫生健康程度是否达标。</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县域地区文化教育水平、卫生健康程度达标。　</w:t>
            </w:r>
          </w:p>
        </w:tc>
        <w:tc>
          <w:tcPr>
            <w:tcW w:w="578"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已达标。　</w:t>
            </w:r>
          </w:p>
        </w:tc>
        <w:tc>
          <w:tcPr>
            <w:tcW w:w="495" w:type="pct"/>
            <w:tcBorders>
              <w:top w:val="nil"/>
              <w:left w:val="nil"/>
              <w:bottom w:val="single" w:color="auto" w:sz="4" w:space="0"/>
              <w:right w:val="single" w:color="auto" w:sz="4" w:space="0"/>
            </w:tcBorders>
            <w:noWrap/>
            <w:vAlign w:val="center"/>
          </w:tcPr>
          <w:p>
            <w:pPr>
              <w:widowControl/>
              <w:spacing w:line="0" w:lineRule="atLeast"/>
              <w:ind w:firstLine="210" w:firstLineChars="100"/>
              <w:jc w:val="left"/>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生态效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1057" w:type="pct"/>
            <w:tcBorders>
              <w:top w:val="nil"/>
              <w:left w:val="nil"/>
              <w:bottom w:val="single" w:color="auto" w:sz="4" w:space="0"/>
              <w:right w:val="single" w:color="auto" w:sz="4" w:space="0"/>
            </w:tcBorders>
            <w:noWrap/>
            <w:vAlign w:val="center"/>
          </w:tcPr>
          <w:p>
            <w:pPr>
              <w:widowControl/>
              <w:spacing w:line="260" w:lineRule="exact"/>
              <w:rPr>
                <w:rFonts w:ascii="新宋体" w:hAnsi="新宋体" w:eastAsia="新宋体" w:cs="新宋体"/>
                <w:color w:val="000000"/>
                <w:szCs w:val="21"/>
              </w:rPr>
            </w:pPr>
            <w:r>
              <w:rPr>
                <w:rFonts w:hint="eastAsia" w:ascii="新宋体" w:hAnsi="新宋体" w:eastAsia="新宋体" w:cs="新宋体"/>
                <w:color w:val="000000"/>
                <w:szCs w:val="21"/>
              </w:rPr>
              <w:t>转变价值观念，增强服务意识，逐步满足社会公众生态需求。</w:t>
            </w:r>
          </w:p>
        </w:tc>
        <w:tc>
          <w:tcPr>
            <w:tcW w:w="1057" w:type="pct"/>
            <w:tcBorders>
              <w:top w:val="nil"/>
              <w:left w:val="nil"/>
              <w:bottom w:val="single" w:color="auto" w:sz="4" w:space="0"/>
              <w:right w:val="single" w:color="auto" w:sz="4" w:space="0"/>
            </w:tcBorders>
            <w:noWrap/>
            <w:vAlign w:val="center"/>
          </w:tcPr>
          <w:p>
            <w:pPr>
              <w:widowControl/>
              <w:spacing w:line="240" w:lineRule="exact"/>
              <w:rPr>
                <w:rFonts w:ascii="新宋体" w:hAnsi="新宋体" w:eastAsia="新宋体" w:cs="新宋体"/>
                <w:color w:val="000000"/>
                <w:szCs w:val="21"/>
              </w:rPr>
            </w:pPr>
            <w:r>
              <w:rPr>
                <w:rFonts w:hint="eastAsia" w:ascii="新宋体" w:hAnsi="新宋体" w:eastAsia="新宋体" w:cs="新宋体"/>
                <w:color w:val="000000"/>
                <w:szCs w:val="21"/>
              </w:rPr>
              <w:t>转变价值观念，增强服务意识，逐步满足社会公众生态需求。</w:t>
            </w:r>
          </w:p>
        </w:tc>
        <w:tc>
          <w:tcPr>
            <w:tcW w:w="578" w:type="pct"/>
            <w:tcBorders>
              <w:top w:val="nil"/>
              <w:left w:val="nil"/>
              <w:bottom w:val="single" w:color="auto" w:sz="4" w:space="0"/>
              <w:right w:val="single" w:color="auto" w:sz="4" w:space="0"/>
            </w:tcBorders>
            <w:noWrap/>
            <w:vAlign w:val="center"/>
          </w:tcPr>
          <w:p>
            <w:pPr>
              <w:widowControl/>
              <w:spacing w:line="240" w:lineRule="exact"/>
              <w:rPr>
                <w:rFonts w:ascii="新宋体" w:hAnsi="新宋体" w:eastAsia="新宋体" w:cs="新宋体"/>
                <w:color w:val="000000"/>
                <w:szCs w:val="21"/>
              </w:rPr>
            </w:pPr>
            <w:r>
              <w:rPr>
                <w:rFonts w:hint="eastAsia" w:ascii="新宋体" w:hAnsi="新宋体" w:eastAsia="新宋体" w:cs="新宋体"/>
                <w:color w:val="000000"/>
                <w:szCs w:val="21"/>
              </w:rPr>
              <w:t>社会公众生态需求</w:t>
            </w:r>
          </w:p>
          <w:p>
            <w:pPr>
              <w:widowControl/>
              <w:spacing w:line="240" w:lineRule="exact"/>
              <w:rPr>
                <w:rFonts w:ascii="新宋体" w:hAnsi="新宋体" w:eastAsia="新宋体" w:cs="新宋体"/>
                <w:color w:val="000000"/>
                <w:szCs w:val="21"/>
              </w:rPr>
            </w:pPr>
            <w:r>
              <w:rPr>
                <w:rFonts w:hint="eastAsia" w:ascii="新宋体" w:hAnsi="新宋体" w:eastAsia="新宋体" w:cs="新宋体"/>
                <w:color w:val="000000"/>
                <w:szCs w:val="21"/>
              </w:rPr>
              <w:t>逐步满足。</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nil"/>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完善生态管理制度体系，协调生态环境与经济社会发展的关系，使经济社会与生态环境协调发展。</w:t>
            </w:r>
          </w:p>
        </w:tc>
        <w:tc>
          <w:tcPr>
            <w:tcW w:w="1057"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完善生态管理制度体系，协调生态环境与经济社会发展的关系，使经济社会与生态环境协调发展。</w:t>
            </w:r>
          </w:p>
        </w:tc>
        <w:tc>
          <w:tcPr>
            <w:tcW w:w="57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经济社会与生态环境协调发展。</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autoSpaceDN w:val="0"/>
              <w:spacing w:line="26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建立健全政府生态管理创新机制，培育生态文化、学习文化、法治文化和责任文化，为公众创造良好的生存环境。</w:t>
            </w:r>
          </w:p>
        </w:tc>
        <w:tc>
          <w:tcPr>
            <w:tcW w:w="1057" w:type="pct"/>
            <w:tcBorders>
              <w:top w:val="nil"/>
              <w:left w:val="nil"/>
              <w:bottom w:val="single" w:color="auto" w:sz="4" w:space="0"/>
              <w:right w:val="single" w:color="auto" w:sz="4" w:space="0"/>
            </w:tcBorders>
            <w:noWrap/>
            <w:vAlign w:val="center"/>
          </w:tcPr>
          <w:p>
            <w:pPr>
              <w:widowControl/>
              <w:spacing w:line="240" w:lineRule="exact"/>
              <w:jc w:val="left"/>
              <w:rPr>
                <w:rFonts w:ascii="新宋体" w:hAnsi="新宋体" w:eastAsia="新宋体" w:cs="新宋体"/>
                <w:color w:val="000000"/>
                <w:szCs w:val="21"/>
              </w:rPr>
            </w:pPr>
            <w:r>
              <w:rPr>
                <w:rFonts w:hint="eastAsia" w:ascii="新宋体" w:hAnsi="新宋体" w:eastAsia="新宋体" w:cs="新宋体"/>
                <w:color w:val="000000"/>
                <w:szCs w:val="21"/>
              </w:rPr>
              <w:t>建立健全政府生态管理创新机制，培育生态文化、学习文化、法治文化和责任文化，为公众创造良好的生存环境。</w:t>
            </w:r>
          </w:p>
        </w:tc>
        <w:tc>
          <w:tcPr>
            <w:tcW w:w="578" w:type="pct"/>
            <w:tcBorders>
              <w:top w:val="nil"/>
              <w:left w:val="nil"/>
              <w:bottom w:val="single" w:color="auto" w:sz="4" w:space="0"/>
              <w:right w:val="single" w:color="auto" w:sz="4" w:space="0"/>
            </w:tcBorders>
            <w:noWrap/>
            <w:vAlign w:val="center"/>
          </w:tcPr>
          <w:p>
            <w:pPr>
              <w:autoSpaceDN w:val="0"/>
              <w:spacing w:line="240" w:lineRule="exact"/>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公众生存环境良好。</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85" w:type="pct"/>
            <w:vMerge w:val="restart"/>
            <w:tcBorders>
              <w:top w:val="single" w:color="auto" w:sz="4" w:space="0"/>
              <w:left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可持续影响指标</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产生可持续性社会正能量影响。</w:t>
            </w:r>
          </w:p>
        </w:tc>
        <w:tc>
          <w:tcPr>
            <w:tcW w:w="105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产生可持续性社会正能量影响。</w:t>
            </w:r>
          </w:p>
        </w:tc>
        <w:tc>
          <w:tcPr>
            <w:tcW w:w="57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已产生可持续性社会正能量影响。</w:t>
            </w:r>
          </w:p>
        </w:tc>
        <w:tc>
          <w:tcPr>
            <w:tcW w:w="495"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single" w:color="auto" w:sz="4" w:space="0"/>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01"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285" w:type="pct"/>
            <w:vMerge w:val="continue"/>
            <w:tcBorders>
              <w:left w:val="single" w:color="auto" w:sz="4" w:space="0"/>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single" w:color="auto" w:sz="4" w:space="0"/>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78"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495"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18"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47" w:type="pct"/>
            <w:tcBorders>
              <w:top w:val="single" w:color="auto" w:sz="4" w:space="0"/>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266"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285" w:type="pct"/>
            <w:vMerge w:val="continue"/>
            <w:tcBorders>
              <w:left w:val="single" w:color="auto" w:sz="4" w:space="0"/>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7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285" w:type="pc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105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8"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autoSpaceDN w:val="0"/>
              <w:jc w:val="center"/>
              <w:textAlignment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495"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18"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547"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满意度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（10分）</w:t>
            </w:r>
          </w:p>
        </w:tc>
        <w:tc>
          <w:tcPr>
            <w:tcW w:w="285" w:type="pct"/>
            <w:vMerge w:val="restart"/>
            <w:tcBorders>
              <w:top w:val="nil"/>
              <w:left w:val="nil"/>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服务对象满意度指标</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根据社会公众的申请内容，向申请人提供依法应当或可以公开的政府信息。</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服务对象满意度≥96%。</w:t>
            </w:r>
            <w:r>
              <w:rPr>
                <w:rFonts w:ascii="新宋体" w:hAnsi="新宋体" w:eastAsia="新宋体" w:cs="新宋体"/>
                <w:color w:val="000000"/>
                <w:szCs w:val="21"/>
              </w:rPr>
              <w:t>　</w:t>
            </w:r>
          </w:p>
        </w:tc>
        <w:tc>
          <w:tcPr>
            <w:tcW w:w="578" w:type="pct"/>
            <w:tcBorders>
              <w:top w:val="nil"/>
              <w:left w:val="nil"/>
              <w:bottom w:val="single" w:color="auto" w:sz="4" w:space="0"/>
              <w:right w:val="single" w:color="auto" w:sz="4" w:space="0"/>
            </w:tcBorders>
            <w:noWrap/>
            <w:vAlign w:val="center"/>
          </w:tcPr>
          <w:p>
            <w:pPr>
              <w:autoSpaceDN w:val="0"/>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政府信息及时有效公开，社会公众满意率达</w:t>
            </w:r>
          </w:p>
          <w:p>
            <w:pPr>
              <w:autoSpaceDN w:val="0"/>
              <w:jc w:val="left"/>
              <w:textAlignment w:val="center"/>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4</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4</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62" w:hRule="atLeast"/>
          <w:jc w:val="center"/>
        </w:trPr>
        <w:tc>
          <w:tcPr>
            <w:tcW w:w="267" w:type="pct"/>
            <w:vMerge w:val="continue"/>
            <w:tcBorders>
              <w:left w:val="single" w:color="auto" w:sz="4" w:space="0"/>
              <w:right w:val="single" w:color="auto" w:sz="4" w:space="0"/>
            </w:tcBorders>
            <w:noWrap/>
            <w:vAlign w:val="center"/>
          </w:tcPr>
          <w:p>
            <w:pPr>
              <w:spacing w:line="0" w:lineRule="atLeast"/>
              <w:jc w:val="center"/>
              <w:rPr>
                <w:rFonts w:ascii="新宋体" w:hAnsi="新宋体" w:eastAsia="新宋体" w:cs="新宋体"/>
                <w:color w:val="000000"/>
                <w:szCs w:val="21"/>
              </w:rPr>
            </w:pPr>
          </w:p>
        </w:tc>
        <w:tc>
          <w:tcPr>
            <w:tcW w:w="196" w:type="pct"/>
            <w:vMerge w:val="continue"/>
            <w:tcBorders>
              <w:left w:val="nil"/>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285" w:type="pct"/>
            <w:vMerge w:val="continue"/>
            <w:tcBorders>
              <w:left w:val="nil"/>
              <w:right w:val="single" w:color="auto" w:sz="4" w:space="0"/>
            </w:tcBorders>
            <w:noWrap/>
            <w:vAlign w:val="center"/>
          </w:tcPr>
          <w:p>
            <w:pPr>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向社会公众提供法律法规及相关政策的咨询意见。</w:t>
            </w:r>
          </w:p>
        </w:tc>
        <w:tc>
          <w:tcPr>
            <w:tcW w:w="1057" w:type="pct"/>
            <w:tcBorders>
              <w:top w:val="nil"/>
              <w:left w:val="nil"/>
              <w:bottom w:val="single" w:color="auto" w:sz="4" w:space="0"/>
              <w:right w:val="single" w:color="auto" w:sz="4" w:space="0"/>
            </w:tcBorders>
            <w:noWrap/>
            <w:vAlign w:val="center"/>
          </w:tcPr>
          <w:p>
            <w:pPr>
              <w:widowControl/>
              <w:spacing w:line="0" w:lineRule="atLeast"/>
              <w:rPr>
                <w:rFonts w:ascii="新宋体" w:hAnsi="新宋体" w:eastAsia="新宋体" w:cs="新宋体"/>
                <w:color w:val="000000"/>
                <w:szCs w:val="21"/>
              </w:rPr>
            </w:pPr>
            <w:r>
              <w:rPr>
                <w:rFonts w:hint="eastAsia" w:ascii="新宋体" w:hAnsi="新宋体" w:eastAsia="新宋体" w:cs="新宋体"/>
                <w:color w:val="000000"/>
                <w:szCs w:val="21"/>
              </w:rPr>
              <w:t>服务对象满意度≥96%。</w:t>
            </w:r>
            <w:r>
              <w:rPr>
                <w:rFonts w:ascii="新宋体" w:hAnsi="新宋体" w:eastAsia="新宋体" w:cs="新宋体"/>
                <w:color w:val="000000"/>
                <w:szCs w:val="21"/>
              </w:rPr>
              <w:t>　</w:t>
            </w:r>
          </w:p>
        </w:tc>
        <w:tc>
          <w:tcPr>
            <w:tcW w:w="578" w:type="pct"/>
            <w:tcBorders>
              <w:top w:val="nil"/>
              <w:left w:val="nil"/>
              <w:bottom w:val="single" w:color="auto" w:sz="4" w:space="0"/>
              <w:right w:val="single" w:color="auto" w:sz="4" w:space="0"/>
            </w:tcBorders>
            <w:noWrap/>
            <w:vAlign w:val="center"/>
          </w:tcPr>
          <w:p>
            <w:pPr>
              <w:autoSpaceDN w:val="0"/>
              <w:jc w:val="center"/>
              <w:textAlignment w:val="center"/>
              <w:rPr>
                <w:rFonts w:ascii="新宋体" w:hAnsi="新宋体" w:eastAsia="新宋体" w:cs="新宋体"/>
                <w:color w:val="000000"/>
                <w:szCs w:val="21"/>
              </w:rPr>
            </w:pPr>
            <w:r>
              <w:rPr>
                <w:rFonts w:hint="eastAsia" w:ascii="新宋体" w:hAnsi="新宋体" w:eastAsia="新宋体" w:cs="新宋体"/>
                <w:color w:val="000000"/>
                <w:szCs w:val="21"/>
              </w:rPr>
              <w:t>社会公众满意率达</w:t>
            </w:r>
          </w:p>
          <w:p>
            <w:pPr>
              <w:widowControl/>
              <w:jc w:val="left"/>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800" w:hRule="atLeast"/>
          <w:jc w:val="center"/>
        </w:trPr>
        <w:tc>
          <w:tcPr>
            <w:tcW w:w="267" w:type="pct"/>
            <w:vMerge w:val="continue"/>
            <w:tcBorders>
              <w:left w:val="single" w:color="auto" w:sz="4" w:space="0"/>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p>
        </w:tc>
        <w:tc>
          <w:tcPr>
            <w:tcW w:w="196" w:type="pct"/>
            <w:vMerge w:val="continue"/>
            <w:tcBorders>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285" w:type="pct"/>
            <w:vMerge w:val="continue"/>
            <w:tcBorders>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向全县发布地震、火灾、台风、洪灾等各类自然灾害的预警信息。</w:t>
            </w:r>
          </w:p>
        </w:tc>
        <w:tc>
          <w:tcPr>
            <w:tcW w:w="105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服务对象满意度≥96%。</w:t>
            </w:r>
          </w:p>
        </w:tc>
        <w:tc>
          <w:tcPr>
            <w:tcW w:w="578" w:type="pct"/>
            <w:tcBorders>
              <w:top w:val="nil"/>
              <w:left w:val="nil"/>
              <w:bottom w:val="single" w:color="auto" w:sz="4" w:space="0"/>
              <w:right w:val="single" w:color="auto" w:sz="4" w:space="0"/>
            </w:tcBorders>
            <w:noWrap/>
            <w:vAlign w:val="center"/>
          </w:tcPr>
          <w:p>
            <w:pPr>
              <w:autoSpaceDN w:val="0"/>
              <w:jc w:val="center"/>
              <w:textAlignment w:val="center"/>
              <w:rPr>
                <w:rFonts w:ascii="新宋体" w:hAnsi="新宋体" w:eastAsia="新宋体" w:cs="新宋体"/>
                <w:color w:val="000000"/>
                <w:szCs w:val="21"/>
              </w:rPr>
            </w:pPr>
            <w:r>
              <w:rPr>
                <w:rFonts w:hint="eastAsia" w:ascii="新宋体" w:hAnsi="新宋体" w:eastAsia="新宋体" w:cs="新宋体"/>
                <w:color w:val="000000"/>
                <w:szCs w:val="21"/>
              </w:rPr>
              <w:t>社会公众满意率达</w:t>
            </w:r>
          </w:p>
          <w:p>
            <w:pPr>
              <w:widowControl/>
              <w:jc w:val="left"/>
              <w:rPr>
                <w:rFonts w:ascii="新宋体" w:hAnsi="新宋体" w:eastAsia="新宋体" w:cs="新宋体"/>
                <w:color w:val="000000"/>
                <w:szCs w:val="21"/>
              </w:rPr>
            </w:pPr>
            <w:r>
              <w:rPr>
                <w:rFonts w:hint="eastAsia" w:ascii="新宋体" w:hAnsi="新宋体" w:eastAsia="新宋体" w:cs="新宋体"/>
                <w:color w:val="000000"/>
                <w:szCs w:val="21"/>
              </w:rPr>
              <w:t>98%</w:t>
            </w:r>
          </w:p>
        </w:tc>
        <w:tc>
          <w:tcPr>
            <w:tcW w:w="495"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3</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r>
        <w:tblPrEx>
          <w:tblCellMar>
            <w:top w:w="0" w:type="dxa"/>
            <w:left w:w="108" w:type="dxa"/>
            <w:bottom w:w="0" w:type="dxa"/>
            <w:right w:w="108" w:type="dxa"/>
          </w:tblCellMar>
        </w:tblPrEx>
        <w:trPr>
          <w:trHeight w:val="489" w:hRule="atLeast"/>
          <w:jc w:val="center"/>
        </w:trPr>
        <w:tc>
          <w:tcPr>
            <w:tcW w:w="3440" w:type="pct"/>
            <w:gridSpan w:val="6"/>
            <w:tcBorders>
              <w:top w:val="single" w:color="auto" w:sz="4" w:space="0"/>
              <w:left w:val="single" w:color="auto" w:sz="4" w:space="0"/>
              <w:bottom w:val="single" w:color="auto" w:sz="4" w:space="0"/>
              <w:right w:val="single" w:color="000000"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总分</w:t>
            </w:r>
          </w:p>
        </w:tc>
        <w:tc>
          <w:tcPr>
            <w:tcW w:w="495" w:type="pct"/>
            <w:tcBorders>
              <w:top w:val="nil"/>
              <w:left w:val="nil"/>
              <w:bottom w:val="single" w:color="auto" w:sz="4" w:space="0"/>
              <w:right w:val="single" w:color="auto" w:sz="4" w:space="0"/>
            </w:tcBorders>
            <w:noWrap/>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518"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100</w:t>
            </w:r>
          </w:p>
        </w:tc>
        <w:tc>
          <w:tcPr>
            <w:tcW w:w="547" w:type="pct"/>
            <w:tcBorders>
              <w:top w:val="nil"/>
              <w:left w:val="nil"/>
              <w:bottom w:val="single" w:color="auto" w:sz="4" w:space="0"/>
              <w:right w:val="single" w:color="auto" w:sz="4" w:space="0"/>
            </w:tcBorders>
            <w:noWrap/>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bl>
    <w:p>
      <w:pPr>
        <w:rPr>
          <w:rFonts w:eastAsia="仿宋_GB2312"/>
          <w:sz w:val="22"/>
        </w:rPr>
      </w:pPr>
      <w:r>
        <w:rPr>
          <w:rFonts w:eastAsia="仿宋_GB2312"/>
          <w:sz w:val="22"/>
        </w:rPr>
        <w:t>说明：</w:t>
      </w:r>
      <w:r>
        <w:rPr>
          <w:rFonts w:hint="eastAsia" w:eastAsia="仿宋_GB2312"/>
          <w:sz w:val="22"/>
        </w:rPr>
        <w:t>以上数据参照2022年部门决算报表中的“收入支出决算总表”(财决01表)。</w:t>
      </w:r>
    </w:p>
    <w:p>
      <w:pPr>
        <w:pStyle w:val="2"/>
      </w:pPr>
    </w:p>
    <w:p>
      <w:pPr>
        <w:rPr>
          <w:rFonts w:ascii="黑体" w:hAnsi="黑体" w:eastAsia="黑体" w:cs="黑体"/>
          <w:sz w:val="32"/>
          <w:szCs w:val="32"/>
        </w:rPr>
      </w:pPr>
      <w:r>
        <w:rPr>
          <w:rFonts w:eastAsia="仿宋_GB2312"/>
          <w:sz w:val="22"/>
          <w:szCs w:val="22"/>
        </w:rPr>
        <w:t>填表人：</w:t>
      </w:r>
      <w:r>
        <w:rPr>
          <w:rFonts w:hint="eastAsia" w:eastAsia="仿宋_GB2312"/>
          <w:sz w:val="22"/>
          <w:szCs w:val="22"/>
        </w:rPr>
        <w:t>赵梦雅</w:t>
      </w:r>
      <w:r>
        <w:rPr>
          <w:rFonts w:eastAsia="仿宋_GB2312"/>
          <w:sz w:val="22"/>
          <w:szCs w:val="22"/>
        </w:rPr>
        <w:t>填报日期：</w:t>
      </w:r>
      <w:r>
        <w:rPr>
          <w:rFonts w:hint="eastAsia" w:eastAsia="仿宋_GB2312"/>
          <w:sz w:val="22"/>
          <w:szCs w:val="22"/>
        </w:rPr>
        <w:t>2023年7月12日</w:t>
      </w:r>
      <w:r>
        <w:rPr>
          <w:rFonts w:eastAsia="仿宋_GB2312"/>
          <w:sz w:val="22"/>
          <w:szCs w:val="22"/>
        </w:rPr>
        <w:t>联系电话：</w:t>
      </w:r>
      <w:r>
        <w:rPr>
          <w:rFonts w:hint="eastAsia" w:eastAsia="仿宋_GB2312"/>
          <w:sz w:val="22"/>
          <w:szCs w:val="22"/>
        </w:rPr>
        <w:t>18390158809</w:t>
      </w:r>
      <w:r>
        <w:rPr>
          <w:rFonts w:eastAsia="仿宋_GB2312"/>
          <w:sz w:val="22"/>
          <w:szCs w:val="22"/>
        </w:rPr>
        <w:t>单位负责人签字：</w:t>
      </w:r>
      <w:r>
        <w:rPr>
          <w:rFonts w:eastAsia="仿宋_GB2312"/>
          <w:sz w:val="22"/>
          <w:szCs w:val="22"/>
        </w:rPr>
        <w:br w:type="page"/>
      </w:r>
      <w:r>
        <w:rPr>
          <w:rFonts w:hint="eastAsia" w:ascii="黑体" w:hAnsi="黑体" w:eastAsia="黑体" w:cs="黑体"/>
          <w:sz w:val="32"/>
          <w:szCs w:val="32"/>
        </w:rPr>
        <w:t>附件3</w:t>
      </w:r>
    </w:p>
    <w:p>
      <w:pPr>
        <w:jc w:val="center"/>
        <w:rPr>
          <w:rFonts w:eastAsia="方正小标宋_GBK"/>
          <w:sz w:val="52"/>
          <w:szCs w:val="52"/>
        </w:rPr>
      </w:pPr>
    </w:p>
    <w:p>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2022年度华容县人民政府办公室部门（单位）整体支出绩效自评报告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eastAsia="仿宋_GB2312"/>
          <w:sz w:val="32"/>
          <w:szCs w:val="32"/>
          <w:u w:val="single"/>
        </w:rPr>
        <w:t>华容县人</w:t>
      </w:r>
      <w:r>
        <w:rPr>
          <w:rFonts w:hint="eastAsia" w:ascii="宋体" w:hAnsi="宋体" w:cs="宋体"/>
          <w:sz w:val="32"/>
          <w:szCs w:val="32"/>
          <w:u w:val="single"/>
        </w:rPr>
        <w:t>民</w:t>
      </w:r>
      <w:r>
        <w:rPr>
          <w:rFonts w:hint="eastAsia" w:eastAsia="仿宋_GB2312"/>
          <w:sz w:val="32"/>
          <w:szCs w:val="32"/>
          <w:u w:val="single"/>
        </w:rPr>
        <w:t>政府办公室</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12</w:t>
      </w:r>
      <w:r>
        <w:rPr>
          <w:rFonts w:eastAsia="楷体_GB2312"/>
          <w:sz w:val="32"/>
          <w:szCs w:val="32"/>
        </w:rPr>
        <w:t>日</w:t>
      </w:r>
    </w:p>
    <w:p>
      <w:pPr>
        <w:jc w:val="center"/>
        <w:rPr>
          <w:rFonts w:eastAsia="仿宋_GB2312"/>
          <w:sz w:val="32"/>
          <w:szCs w:val="32"/>
        </w:rPr>
        <w:sectPr>
          <w:footerReference r:id="rId3" w:type="default"/>
          <w:pgSz w:w="11906" w:h="16838"/>
          <w:pgMar w:top="1701" w:right="1417" w:bottom="1417" w:left="1417" w:header="851" w:footer="992" w:gutter="0"/>
          <w:cols w:space="0" w:num="1"/>
          <w:docGrid w:type="lines" w:linePitch="312" w:charSpace="0"/>
        </w:sectPr>
      </w:pPr>
    </w:p>
    <w:p>
      <w:pPr>
        <w:spacing w:line="610" w:lineRule="exact"/>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2022年度华容县人民政府办公室部门（单位）整体支出绩效自评报告</w:t>
      </w:r>
    </w:p>
    <w:p>
      <w:pPr>
        <w:spacing w:line="610" w:lineRule="exact"/>
        <w:ind w:firstLine="640" w:firstLineChars="200"/>
        <w:rPr>
          <w:rFonts w:eastAsia="仿宋_GB2312"/>
          <w:sz w:val="32"/>
          <w:szCs w:val="32"/>
        </w:rPr>
      </w:pPr>
    </w:p>
    <w:p>
      <w:pPr>
        <w:numPr>
          <w:ilvl w:val="0"/>
          <w:numId w:val="1"/>
        </w:numPr>
        <w:spacing w:line="610" w:lineRule="exact"/>
        <w:rPr>
          <w:rFonts w:eastAsia="黑体"/>
          <w:sz w:val="32"/>
          <w:szCs w:val="32"/>
        </w:rPr>
      </w:pPr>
      <w:r>
        <w:rPr>
          <w:rFonts w:eastAsia="黑体"/>
          <w:sz w:val="32"/>
          <w:szCs w:val="32"/>
        </w:rPr>
        <w:t>部门（单位）基本情况</w:t>
      </w:r>
    </w:p>
    <w:p>
      <w:pPr>
        <w:ind w:firstLine="640" w:firstLineChars="200"/>
        <w:rPr>
          <w:rFonts w:ascii="仿宋" w:hAnsi="仿宋" w:eastAsia="仿宋"/>
          <w:sz w:val="32"/>
          <w:szCs w:val="32"/>
        </w:rPr>
      </w:pPr>
      <w:r>
        <w:rPr>
          <w:rFonts w:hint="eastAsia" w:ascii="仿宋" w:hAnsi="仿宋" w:eastAsia="仿宋"/>
          <w:sz w:val="32"/>
          <w:szCs w:val="32"/>
        </w:rPr>
        <w:t>（一）基本情况。</w:t>
      </w:r>
    </w:p>
    <w:p>
      <w:pPr>
        <w:ind w:firstLine="640" w:firstLineChars="200"/>
        <w:rPr>
          <w:rFonts w:ascii="仿宋" w:hAnsi="仿宋" w:eastAsia="仿宋"/>
          <w:sz w:val="32"/>
          <w:szCs w:val="32"/>
        </w:rPr>
      </w:pPr>
      <w:r>
        <w:rPr>
          <w:rFonts w:hint="eastAsia" w:ascii="仿宋" w:hAnsi="仿宋" w:eastAsia="仿宋"/>
          <w:sz w:val="32"/>
          <w:szCs w:val="32"/>
        </w:rPr>
        <w:t>1．主要职能。</w:t>
      </w:r>
    </w:p>
    <w:p>
      <w:pPr>
        <w:ind w:firstLine="640" w:firstLineChars="200"/>
        <w:rPr>
          <w:rFonts w:ascii="仿宋" w:hAnsi="仿宋" w:eastAsia="仿宋"/>
          <w:sz w:val="32"/>
          <w:szCs w:val="32"/>
        </w:rPr>
      </w:pPr>
      <w:r>
        <w:rPr>
          <w:rFonts w:hint="eastAsia" w:ascii="仿宋" w:hAnsi="仿宋" w:eastAsia="仿宋"/>
          <w:sz w:val="32"/>
          <w:szCs w:val="32"/>
        </w:rPr>
        <w:t>（1）协助县政府领导同志审核或组织起草以县政府、县政府办公室名义发布的公文。</w:t>
      </w:r>
    </w:p>
    <w:p>
      <w:pPr>
        <w:ind w:firstLine="640" w:firstLineChars="200"/>
        <w:rPr>
          <w:rFonts w:ascii="仿宋" w:hAnsi="仿宋" w:eastAsia="仿宋"/>
          <w:sz w:val="32"/>
          <w:szCs w:val="32"/>
        </w:rPr>
      </w:pPr>
      <w:r>
        <w:rPr>
          <w:rFonts w:hint="eastAsia" w:ascii="仿宋" w:hAnsi="仿宋" w:eastAsia="仿宋"/>
          <w:sz w:val="32"/>
          <w:szCs w:val="32"/>
        </w:rPr>
        <w:t>（2）研究县政府各部门和各乡镇人民政府请示县政府的事项，提出审核意见，报县政府领导同志审批。</w:t>
      </w:r>
    </w:p>
    <w:p>
      <w:pPr>
        <w:ind w:firstLine="640" w:firstLineChars="200"/>
        <w:rPr>
          <w:rFonts w:ascii="仿宋" w:hAnsi="仿宋" w:eastAsia="仿宋"/>
          <w:sz w:val="32"/>
          <w:szCs w:val="32"/>
        </w:rPr>
      </w:pPr>
      <w:r>
        <w:rPr>
          <w:rFonts w:hint="eastAsia" w:ascii="仿宋" w:hAnsi="仿宋" w:eastAsia="仿宋"/>
          <w:sz w:val="32"/>
          <w:szCs w:val="32"/>
        </w:rPr>
        <w:t>（3）负责县政府会议的组织和服务工作，协助实施会议决定事项。</w:t>
      </w:r>
    </w:p>
    <w:p>
      <w:pPr>
        <w:ind w:firstLine="640" w:firstLineChars="200"/>
        <w:rPr>
          <w:rFonts w:ascii="仿宋" w:hAnsi="仿宋" w:eastAsia="仿宋"/>
          <w:sz w:val="32"/>
          <w:szCs w:val="32"/>
        </w:rPr>
      </w:pPr>
      <w:r>
        <w:rPr>
          <w:rFonts w:hint="eastAsia" w:ascii="仿宋" w:hAnsi="仿宋" w:eastAsia="仿宋"/>
          <w:sz w:val="32"/>
          <w:szCs w:val="32"/>
        </w:rPr>
        <w:t>（4）根据县政府领导同志的指示或工作需要，对有关问题进行协调，提出处理意见，报县政府领导同志决定。</w:t>
      </w:r>
    </w:p>
    <w:p>
      <w:pPr>
        <w:ind w:firstLine="640" w:firstLineChars="200"/>
        <w:rPr>
          <w:rFonts w:ascii="仿宋" w:hAnsi="仿宋" w:eastAsia="仿宋"/>
          <w:sz w:val="32"/>
          <w:szCs w:val="32"/>
        </w:rPr>
      </w:pPr>
      <w:r>
        <w:rPr>
          <w:rFonts w:hint="eastAsia" w:ascii="仿宋" w:hAnsi="仿宋" w:eastAsia="仿宋"/>
          <w:sz w:val="32"/>
          <w:szCs w:val="32"/>
        </w:rPr>
        <w:t>（5）办理中央、省政府、市政府和县政府领导同志的批示，并督促落实。督促检查县政府各部门和各乡镇人民政府对县政府公文、县政府决定事项及县政府领导同志有关指示的贯彻落实情况，及时向县政府领导同志报告。负责组织对县政府系统年度工作目标的制定、进度督查和年度绩效评估工作。</w:t>
      </w:r>
    </w:p>
    <w:p>
      <w:pPr>
        <w:ind w:firstLine="640" w:firstLineChars="200"/>
        <w:rPr>
          <w:rFonts w:ascii="仿宋" w:hAnsi="仿宋" w:eastAsia="仿宋"/>
          <w:sz w:val="32"/>
          <w:szCs w:val="32"/>
        </w:rPr>
      </w:pPr>
      <w:r>
        <w:rPr>
          <w:rFonts w:hint="eastAsia" w:ascii="仿宋" w:hAnsi="仿宋" w:eastAsia="仿宋"/>
          <w:sz w:val="32"/>
          <w:szCs w:val="32"/>
        </w:rPr>
        <w:t>（6）负责县政府值班工作，及时报告重要情况，传达和督促落实县政府领导同志指示。负责政府大事记工作。</w:t>
      </w:r>
    </w:p>
    <w:p>
      <w:pPr>
        <w:ind w:firstLine="640" w:firstLineChars="200"/>
        <w:rPr>
          <w:rFonts w:ascii="仿宋" w:hAnsi="仿宋" w:eastAsia="仿宋"/>
          <w:sz w:val="32"/>
          <w:szCs w:val="32"/>
        </w:rPr>
      </w:pPr>
      <w:r>
        <w:rPr>
          <w:rFonts w:hint="eastAsia" w:ascii="仿宋" w:hAnsi="仿宋" w:eastAsia="仿宋"/>
          <w:sz w:val="32"/>
          <w:szCs w:val="32"/>
        </w:rPr>
        <w:t>（7）负责推进全县各工作部门和公共服务企事业单位热线资源的整合，指导推进全县公众服务平台的建设。负责监督检查并考核相关工作部门和公共服务企事业单位社会求助服务事项办理情况，承办、落实市12345热线管理办交办的工单。</w:t>
      </w:r>
    </w:p>
    <w:p>
      <w:pPr>
        <w:ind w:firstLine="640" w:firstLineChars="200"/>
        <w:rPr>
          <w:rFonts w:ascii="仿宋" w:hAnsi="仿宋" w:eastAsia="仿宋"/>
          <w:sz w:val="32"/>
          <w:szCs w:val="32"/>
        </w:rPr>
      </w:pPr>
      <w:r>
        <w:rPr>
          <w:rFonts w:hint="eastAsia" w:ascii="仿宋" w:hAnsi="仿宋" w:eastAsia="仿宋"/>
          <w:sz w:val="32"/>
          <w:szCs w:val="32"/>
        </w:rPr>
        <w:t>（8）组织办理人大代表建议和政协委员提案。</w:t>
      </w:r>
    </w:p>
    <w:p>
      <w:pPr>
        <w:ind w:firstLine="640" w:firstLineChars="200"/>
        <w:rPr>
          <w:rFonts w:ascii="仿宋" w:hAnsi="仿宋" w:eastAsia="仿宋"/>
          <w:sz w:val="32"/>
          <w:szCs w:val="32"/>
        </w:rPr>
      </w:pPr>
      <w:r>
        <w:rPr>
          <w:rFonts w:hint="eastAsia" w:ascii="仿宋" w:hAnsi="仿宋" w:eastAsia="仿宋"/>
          <w:sz w:val="32"/>
          <w:szCs w:val="32"/>
        </w:rPr>
        <w:t>（9）组织起草县政府重要综合性文件和重要会议文件；负责开展重大问题的调查研究、决策咨询和县政府重大决策部署落实情况的跟踪调研；整理报送经济社会发展的重要信息、动态；负责对全县政府系统调查研究和决策咨询工作进行业务指导。</w:t>
      </w:r>
    </w:p>
    <w:p>
      <w:pPr>
        <w:ind w:firstLine="640" w:firstLineChars="200"/>
        <w:rPr>
          <w:rFonts w:ascii="仿宋" w:hAnsi="仿宋" w:eastAsia="仿宋"/>
          <w:sz w:val="32"/>
          <w:szCs w:val="32"/>
        </w:rPr>
      </w:pPr>
      <w:r>
        <w:rPr>
          <w:rFonts w:hint="eastAsia" w:ascii="仿宋" w:hAnsi="仿宋" w:eastAsia="仿宋"/>
          <w:sz w:val="32"/>
          <w:szCs w:val="32"/>
        </w:rPr>
        <w:t>（10）负责实施驻县金融管理部门、各类金融机构年度工作绩效评估，引导、协调和鼓励各类金融机构支持、服务全县经济社会发展。组织和协调引进各类金融机构在县设立机构（分支机构），负责小微金融机构的有关监管工作，负责推进全县资本市场建设与发展。负责组织协调金融突发事件应急处置工作，会同有关部门查处和打击非法金融机构和非法金融业务活动，会同有关部门推进全县社会信用体系建设和金融安全区创建，推进改善金融生态环境。</w:t>
      </w:r>
    </w:p>
    <w:p>
      <w:pPr>
        <w:ind w:firstLine="640" w:firstLineChars="200"/>
        <w:rPr>
          <w:rFonts w:ascii="仿宋" w:hAnsi="仿宋" w:eastAsia="仿宋"/>
          <w:sz w:val="32"/>
          <w:szCs w:val="32"/>
        </w:rPr>
      </w:pPr>
      <w:r>
        <w:rPr>
          <w:rFonts w:hint="eastAsia" w:ascii="仿宋" w:hAnsi="仿宋" w:eastAsia="仿宋"/>
          <w:sz w:val="32"/>
          <w:szCs w:val="32"/>
        </w:rPr>
        <w:t>（11）负责县政府办公室机关安全保卫、应急管理、行政事务和接待工作。</w:t>
      </w:r>
    </w:p>
    <w:p>
      <w:pPr>
        <w:ind w:firstLine="640" w:firstLineChars="200"/>
        <w:rPr>
          <w:rFonts w:ascii="仿宋" w:hAnsi="仿宋" w:eastAsia="仿宋"/>
          <w:sz w:val="32"/>
          <w:szCs w:val="32"/>
        </w:rPr>
      </w:pPr>
      <w:r>
        <w:rPr>
          <w:rFonts w:hint="eastAsia" w:ascii="仿宋" w:hAnsi="仿宋" w:eastAsia="仿宋"/>
          <w:sz w:val="32"/>
          <w:szCs w:val="32"/>
        </w:rPr>
        <w:t>（12）负责全县重点建设项目的全过程指导和监督工作。</w:t>
      </w:r>
    </w:p>
    <w:p>
      <w:pPr>
        <w:ind w:firstLine="640" w:firstLineChars="200"/>
        <w:rPr>
          <w:rFonts w:ascii="仿宋" w:hAnsi="仿宋" w:eastAsia="仿宋"/>
          <w:sz w:val="32"/>
          <w:szCs w:val="32"/>
        </w:rPr>
      </w:pPr>
      <w:r>
        <w:rPr>
          <w:rFonts w:hint="eastAsia" w:ascii="仿宋" w:hAnsi="仿宋" w:eastAsia="仿宋"/>
          <w:sz w:val="32"/>
          <w:szCs w:val="32"/>
        </w:rPr>
        <w:t>（13）负责全县禁毒社会化建设工作的指导、协调、督促、考核、服务。</w:t>
      </w:r>
    </w:p>
    <w:p>
      <w:pPr>
        <w:ind w:firstLine="640" w:firstLineChars="200"/>
        <w:rPr>
          <w:rFonts w:ascii="仿宋" w:hAnsi="仿宋" w:eastAsia="仿宋"/>
          <w:sz w:val="32"/>
          <w:szCs w:val="32"/>
        </w:rPr>
      </w:pPr>
      <w:r>
        <w:rPr>
          <w:rFonts w:hint="eastAsia" w:ascii="仿宋" w:hAnsi="仿宋" w:eastAsia="仿宋"/>
          <w:sz w:val="32"/>
          <w:szCs w:val="32"/>
        </w:rPr>
        <w:t>（14）完成县委和县政府交办的其他事项。</w:t>
      </w:r>
    </w:p>
    <w:p>
      <w:pPr>
        <w:ind w:firstLine="640" w:firstLineChars="200"/>
        <w:rPr>
          <w:rFonts w:ascii="仿宋" w:hAnsi="仿宋" w:eastAsia="仿宋"/>
          <w:sz w:val="32"/>
          <w:szCs w:val="32"/>
        </w:rPr>
      </w:pPr>
      <w:r>
        <w:rPr>
          <w:rFonts w:hint="eastAsia" w:ascii="仿宋" w:hAnsi="仿宋" w:eastAsia="仿宋"/>
          <w:sz w:val="32"/>
          <w:szCs w:val="32"/>
        </w:rPr>
        <w:t>2．机构情况。</w:t>
      </w:r>
    </w:p>
    <w:p>
      <w:pPr>
        <w:ind w:firstLine="640" w:firstLineChars="200"/>
        <w:rPr>
          <w:rFonts w:ascii="仿宋" w:hAnsi="仿宋" w:eastAsia="仿宋"/>
          <w:sz w:val="32"/>
          <w:szCs w:val="32"/>
        </w:rPr>
      </w:pPr>
      <w:r>
        <w:rPr>
          <w:rFonts w:hint="eastAsia" w:ascii="仿宋" w:hAnsi="仿宋" w:eastAsia="仿宋"/>
          <w:sz w:val="32"/>
          <w:szCs w:val="32"/>
        </w:rPr>
        <w:t>华容县人民</w:t>
      </w:r>
      <w:r>
        <w:rPr>
          <w:rFonts w:ascii="仿宋" w:hAnsi="仿宋" w:eastAsia="仿宋"/>
          <w:sz w:val="32"/>
          <w:szCs w:val="32"/>
        </w:rPr>
        <w:t>政府办</w:t>
      </w:r>
      <w:r>
        <w:rPr>
          <w:rFonts w:hint="eastAsia" w:ascii="仿宋" w:hAnsi="仿宋" w:eastAsia="仿宋"/>
          <w:sz w:val="32"/>
          <w:szCs w:val="32"/>
        </w:rPr>
        <w:t>公室</w:t>
      </w:r>
      <w:r>
        <w:rPr>
          <w:rFonts w:ascii="仿宋" w:hAnsi="仿宋" w:eastAsia="仿宋"/>
          <w:sz w:val="32"/>
          <w:szCs w:val="32"/>
        </w:rPr>
        <w:t>设</w:t>
      </w:r>
      <w:r>
        <w:rPr>
          <w:rFonts w:hint="eastAsia" w:ascii="仿宋" w:hAnsi="仿宋" w:eastAsia="仿宋"/>
          <w:sz w:val="32"/>
          <w:szCs w:val="32"/>
        </w:rPr>
        <w:t>15</w:t>
      </w:r>
      <w:r>
        <w:rPr>
          <w:rFonts w:ascii="仿宋" w:hAnsi="仿宋" w:eastAsia="仿宋"/>
          <w:sz w:val="32"/>
          <w:szCs w:val="32"/>
        </w:rPr>
        <w:t>个</w:t>
      </w:r>
      <w:r>
        <w:rPr>
          <w:rFonts w:hint="eastAsia" w:ascii="仿宋" w:hAnsi="仿宋" w:eastAsia="仿宋"/>
          <w:sz w:val="32"/>
          <w:szCs w:val="32"/>
        </w:rPr>
        <w:t>内设机构：县政府总值班室、秘书室、综合协调室、财税办、督查室、政策法规室、政工人事室、金融办、财务室、离退休人员管理室、行政室、优化办、“12345”热线办、重点建设项目事务中心、禁毒社会化服务中心。</w:t>
      </w:r>
    </w:p>
    <w:p>
      <w:pPr>
        <w:ind w:firstLine="640" w:firstLineChars="200"/>
        <w:rPr>
          <w:rFonts w:ascii="仿宋" w:hAnsi="仿宋" w:eastAsia="仿宋"/>
          <w:sz w:val="32"/>
          <w:szCs w:val="32"/>
        </w:rPr>
      </w:pPr>
      <w:r>
        <w:rPr>
          <w:rFonts w:hint="eastAsia" w:ascii="仿宋" w:hAnsi="仿宋" w:eastAsia="仿宋"/>
          <w:sz w:val="32"/>
          <w:szCs w:val="32"/>
        </w:rPr>
        <w:t>3．人员情况。</w:t>
      </w:r>
    </w:p>
    <w:p>
      <w:pPr>
        <w:ind w:firstLine="640" w:firstLineChars="200"/>
        <w:rPr>
          <w:rFonts w:ascii="仿宋" w:hAnsi="仿宋" w:eastAsia="仿宋"/>
          <w:sz w:val="32"/>
          <w:szCs w:val="32"/>
        </w:rPr>
      </w:pPr>
      <w:r>
        <w:rPr>
          <w:rFonts w:hint="eastAsia" w:ascii="仿宋" w:hAnsi="仿宋" w:eastAsia="仿宋"/>
          <w:sz w:val="32"/>
          <w:szCs w:val="32"/>
        </w:rPr>
        <w:t>华容县人民</w:t>
      </w:r>
      <w:r>
        <w:rPr>
          <w:rFonts w:ascii="仿宋" w:hAnsi="仿宋" w:eastAsia="仿宋"/>
          <w:sz w:val="32"/>
          <w:szCs w:val="32"/>
        </w:rPr>
        <w:t>政府办</w:t>
      </w:r>
      <w:r>
        <w:rPr>
          <w:rFonts w:hint="eastAsia" w:ascii="仿宋" w:hAnsi="仿宋" w:eastAsia="仿宋"/>
          <w:sz w:val="32"/>
          <w:szCs w:val="32"/>
        </w:rPr>
        <w:t>公室共有编制77名，其中：</w:t>
      </w:r>
      <w:r>
        <w:rPr>
          <w:rFonts w:ascii="仿宋" w:hAnsi="仿宋" w:eastAsia="仿宋"/>
          <w:sz w:val="32"/>
          <w:szCs w:val="32"/>
        </w:rPr>
        <w:t>行政</w:t>
      </w:r>
      <w:r>
        <w:rPr>
          <w:rFonts w:hint="eastAsia" w:ascii="仿宋" w:hAnsi="仿宋" w:eastAsia="仿宋"/>
          <w:sz w:val="32"/>
          <w:szCs w:val="32"/>
        </w:rPr>
        <w:t>编制为38</w:t>
      </w:r>
      <w:r>
        <w:rPr>
          <w:rFonts w:ascii="仿宋" w:hAnsi="仿宋" w:eastAsia="仿宋"/>
          <w:sz w:val="32"/>
          <w:szCs w:val="32"/>
        </w:rPr>
        <w:t>名，</w:t>
      </w:r>
      <w:r>
        <w:rPr>
          <w:rFonts w:hint="eastAsia" w:ascii="仿宋" w:hAnsi="仿宋" w:eastAsia="仿宋"/>
          <w:sz w:val="32"/>
          <w:szCs w:val="32"/>
        </w:rPr>
        <w:t>事业编制39名。年末实有人员77人，其中在职77人。</w:t>
      </w:r>
    </w:p>
    <w:p>
      <w:pPr>
        <w:ind w:firstLine="640" w:firstLineChars="200"/>
        <w:rPr>
          <w:rFonts w:ascii="仿宋" w:hAnsi="仿宋" w:eastAsia="仿宋"/>
          <w:sz w:val="32"/>
          <w:szCs w:val="32"/>
        </w:rPr>
      </w:pPr>
      <w:r>
        <w:rPr>
          <w:rFonts w:hint="eastAsia" w:ascii="仿宋" w:hAnsi="仿宋" w:eastAsia="仿宋"/>
          <w:sz w:val="32"/>
          <w:szCs w:val="32"/>
        </w:rPr>
        <w:t>（二）当年取得的主要事业成效。</w:t>
      </w:r>
    </w:p>
    <w:p>
      <w:pPr>
        <w:ind w:firstLine="640" w:firstLineChars="200"/>
        <w:rPr>
          <w:rFonts w:ascii="仿宋" w:hAnsi="仿宋" w:eastAsia="仿宋"/>
          <w:sz w:val="32"/>
          <w:szCs w:val="32"/>
        </w:rPr>
      </w:pPr>
      <w:r>
        <w:rPr>
          <w:rFonts w:hint="eastAsia" w:ascii="仿宋" w:hAnsi="仿宋" w:eastAsia="仿宋"/>
          <w:sz w:val="32"/>
          <w:szCs w:val="32"/>
        </w:rPr>
        <w:t>1.参谋辅政精准有效。参谋服务方面：组织开展文稿写作大比武、业务能力大练兵、外出学习大考察，高标准完成30余篇调研报告撰写，聘请两办业务能手为全办干部就公文办理、机要保密、公务接待、会务组织进行集中培训，先后组织到临湘、云溪等地学习办公室管理先进经验，进一步提升了办公室干部“三服务”水平。文稿起草方面：高质量完成领导讲话、报告、工作汇报、典型材料等各类文稿150余篇，《华容县三位一体构建芥菜产业发展新格局，为乡村振兴注入源源动力》在省政府办公厅《政务要情与交流》特刊刊登，《攻坚项目一线 服务县域发展》在市委市政府主刊《岳阳工作》刊登。依法决策方面：积极为政府领导提供精准法律参谋服务，共审查政府常务会议议题和会议纪要129个，提出法制审查意见130条，大多数意见都被采纳，特别是在“东湖水环境治理”涉法事项中，全力促成了以一元的价格成功收回股权，实现了公共利益与企业利益的共赢。</w:t>
      </w:r>
    </w:p>
    <w:p>
      <w:pPr>
        <w:ind w:firstLine="640" w:firstLineChars="200"/>
        <w:rPr>
          <w:rFonts w:ascii="仿宋" w:hAnsi="仿宋" w:eastAsia="仿宋"/>
          <w:sz w:val="32"/>
          <w:szCs w:val="32"/>
        </w:rPr>
      </w:pPr>
      <w:r>
        <w:rPr>
          <w:rFonts w:hint="eastAsia" w:ascii="仿宋" w:hAnsi="仿宋" w:eastAsia="仿宋"/>
          <w:sz w:val="32"/>
          <w:szCs w:val="32"/>
        </w:rPr>
        <w:t>2.综合协调精细有序。一是严格值班。严格落实三级带班制度，圆满完成党的二十大、省运会、两会等特护期政府领导坐班接访安排工作。全年下发各类会议通知120个，均做到了零差错。二是规范办文。今年共审印各类文稿439份，办理上级来文2170份，处理涉密文件168份，均做到了精益求精，没有出现任何差错。在全市13县（市区）率先推行协同办公系统，公文处理效能大大提升。三是严谨办会。坚持以“严、细、深、实、快”的工作要求来做好各类会议活动服务，全年共承办政府性会议66次。四是创新服务。创新建立周工作动态机制，共编印周工作动态34期。</w:t>
      </w:r>
    </w:p>
    <w:p>
      <w:pPr>
        <w:rPr>
          <w:rFonts w:ascii="仿宋" w:hAnsi="仿宋" w:eastAsia="仿宋"/>
          <w:sz w:val="32"/>
          <w:szCs w:val="32"/>
        </w:rPr>
      </w:pPr>
      <w:r>
        <w:rPr>
          <w:rFonts w:hint="eastAsia" w:ascii="仿宋" w:hAnsi="仿宋" w:eastAsia="仿宋"/>
          <w:sz w:val="32"/>
          <w:szCs w:val="32"/>
        </w:rPr>
        <w:t xml:space="preserve">    3.督办落实高质高效。一是数字赋能抓落实。推进“华容智慧政府大脑平台”建设，实现政府工作目标全覆盖、过程全留痕、结果全应用，工作进度可视化、评价数据化。二是突出重点抓落实。全年共办理领导批办交办事项64件次，下发交办函、督办函42个，印发政务通报和督查通报22期。三是紧盯难点抓落实。紧紧围绕全县难点工作强化督查督办，开展了疫情防控、环保专项整治、自建房专项整治、违建墓地整治、抗旱减灾、交通问题顽瘴痼疾集中整治等事项的专项督查。</w:t>
      </w:r>
    </w:p>
    <w:p>
      <w:pPr>
        <w:ind w:firstLine="640" w:firstLineChars="200"/>
        <w:rPr>
          <w:rFonts w:ascii="仿宋" w:hAnsi="仿宋" w:eastAsia="仿宋"/>
          <w:sz w:val="32"/>
          <w:szCs w:val="32"/>
        </w:rPr>
      </w:pPr>
      <w:r>
        <w:rPr>
          <w:rFonts w:hint="eastAsia" w:ascii="仿宋" w:hAnsi="仿宋" w:eastAsia="仿宋"/>
          <w:sz w:val="32"/>
          <w:szCs w:val="32"/>
        </w:rPr>
        <w:t>4.服务大局有力有为。一是全力攻坚克难</w:t>
      </w:r>
      <w:r>
        <w:rPr>
          <w:rFonts w:ascii="仿宋" w:hAnsi="仿宋" w:eastAsia="仿宋"/>
          <w:sz w:val="32"/>
          <w:szCs w:val="32"/>
        </w:rPr>
        <w:t>。</w:t>
      </w:r>
      <w:r>
        <w:rPr>
          <w:rFonts w:hint="eastAsia" w:ascii="仿宋" w:hAnsi="仿宋" w:eastAsia="仿宋"/>
          <w:sz w:val="32"/>
          <w:szCs w:val="32"/>
        </w:rPr>
        <w:t>高效高质</w:t>
      </w:r>
      <w:r>
        <w:rPr>
          <w:rFonts w:ascii="仿宋" w:hAnsi="仿宋" w:eastAsia="仿宋"/>
          <w:sz w:val="32"/>
          <w:szCs w:val="32"/>
        </w:rPr>
        <w:t>完成</w:t>
      </w:r>
      <w:r>
        <w:rPr>
          <w:rFonts w:hint="eastAsia" w:ascii="仿宋" w:hAnsi="仿宋" w:eastAsia="仿宋"/>
          <w:sz w:val="32"/>
          <w:szCs w:val="32"/>
        </w:rPr>
        <w:t>了芥菜标准化腌制池建设、</w:t>
      </w:r>
      <w:r>
        <w:rPr>
          <w:rFonts w:ascii="仿宋" w:hAnsi="仿宋" w:eastAsia="仿宋"/>
          <w:sz w:val="32"/>
          <w:szCs w:val="32"/>
        </w:rPr>
        <w:t>生态环境</w:t>
      </w:r>
      <w:r>
        <w:rPr>
          <w:rFonts w:hint="eastAsia" w:ascii="仿宋" w:hAnsi="仿宋" w:eastAsia="仿宋"/>
          <w:sz w:val="32"/>
          <w:szCs w:val="32"/>
        </w:rPr>
        <w:t>保护反馈问题销号、房地产问题楼盘矛盾化解、</w:t>
      </w:r>
      <w:r>
        <w:rPr>
          <w:rFonts w:ascii="仿宋" w:hAnsi="仿宋" w:eastAsia="仿宋"/>
          <w:sz w:val="32"/>
          <w:szCs w:val="32"/>
        </w:rPr>
        <w:t>“三资”改</w:t>
      </w:r>
      <w:r>
        <w:rPr>
          <w:rFonts w:hint="eastAsia" w:ascii="仿宋" w:hAnsi="仿宋" w:eastAsia="仿宋"/>
          <w:sz w:val="32"/>
          <w:szCs w:val="32"/>
        </w:rPr>
        <w:t>革等工作任务。二是创优金融服务。积极部署企业上市“金芙蓉”跃升行动，助力恒兴建材完成了上市计划的专项审计和验资程序。积极创新“党建+诚信金融”服务模式，12月21日，我县金融“活水”浇灌乡村振兴“良田”的典型经验做法获得了省政府督查激励通报表扬。三是严抓禁毒工作。预防教育以“禁毒宣传进万家”为主线，开展了五大行动，入户宣传率达到了95%以上，社戒社康人员管控率保持在100%，成功举办全市禁毒工作现场推进会，今年有望连续三年进入全市先进行列。四是规范项目管理。在全市率先出台《华容县清廉项目建设管理暂行办法》《关于进一步明确华容县清廉项目建设管理重点工作任务的通知》等文件，组织开展“十三五”项目清理，国能岳阳电厂、铁水联运等12个省市重点建设项目超额完成年度投资计划，全年共审查项目107个，按政策核减资金8300万元，切实提高了财政资金有效利用率。五是优化营商环境。精准出台《华容县优化营商环境四十条》，对3项清单、18项207个改革举措以及3次“企业家沙龙”活动和“入企访企敲门行动”中反映的53个问题严格执行“四四表单”交办督办制度，办结率和满意率达100%。创新开通的“华容营商直通车”网上平台共受理解决企业群众诉求问题53个。六是做好帮扶助力。积极帮扶驻点村桃花山村新建三栋旅游民宿树屋，进一步壮大了集体经济。积极向组织推荐干部到保靖县挂职锻炼，选派干部任职治河社区第一书记，为基层党建提供人才支持。</w:t>
      </w:r>
    </w:p>
    <w:p>
      <w:pPr>
        <w:pStyle w:val="13"/>
        <w:widowControl/>
        <w:spacing w:line="610" w:lineRule="exact"/>
        <w:ind w:firstLine="640"/>
        <w:rPr>
          <w:rFonts w:ascii="Times New Roman" w:hAnsi="Times New Roman" w:eastAsia="黑体"/>
          <w:sz w:val="32"/>
          <w:szCs w:val="32"/>
        </w:rPr>
      </w:pPr>
      <w:r>
        <w:rPr>
          <w:rFonts w:ascii="Times New Roman" w:hAnsi="Times New Roman" w:eastAsia="黑体"/>
          <w:sz w:val="32"/>
          <w:szCs w:val="32"/>
        </w:rPr>
        <w:t>二、基本支出情况</w:t>
      </w:r>
    </w:p>
    <w:p>
      <w:pPr>
        <w:snapToGrid w:val="0"/>
        <w:spacing w:line="520" w:lineRule="exact"/>
        <w:ind w:firstLine="640" w:firstLineChars="200"/>
        <w:rPr>
          <w:rFonts w:ascii="仿宋" w:hAnsi="仿宋" w:eastAsia="仿宋" w:cs="仿宋"/>
          <w:color w:val="000000"/>
          <w:sz w:val="32"/>
          <w:szCs w:val="32"/>
        </w:rPr>
      </w:pPr>
      <w:r>
        <w:rPr>
          <w:rFonts w:hint="eastAsia" w:ascii="仿宋" w:hAnsi="仿宋" w:eastAsia="仿宋" w:cs="宋体"/>
          <w:sz w:val="32"/>
          <w:szCs w:val="32"/>
        </w:rPr>
        <w:t>2022年基</w:t>
      </w:r>
      <w:r>
        <w:rPr>
          <w:rFonts w:hint="eastAsia" w:ascii="仿宋" w:hAnsi="仿宋" w:eastAsia="仿宋"/>
          <w:sz w:val="32"/>
          <w:szCs w:val="32"/>
        </w:rPr>
        <w:t>本支出1398.85万元，其中</w:t>
      </w:r>
      <w:r>
        <w:rPr>
          <w:rFonts w:hint="eastAsia" w:ascii="仿宋" w:hAnsi="仿宋" w:eastAsia="仿宋" w:cs="仿宋"/>
          <w:color w:val="000000"/>
          <w:sz w:val="32"/>
          <w:szCs w:val="32"/>
        </w:rPr>
        <w:t>三公经费9.99万元（全部是公务接待）。</w:t>
      </w:r>
      <w:r>
        <w:rPr>
          <w:rFonts w:hint="eastAsia" w:ascii="仿宋" w:hAnsi="仿宋" w:eastAsia="仿宋"/>
          <w:sz w:val="32"/>
          <w:szCs w:val="32"/>
        </w:rPr>
        <w:t>本年支出决算数比上年支出决算数减少20.14万元，减少了66.84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仿宋"/>
          <w:bCs/>
          <w:sz w:val="32"/>
          <w:szCs w:val="32"/>
        </w:rPr>
        <w:t>主要原因是认真贯彻落实中央八项规定精神和厉行节约要求，从严控制三公经费开支）</w:t>
      </w:r>
      <w:r>
        <w:rPr>
          <w:rFonts w:hint="eastAsia" w:ascii="仿宋" w:hAnsi="仿宋" w:eastAsia="仿宋"/>
          <w:sz w:val="32"/>
          <w:szCs w:val="32"/>
        </w:rPr>
        <w:t>。</w:t>
      </w:r>
      <w:r>
        <w:rPr>
          <w:rFonts w:hint="eastAsia" w:ascii="仿宋" w:hAnsi="仿宋" w:eastAsia="仿宋" w:cs="仿宋"/>
          <w:color w:val="000000"/>
          <w:sz w:val="32"/>
          <w:szCs w:val="32"/>
        </w:rPr>
        <w:t>公务接待93批次，公务接待745人。</w:t>
      </w:r>
      <w:r>
        <w:rPr>
          <w:rFonts w:hint="eastAsia" w:ascii="仿宋" w:hAnsi="仿宋" w:eastAsia="仿宋"/>
          <w:sz w:val="32"/>
          <w:szCs w:val="32"/>
        </w:rPr>
        <w:t>2022年三公经费人均支出134.09元。无</w:t>
      </w:r>
      <w:r>
        <w:rPr>
          <w:rFonts w:hint="eastAsia" w:ascii="仿宋" w:hAnsi="仿宋" w:eastAsia="仿宋" w:cs="仿宋"/>
          <w:color w:val="000000"/>
          <w:sz w:val="32"/>
          <w:szCs w:val="32"/>
        </w:rPr>
        <w:t>动用上年结转用于三公经费的情况。单位厉行节约，保障了机构人员工资、社保和福利的及时发放，保障了机构的正常运转。</w:t>
      </w:r>
    </w:p>
    <w:p>
      <w:pPr>
        <w:pStyle w:val="13"/>
        <w:widowControl/>
        <w:numPr>
          <w:ilvl w:val="0"/>
          <w:numId w:val="2"/>
        </w:numPr>
        <w:spacing w:line="610" w:lineRule="exact"/>
        <w:ind w:firstLineChars="0"/>
        <w:rPr>
          <w:rFonts w:ascii="Times New Roman" w:hAnsi="Times New Roman" w:eastAsia="黑体"/>
          <w:sz w:val="32"/>
          <w:szCs w:val="32"/>
        </w:rPr>
      </w:pPr>
      <w:r>
        <w:rPr>
          <w:rFonts w:ascii="Times New Roman" w:hAnsi="Times New Roman" w:eastAsia="黑体"/>
          <w:sz w:val="32"/>
          <w:szCs w:val="32"/>
        </w:rPr>
        <w:t>项目支出情况</w:t>
      </w:r>
    </w:p>
    <w:p>
      <w:pPr>
        <w:widowControl/>
        <w:spacing w:line="61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2022年项目支出435.74万元，其中禁毒项目55.00万元、金融工作支出64.00万元。项目指标下达及时，支付按进度完成，项目资金支付都是按照预算执行，实行专款专用，项目实施完成后，达到了预期经济效益及社会效益，圆满的完成了各项任务。</w:t>
      </w:r>
    </w:p>
    <w:p>
      <w:pPr>
        <w:widowControl/>
        <w:spacing w:line="610" w:lineRule="exact"/>
        <w:ind w:firstLine="640" w:firstLineChars="200"/>
        <w:rPr>
          <w:rFonts w:eastAsia="黑体"/>
          <w:sz w:val="32"/>
          <w:szCs w:val="32"/>
        </w:rPr>
      </w:pPr>
      <w:r>
        <w:rPr>
          <w:rFonts w:hint="eastAsia" w:eastAsia="黑体"/>
          <w:sz w:val="32"/>
          <w:szCs w:val="32"/>
        </w:rPr>
        <w:t>四</w:t>
      </w:r>
      <w:r>
        <w:rPr>
          <w:rFonts w:eastAsia="黑体"/>
          <w:sz w:val="32"/>
          <w:szCs w:val="32"/>
        </w:rPr>
        <w:t>、部门整体支出绩效情况</w:t>
      </w:r>
    </w:p>
    <w:p>
      <w:pPr>
        <w:widowControl/>
        <w:spacing w:line="610" w:lineRule="exact"/>
        <w:ind w:firstLine="640" w:firstLineChars="200"/>
        <w:rPr>
          <w:rFonts w:ascii="仿宋" w:hAnsi="仿宋" w:eastAsia="仿宋"/>
          <w:sz w:val="32"/>
          <w:szCs w:val="32"/>
        </w:rPr>
      </w:pPr>
      <w:r>
        <w:rPr>
          <w:rFonts w:hint="eastAsia" w:ascii="仿宋" w:hAnsi="仿宋" w:eastAsia="仿宋"/>
          <w:sz w:val="32"/>
          <w:szCs w:val="32"/>
        </w:rPr>
        <w:t>2022年，根据年初工作规划和重点工作，围绕县委、县政府的工作部署，积极履行职责，强化管理，较好地完成了年度工作目标，同时加强预算收支的管理，建立健全内部管理制度，严格内部管理流程，部门整体支出管理得到了提升。本单位2022年度实际支出1834.59万元，2022年度部门整体支出绩效情况如下：</w:t>
      </w:r>
    </w:p>
    <w:p>
      <w:pPr>
        <w:spacing w:line="620" w:lineRule="exact"/>
        <w:ind w:firstLine="640" w:firstLineChars="200"/>
        <w:rPr>
          <w:rFonts w:ascii="仿宋" w:hAnsi="仿宋" w:eastAsia="仿宋"/>
          <w:sz w:val="32"/>
          <w:szCs w:val="32"/>
        </w:rPr>
      </w:pPr>
      <w:r>
        <w:rPr>
          <w:rFonts w:ascii="仿宋" w:hAnsi="仿宋" w:eastAsia="仿宋"/>
          <w:sz w:val="32"/>
          <w:szCs w:val="32"/>
        </w:rPr>
        <w:t>1.本年预算配置控制较好，财政供养人员控制在预算编制以内，实际在职人员数</w:t>
      </w:r>
      <w:r>
        <w:rPr>
          <w:rFonts w:hint="eastAsia" w:ascii="仿宋" w:hAnsi="仿宋" w:eastAsia="仿宋"/>
          <w:sz w:val="32"/>
          <w:szCs w:val="32"/>
        </w:rPr>
        <w:t>在</w:t>
      </w:r>
      <w:r>
        <w:rPr>
          <w:rFonts w:ascii="仿宋" w:hAnsi="仿宋" w:eastAsia="仿宋"/>
          <w:sz w:val="32"/>
          <w:szCs w:val="32"/>
        </w:rPr>
        <w:t>编制数</w:t>
      </w:r>
      <w:r>
        <w:rPr>
          <w:rFonts w:hint="eastAsia" w:ascii="仿宋" w:hAnsi="仿宋" w:eastAsia="仿宋"/>
          <w:sz w:val="32"/>
          <w:szCs w:val="32"/>
        </w:rPr>
        <w:t>以下</w:t>
      </w:r>
      <w:r>
        <w:rPr>
          <w:rFonts w:ascii="仿宋" w:hAnsi="仿宋" w:eastAsia="仿宋"/>
          <w:sz w:val="32"/>
          <w:szCs w:val="32"/>
        </w:rPr>
        <w:t>；</w:t>
      </w:r>
      <w:r>
        <w:rPr>
          <w:rFonts w:hint="eastAsia" w:ascii="仿宋" w:hAnsi="仿宋" w:eastAsia="仿宋"/>
          <w:sz w:val="32"/>
          <w:szCs w:val="32"/>
        </w:rPr>
        <w:t>严控</w:t>
      </w:r>
      <w:r>
        <w:rPr>
          <w:rFonts w:ascii="仿宋" w:hAnsi="仿宋" w:eastAsia="仿宋"/>
          <w:sz w:val="32"/>
          <w:szCs w:val="32"/>
        </w:rPr>
        <w:t>“三公”经费支出</w:t>
      </w:r>
      <w:r>
        <w:rPr>
          <w:rFonts w:hint="eastAsia" w:ascii="仿宋" w:hAnsi="仿宋" w:eastAsia="仿宋"/>
          <w:sz w:val="32"/>
          <w:szCs w:val="32"/>
        </w:rPr>
        <w:t>，</w:t>
      </w:r>
      <w:r>
        <w:rPr>
          <w:rFonts w:ascii="仿宋" w:hAnsi="仿宋" w:eastAsia="仿宋"/>
          <w:sz w:val="32"/>
          <w:szCs w:val="32"/>
        </w:rPr>
        <w:t>总额较上年有减少。</w:t>
      </w:r>
    </w:p>
    <w:p>
      <w:pPr>
        <w:spacing w:line="620" w:lineRule="exact"/>
        <w:ind w:firstLine="640" w:firstLineChars="200"/>
        <w:rPr>
          <w:rFonts w:ascii="仿宋" w:hAnsi="仿宋" w:eastAsia="仿宋"/>
          <w:sz w:val="32"/>
          <w:szCs w:val="32"/>
        </w:rPr>
      </w:pPr>
      <w:r>
        <w:rPr>
          <w:rFonts w:ascii="仿宋" w:hAnsi="仿宋" w:eastAsia="仿宋"/>
          <w:sz w:val="32"/>
          <w:szCs w:val="32"/>
        </w:rPr>
        <w:t>2.预算管理方面，制定了切实有效的内部财务、资产内部管理制度，执行总体较为有效。</w:t>
      </w:r>
    </w:p>
    <w:p>
      <w:pPr>
        <w:widowControl/>
        <w:spacing w:line="610" w:lineRule="exact"/>
        <w:ind w:firstLine="640" w:firstLineChars="200"/>
        <w:rPr>
          <w:rFonts w:ascii="仿宋" w:hAnsi="仿宋" w:eastAsia="仿宋"/>
          <w:sz w:val="32"/>
          <w:szCs w:val="32"/>
        </w:rPr>
      </w:pPr>
      <w:r>
        <w:rPr>
          <w:rFonts w:hint="eastAsia" w:ascii="仿宋" w:hAnsi="仿宋" w:eastAsia="仿宋"/>
          <w:sz w:val="32"/>
          <w:szCs w:val="32"/>
        </w:rPr>
        <w:t>通过对2022年的</w:t>
      </w:r>
      <w:r>
        <w:rPr>
          <w:rFonts w:ascii="仿宋" w:hAnsi="仿宋" w:eastAsia="仿宋"/>
          <w:sz w:val="32"/>
          <w:szCs w:val="32"/>
        </w:rPr>
        <w:t>运行成本、管理效率、履职效能、社会效应、可持续发展能力和服务对象满意度等方面</w:t>
      </w:r>
      <w:r>
        <w:rPr>
          <w:rFonts w:hint="eastAsia" w:ascii="仿宋" w:hAnsi="仿宋" w:eastAsia="仿宋"/>
          <w:sz w:val="32"/>
          <w:szCs w:val="32"/>
        </w:rPr>
        <w:t>综合考评， 2022年，较好地完成了年度工作目标，部门整体支出绩效评价为优。</w:t>
      </w:r>
    </w:p>
    <w:p>
      <w:pPr>
        <w:pStyle w:val="13"/>
        <w:widowControl/>
        <w:spacing w:line="610" w:lineRule="exact"/>
        <w:ind w:firstLine="640"/>
        <w:rPr>
          <w:rFonts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sz w:val="32"/>
          <w:szCs w:val="32"/>
        </w:rPr>
        <w:t>、存在的问题及原因分析</w:t>
      </w:r>
    </w:p>
    <w:p>
      <w:pPr>
        <w:pStyle w:val="6"/>
        <w:shd w:val="clear" w:color="auto" w:fill="FFFFFF"/>
        <w:spacing w:before="0" w:beforeAutospacing="0" w:after="0" w:afterAutospacing="0" w:line="480" w:lineRule="auto"/>
        <w:ind w:firstLine="640" w:firstLineChars="20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工作机制有待进一步完善，由于在平时工作中未加强绩效监控工作的重视，绩效监控工作容易滞后，未形成对绩效目标进行监控的习惯。</w:t>
      </w:r>
    </w:p>
    <w:p>
      <w:pPr>
        <w:pStyle w:val="6"/>
        <w:shd w:val="clear" w:color="auto" w:fill="FFFFFF"/>
        <w:spacing w:before="0" w:beforeAutospacing="0" w:after="0" w:afterAutospacing="0" w:line="480" w:lineRule="auto"/>
        <w:ind w:firstLine="640" w:firstLineChars="20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单位各</w:t>
      </w:r>
      <w:r>
        <w:rPr>
          <w:rFonts w:hint="eastAsia" w:ascii="仿宋" w:hAnsi="仿宋" w:eastAsia="仿宋"/>
          <w:sz w:val="32"/>
          <w:szCs w:val="32"/>
        </w:rPr>
        <w:t>科室</w:t>
      </w:r>
      <w:r>
        <w:rPr>
          <w:rFonts w:ascii="仿宋" w:hAnsi="仿宋" w:eastAsia="仿宋"/>
          <w:sz w:val="32"/>
          <w:szCs w:val="32"/>
        </w:rPr>
        <w:t>衔接不及时，无法及时监控预算绩效目标实施情况。</w:t>
      </w:r>
    </w:p>
    <w:p>
      <w:pPr>
        <w:widowControl/>
        <w:spacing w:line="610" w:lineRule="exact"/>
        <w:ind w:firstLine="640" w:firstLineChars="200"/>
        <w:rPr>
          <w:rFonts w:eastAsia="黑体"/>
          <w:sz w:val="32"/>
          <w:szCs w:val="32"/>
        </w:rPr>
      </w:pPr>
      <w:r>
        <w:rPr>
          <w:rFonts w:hint="eastAsia" w:eastAsia="黑体"/>
          <w:sz w:val="32"/>
          <w:szCs w:val="32"/>
        </w:rPr>
        <w:t>六</w:t>
      </w:r>
      <w:r>
        <w:rPr>
          <w:rFonts w:eastAsia="黑体"/>
          <w:sz w:val="32"/>
          <w:szCs w:val="32"/>
        </w:rPr>
        <w:t>、下一步改进措施</w:t>
      </w:r>
    </w:p>
    <w:p>
      <w:pPr>
        <w:pStyle w:val="6"/>
        <w:shd w:val="clear" w:color="auto" w:fill="FFFFFF"/>
        <w:spacing w:before="0" w:beforeAutospacing="0" w:after="0" w:afterAutospacing="0" w:line="480" w:lineRule="auto"/>
        <w:ind w:firstLine="640" w:firstLineChars="20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、在平时工作中进一步加强对绩效目标监控的重视，定期对预算执行情况进行监督，做到及时监控，及时控制，避免疏忽。</w:t>
      </w:r>
    </w:p>
    <w:p>
      <w:pPr>
        <w:pStyle w:val="6"/>
        <w:shd w:val="clear" w:color="auto" w:fill="FFFFFF"/>
        <w:spacing w:before="0" w:beforeAutospacing="0" w:after="0" w:afterAutospacing="0" w:line="480" w:lineRule="auto"/>
        <w:ind w:firstLine="640" w:firstLineChars="200"/>
        <w:jc w:val="both"/>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、加强各</w:t>
      </w:r>
      <w:r>
        <w:rPr>
          <w:rFonts w:hint="eastAsia" w:ascii="仿宋" w:hAnsi="仿宋" w:eastAsia="仿宋"/>
          <w:sz w:val="32"/>
          <w:szCs w:val="32"/>
        </w:rPr>
        <w:t>科室</w:t>
      </w:r>
      <w:r>
        <w:rPr>
          <w:rFonts w:ascii="仿宋" w:hAnsi="仿宋" w:eastAsia="仿宋"/>
          <w:sz w:val="32"/>
          <w:szCs w:val="32"/>
        </w:rPr>
        <w:t>衔接，使预算绩效目标实施进度得到及时反馈，便于及时汇总监控。</w:t>
      </w:r>
    </w:p>
    <w:p>
      <w:pPr>
        <w:widowControl/>
        <w:spacing w:line="610" w:lineRule="exact"/>
        <w:ind w:firstLine="640" w:firstLineChars="200"/>
        <w:rPr>
          <w:rFonts w:eastAsia="仿宋_GB2312"/>
          <w:sz w:val="32"/>
          <w:szCs w:val="32"/>
        </w:rPr>
      </w:pPr>
      <w:r>
        <w:rPr>
          <w:rFonts w:hint="eastAsia" w:eastAsia="黑体"/>
          <w:sz w:val="32"/>
          <w:szCs w:val="32"/>
        </w:rPr>
        <w:t>七</w:t>
      </w:r>
      <w:r>
        <w:rPr>
          <w:rFonts w:eastAsia="黑体"/>
          <w:sz w:val="32"/>
          <w:szCs w:val="32"/>
        </w:rPr>
        <w:t>、其他需要说明的情况</w:t>
      </w:r>
    </w:p>
    <w:p>
      <w:pPr>
        <w:widowControl/>
        <w:spacing w:line="560" w:lineRule="exact"/>
        <w:ind w:firstLine="640" w:firstLineChars="200"/>
        <w:rPr>
          <w:rFonts w:eastAsia="仿宋_GB2312"/>
          <w:sz w:val="32"/>
          <w:szCs w:val="32"/>
        </w:rPr>
      </w:pPr>
      <w:r>
        <w:rPr>
          <w:rFonts w:hint="eastAsia" w:eastAsia="仿宋_GB2312"/>
          <w:sz w:val="32"/>
          <w:szCs w:val="32"/>
        </w:rPr>
        <w:t>无。</w:t>
      </w:r>
    </w:p>
    <w:p>
      <w:pPr>
        <w:spacing w:line="560" w:lineRule="exact"/>
        <w:jc w:val="left"/>
        <w:outlineLvl w:val="0"/>
        <w:rPr>
          <w:rFonts w:ascii="仿宋_GB2312" w:eastAsia="仿宋_GB2312"/>
          <w:sz w:val="32"/>
          <w:szCs w:val="32"/>
        </w:rPr>
        <w:sectPr>
          <w:pgSz w:w="11906" w:h="16838"/>
          <w:pgMar w:top="1984" w:right="1701" w:bottom="1984" w:left="1701" w:header="851" w:footer="992" w:gutter="0"/>
          <w:cols w:space="0"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附件4</w:t>
      </w:r>
    </w:p>
    <w:p>
      <w:pPr>
        <w:widowControl/>
        <w:spacing w:beforeLines="50" w:afterLines="100"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项目支出绩效评价评分表（共性）</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numPr>
                <w:ilvl w:val="0"/>
                <w:numId w:val="3"/>
              </w:numPr>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87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987"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972"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b/>
                <w:bCs/>
                <w:kern w:val="0"/>
                <w:sz w:val="24"/>
              </w:rPr>
            </w:pPr>
            <w:r>
              <w:rPr>
                <w:rFonts w:hint="eastAsia" w:ascii="宋体" w:hAnsi="宋体" w:cs="宋体"/>
                <w:b/>
                <w:bCs/>
                <w:kern w:val="0"/>
                <w:sz w:val="24"/>
              </w:rPr>
              <w:t>98</w:t>
            </w:r>
          </w:p>
        </w:tc>
      </w:tr>
    </w:tbl>
    <w:p>
      <w:pPr>
        <w:adjustRightInd w:val="0"/>
        <w:snapToGrid w:val="0"/>
        <w:spacing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pPr>
        <w:adjustRightInd w:val="0"/>
        <w:snapToGrid w:val="0"/>
        <w:spacing w:beforeLines="50"/>
        <w:ind w:firstLine="630" w:firstLineChars="300"/>
        <w:contextualSpacing/>
        <w:rPr>
          <w:rFonts w:eastAsia="仿宋_GB2312"/>
          <w:sz w:val="32"/>
        </w:rPr>
      </w:pPr>
      <w:r>
        <w:rPr>
          <w:rFonts w:hint="eastAsia" w:ascii="仿宋_GB2312" w:eastAsia="仿宋_GB2312"/>
        </w:rPr>
        <w:t>2、一个一级项目一张表。</w:t>
      </w:r>
    </w:p>
    <w:p/>
    <w:p>
      <w:pPr>
        <w:pStyle w:val="2"/>
        <w:sectPr>
          <w:pgSz w:w="11906" w:h="16838"/>
          <w:pgMar w:top="1701" w:right="1417" w:bottom="1417" w:left="1417" w:header="851" w:footer="992" w:gutter="0"/>
          <w:cols w:space="0" w:num="1"/>
          <w:docGrid w:type="lines" w:linePitch="312" w:charSpace="0"/>
        </w:sectPr>
      </w:pPr>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2022年度项目支出绩效自评表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w:t>
            </w:r>
          </w:p>
          <w:p>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ign w:val="center"/>
          </w:tcPr>
          <w:p>
            <w:pPr>
              <w:widowControl/>
              <w:spacing w:line="260" w:lineRule="exact"/>
              <w:jc w:val="center"/>
              <w:rPr>
                <w:rFonts w:ascii="仿宋" w:hAnsi="仿宋" w:eastAsia="仿宋"/>
                <w:color w:val="000000"/>
                <w:sz w:val="20"/>
                <w:szCs w:val="20"/>
              </w:rPr>
            </w:pPr>
            <w:r>
              <w:rPr>
                <w:rFonts w:hint="eastAsia" w:ascii="仿宋" w:hAnsi="仿宋" w:eastAsia="仿宋" w:cs="宋体"/>
                <w:color w:val="000000"/>
                <w:sz w:val="20"/>
                <w:szCs w:val="20"/>
              </w:rPr>
              <w:t>禁毒</w:t>
            </w:r>
            <w:r>
              <w:rPr>
                <w:rFonts w:hint="eastAsia" w:ascii="仿宋" w:hAnsi="仿宋" w:eastAsia="仿宋" w:cs="___WRD_EMBED_SUB_40"/>
                <w:color w:val="000000"/>
                <w:sz w:val="20"/>
                <w:szCs w:val="20"/>
              </w:rPr>
              <w:t>项目</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华容县人民政府办公室</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年初</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全年</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全年</w:t>
            </w:r>
          </w:p>
          <w:p>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55.00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ascii="仿宋" w:hAnsi="仿宋" w:eastAsia="仿宋"/>
                <w:color w:val="000000"/>
                <w:sz w:val="20"/>
                <w:szCs w:val="20"/>
              </w:rPr>
            </w:pPr>
            <w:r>
              <w:rPr>
                <w:rFonts w:hint="eastAsia" w:ascii="仿宋" w:hAnsi="仿宋" w:eastAsia="仿宋"/>
                <w:sz w:val="20"/>
                <w:szCs w:val="20"/>
              </w:rPr>
              <w:t>全面压实禁毒工作责任，确保全县毒情形势持续好转，群众安全感和满意度得到进一步提升。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全面压实禁毒工作责任，确保全县毒情形势持续好转，群众安全感和满意度得到进一步提升。完成禁毒会议、活动3场；禁毒入户宣传率达95%；</w:t>
            </w:r>
            <w:r>
              <w:rPr>
                <w:rFonts w:hint="eastAsia" w:ascii="仿宋" w:hAnsi="仿宋" w:eastAsia="仿宋" w:cs="宋体"/>
                <w:sz w:val="20"/>
                <w:szCs w:val="20"/>
              </w:rPr>
              <w:t>保持</w:t>
            </w:r>
            <w:r>
              <w:rPr>
                <w:rFonts w:hint="eastAsia" w:ascii="仿宋" w:hAnsi="仿宋" w:eastAsia="仿宋"/>
                <w:sz w:val="20"/>
                <w:szCs w:val="20"/>
              </w:rPr>
              <w:t>社</w:t>
            </w:r>
            <w:r>
              <w:rPr>
                <w:rFonts w:hint="eastAsia" w:ascii="仿宋" w:hAnsi="仿宋" w:eastAsia="仿宋" w:cs="宋体"/>
                <w:sz w:val="20"/>
                <w:szCs w:val="20"/>
              </w:rPr>
              <w:t>戒社康人员管控率</w:t>
            </w:r>
            <w:r>
              <w:rPr>
                <w:rFonts w:hint="eastAsia" w:ascii="仿宋" w:hAnsi="仿宋" w:eastAsia="仿宋"/>
                <w:sz w:val="20"/>
                <w:szCs w:val="20"/>
              </w:rPr>
              <w:t>管控率达到100%</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绩</w:t>
            </w:r>
          </w:p>
          <w:p>
            <w:pPr>
              <w:widowControl/>
              <w:spacing w:line="260" w:lineRule="exact"/>
              <w:jc w:val="center"/>
              <w:rPr>
                <w:rFonts w:eastAsia="仿宋_GB2312"/>
                <w:color w:val="000000"/>
                <w:sz w:val="20"/>
                <w:szCs w:val="20"/>
              </w:rPr>
            </w:pPr>
            <w:r>
              <w:rPr>
                <w:rFonts w:eastAsia="仿宋_GB2312"/>
                <w:color w:val="000000"/>
                <w:sz w:val="20"/>
                <w:szCs w:val="20"/>
              </w:rPr>
              <w:t>效</w:t>
            </w:r>
          </w:p>
          <w:p>
            <w:pPr>
              <w:widowControl/>
              <w:spacing w:line="260" w:lineRule="exact"/>
              <w:jc w:val="center"/>
              <w:rPr>
                <w:rFonts w:eastAsia="仿宋_GB2312"/>
                <w:color w:val="000000"/>
                <w:sz w:val="20"/>
                <w:szCs w:val="20"/>
              </w:rPr>
            </w:pPr>
            <w:r>
              <w:rPr>
                <w:rFonts w:eastAsia="仿宋_GB2312"/>
                <w:color w:val="000000"/>
                <w:sz w:val="20"/>
                <w:szCs w:val="20"/>
              </w:rPr>
              <w:t>指</w:t>
            </w:r>
          </w:p>
          <w:p>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w:t>
            </w:r>
          </w:p>
          <w:p>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w:t>
            </w:r>
          </w:p>
          <w:p>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color="auto" w:sz="4" w:space="0"/>
              <w:right w:val="single" w:color="auto" w:sz="4" w:space="0"/>
            </w:tcBorders>
            <w:noWrap/>
            <w:vAlign w:val="center"/>
          </w:tcPr>
          <w:p>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产出指标</w:t>
            </w:r>
          </w:p>
          <w:p>
            <w:pPr>
              <w:widowControl/>
              <w:spacing w:line="260" w:lineRule="exact"/>
              <w:jc w:val="center"/>
              <w:rPr>
                <w:rFonts w:eastAsia="仿宋_GB2312"/>
                <w:color w:val="000000"/>
                <w:sz w:val="20"/>
                <w:szCs w:val="20"/>
              </w:rPr>
            </w:pPr>
            <w:r>
              <w:rPr>
                <w:rFonts w:eastAsia="仿宋_GB2312"/>
                <w:color w:val="000000"/>
                <w:sz w:val="20"/>
                <w:szCs w:val="20"/>
              </w:rPr>
              <w:t>(50分)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完成禁毒会议、活动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完成2场以上</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3</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完成禁毒入户宣传</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宣传率达90%以上</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95%</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保持</w:t>
            </w:r>
            <w:r>
              <w:rPr>
                <w:rFonts w:hint="eastAsia" w:ascii="仿宋" w:hAnsi="仿宋" w:eastAsia="仿宋"/>
                <w:sz w:val="20"/>
                <w:szCs w:val="20"/>
              </w:rPr>
              <w:t>社</w:t>
            </w:r>
            <w:r>
              <w:rPr>
                <w:rFonts w:hint="eastAsia" w:ascii="仿宋" w:hAnsi="仿宋" w:eastAsia="仿宋" w:cs="宋体"/>
                <w:sz w:val="20"/>
                <w:szCs w:val="20"/>
              </w:rPr>
              <w:t>戒社康人员管控率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管控率达到100%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100%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禁毒会议、活动是否安排执行到位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已高质量执行到位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禁毒工作是否落实到位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已高质量落实到位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333"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禁毒会议、活动按方案及时举行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已按时举行</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及时完成</w:t>
            </w:r>
            <w:r>
              <w:rPr>
                <w:rFonts w:hint="eastAsia" w:ascii="仿宋" w:hAnsi="仿宋" w:eastAsia="仿宋" w:cs="宋体"/>
                <w:sz w:val="20"/>
                <w:szCs w:val="20"/>
              </w:rPr>
              <w:t>禁毒</w:t>
            </w:r>
            <w:r>
              <w:rPr>
                <w:rFonts w:hint="eastAsia" w:ascii="仿宋" w:hAnsi="仿宋" w:eastAsia="仿宋"/>
                <w:sz w:val="20"/>
                <w:szCs w:val="20"/>
              </w:rPr>
              <w:t>各项工作</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按时完成</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已按时完成</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371"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完成禁毒会议、活动，成效显著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完成禁毒会议、活动，成效显著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已完成，成效显著</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完成禁毒各项工作，成效显著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完成禁毒各项工作，成效显著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已完成，成效显著</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5</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275"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效益指标</w:t>
            </w:r>
          </w:p>
          <w:p>
            <w:pPr>
              <w:widowControl/>
              <w:spacing w:line="260" w:lineRule="exact"/>
              <w:jc w:val="left"/>
              <w:rPr>
                <w:rFonts w:eastAsia="仿宋_GB2312"/>
                <w:color w:val="000000"/>
                <w:sz w:val="20"/>
                <w:szCs w:val="20"/>
              </w:rPr>
            </w:pPr>
            <w:r>
              <w:rPr>
                <w:rFonts w:eastAsia="仿宋_GB2312"/>
                <w:color w:val="000000"/>
                <w:sz w:val="20"/>
                <w:szCs w:val="20"/>
              </w:rPr>
              <w:t>（30分）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经济效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经济效益提升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45"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08"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社会效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社会效益提升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生态效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生态需求得到满足</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restart"/>
            <w:tcBorders>
              <w:top w:val="single" w:color="auto" w:sz="4" w:space="0"/>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可持续</w:t>
            </w:r>
          </w:p>
          <w:p>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产生可持续性社会正能量影响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产生可持续性社会正能量影响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产生可持续性社会正能量影响</w:t>
            </w:r>
          </w:p>
        </w:tc>
        <w:tc>
          <w:tcPr>
            <w:tcW w:w="82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p>
            <w:pPr>
              <w:widowControl/>
              <w:spacing w:line="260" w:lineRule="exact"/>
              <w:jc w:val="center"/>
              <w:rPr>
                <w:rFonts w:eastAsia="仿宋_GB2312"/>
                <w:color w:val="000000"/>
                <w:sz w:val="20"/>
                <w:szCs w:val="20"/>
              </w:rPr>
            </w:pPr>
            <w:r>
              <w:rPr>
                <w:rFonts w:eastAsia="仿宋_GB2312"/>
                <w:color w:val="000000"/>
                <w:sz w:val="20"/>
                <w:szCs w:val="20"/>
              </w:rPr>
              <w:t>（10分）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服务对象满意度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向社会公众提供禁毒法律法规及相关政策的宣传</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服务对象满意度≥90%。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满意度95%</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bl>
    <w:p>
      <w:pPr>
        <w:rPr>
          <w:rFonts w:ascii="新宋体" w:hAnsi="新宋体" w:eastAsia="新宋体" w:cs="新宋体"/>
          <w:szCs w:val="21"/>
        </w:rPr>
      </w:pPr>
      <w:r>
        <w:rPr>
          <w:rFonts w:hint="eastAsia" w:ascii="新宋体" w:hAnsi="新宋体" w:eastAsia="新宋体" w:cs="新宋体"/>
          <w:szCs w:val="21"/>
        </w:rPr>
        <w:t>备注：一个一级项目支出一张表。如，业务工作经费，运行维护经费，XX项目资金…各一张表。</w:t>
      </w:r>
    </w:p>
    <w:p>
      <w:pPr>
        <w:pStyle w:val="2"/>
      </w:pPr>
    </w:p>
    <w:p/>
    <w:p>
      <w:pPr>
        <w:jc w:val="left"/>
        <w:rPr>
          <w:rFonts w:ascii="新宋体" w:hAnsi="新宋体" w:eastAsia="新宋体" w:cs="新宋体"/>
          <w:szCs w:val="21"/>
        </w:rPr>
      </w:pPr>
      <w:r>
        <w:rPr>
          <w:rFonts w:hint="eastAsia" w:ascii="新宋体" w:hAnsi="新宋体" w:eastAsia="新宋体" w:cs="新宋体"/>
          <w:szCs w:val="21"/>
        </w:rPr>
        <w:t>填表人：赵梦雅 填报日期：2023年7月12日 联系电话：18390158809单位负责人签字：</w:t>
      </w:r>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pPr>
    </w:p>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2022年度华容县人民政府办公室部门（单位）禁毒项目支出绩效自评报告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ascii="仿宋" w:hAnsi="仿宋" w:eastAsia="仿宋"/>
          <w:sz w:val="32"/>
          <w:szCs w:val="32"/>
          <w:u w:val="single"/>
        </w:rPr>
        <w:t>华容县人民政府办公室</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12</w:t>
      </w:r>
      <w:r>
        <w:rPr>
          <w:rFonts w:eastAsia="楷体_GB2312"/>
          <w:sz w:val="32"/>
          <w:szCs w:val="32"/>
        </w:rPr>
        <w:t>日</w:t>
      </w:r>
    </w:p>
    <w:p>
      <w:pPr>
        <w:jc w:val="center"/>
        <w:rPr>
          <w:rFonts w:eastAsia="仿宋_GB2312"/>
          <w:sz w:val="32"/>
          <w:szCs w:val="32"/>
        </w:rPr>
      </w:pPr>
    </w:p>
    <w:p>
      <w:pPr>
        <w:spacing w:line="610" w:lineRule="exact"/>
        <w:jc w:val="center"/>
        <w:rPr>
          <w:rFonts w:ascii="微软雅黑" w:hAnsi="微软雅黑" w:eastAsia="微软雅黑" w:cs="微软雅黑"/>
          <w:sz w:val="44"/>
          <w:szCs w:val="44"/>
        </w:rPr>
      </w:pPr>
      <w:r>
        <w:rPr>
          <w:rFonts w:eastAsia="仿宋_GB2312"/>
          <w:sz w:val="32"/>
          <w:szCs w:val="32"/>
        </w:rPr>
        <w:br w:type="page"/>
      </w:r>
      <w:r>
        <w:rPr>
          <w:rFonts w:hint="eastAsia" w:ascii="微软雅黑" w:hAnsi="微软雅黑" w:eastAsia="微软雅黑" w:cs="微软雅黑"/>
          <w:sz w:val="44"/>
          <w:szCs w:val="44"/>
        </w:rPr>
        <w:t>2022年度容县人民政府办公室部门（单位）禁毒项目支出绩效自评报告</w:t>
      </w:r>
    </w:p>
    <w:p>
      <w:pPr>
        <w:spacing w:line="610" w:lineRule="exact"/>
        <w:ind w:firstLine="600" w:firstLineChars="200"/>
        <w:rPr>
          <w:rFonts w:ascii="黑体" w:hAnsi="黑体" w:eastAsia="黑体" w:cs="黑体"/>
          <w:sz w:val="30"/>
          <w:szCs w:val="30"/>
        </w:rPr>
      </w:pP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spacing w:line="610" w:lineRule="exact"/>
        <w:ind w:firstLine="600" w:firstLineChars="200"/>
        <w:rPr>
          <w:rFonts w:eastAsia="仿宋_GB2312"/>
          <w:sz w:val="30"/>
          <w:szCs w:val="30"/>
        </w:rPr>
      </w:pPr>
      <w:r>
        <w:rPr>
          <w:rFonts w:hint="eastAsia" w:eastAsia="仿宋_GB2312"/>
          <w:sz w:val="30"/>
          <w:szCs w:val="30"/>
        </w:rPr>
        <w:t>(一)项目概况。</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禁毒办主要承担全县毒品预防教育，吸毒人员、重点行业从业人员、重点场所涉毒检测，吸毒人员强制戒毒、自愿戒毒，无毒村场（社区）、禁毒示范学校创建，吸毒家庭后续照管，禁毒工作业务指导、培训，责任制落实调度、督导等工作。我县被省禁毒办列为一类高风险地区，考核指标多、工作任务重，为全面压实禁毒工作责任，确保全县毒情形势持续好转，2022年全年禁毒项目支出55万元。</w:t>
      </w:r>
    </w:p>
    <w:p>
      <w:pPr>
        <w:spacing w:line="610" w:lineRule="exact"/>
        <w:ind w:firstLine="600" w:firstLineChars="200"/>
        <w:rPr>
          <w:rFonts w:eastAsia="仿宋_GB2312"/>
          <w:sz w:val="30"/>
          <w:szCs w:val="30"/>
        </w:rPr>
      </w:pPr>
      <w:r>
        <w:rPr>
          <w:rFonts w:hint="eastAsia" w:eastAsia="仿宋_GB2312"/>
          <w:sz w:val="30"/>
          <w:szCs w:val="30"/>
        </w:rPr>
        <w:t>(二)项目绩效目标。</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2022年单位项目资金支付都是按照预算执行，实行专款专用，项目实施完成后，达到了预期经济效益及社会效益，圆满的完成了各项任务。</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总体目标：全面压实禁毒工作责任，确保全县毒情形势持续好转，群众安全感和满意度得到进一步提升。</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阶段性目标：2022年扎实推进学校保安、两客一危一校、公交、的士驾驶员、娱乐场所从业人员、有吸毒史人员毛发检测；重点场所污水验毒检测；禁毒示范乡镇、示范村场（社区）创建；有吸毒史人员管控，确保全县毒情形势持续好转。</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二、绩效评价工作开展情况</w:t>
      </w:r>
    </w:p>
    <w:p>
      <w:pPr>
        <w:spacing w:line="610" w:lineRule="exact"/>
        <w:ind w:firstLine="600" w:firstLineChars="200"/>
        <w:rPr>
          <w:rFonts w:eastAsia="仿宋_GB2312"/>
          <w:sz w:val="30"/>
          <w:szCs w:val="30"/>
        </w:rPr>
      </w:pPr>
      <w:r>
        <w:rPr>
          <w:rFonts w:hint="eastAsia" w:eastAsia="仿宋_GB2312"/>
          <w:sz w:val="30"/>
          <w:szCs w:val="30"/>
        </w:rPr>
        <w:t>(一)绩效评价目的、对象和范围。</w:t>
      </w:r>
    </w:p>
    <w:p>
      <w:pPr>
        <w:pStyle w:val="2"/>
        <w:spacing w:line="560" w:lineRule="exact"/>
        <w:ind w:firstLine="600" w:firstLineChars="200"/>
        <w:rPr>
          <w:rFonts w:ascii="仿宋" w:hAnsi="仿宋" w:eastAsia="仿宋"/>
          <w:sz w:val="30"/>
          <w:szCs w:val="30"/>
        </w:rPr>
      </w:pPr>
      <w:r>
        <w:rPr>
          <w:rFonts w:ascii="仿宋" w:hAnsi="仿宋" w:eastAsia="仿宋"/>
          <w:sz w:val="30"/>
          <w:szCs w:val="30"/>
        </w:rPr>
        <w:t>20</w:t>
      </w:r>
      <w:r>
        <w:rPr>
          <w:rFonts w:hint="eastAsia" w:ascii="仿宋" w:hAnsi="仿宋" w:eastAsia="仿宋"/>
          <w:sz w:val="30"/>
          <w:szCs w:val="30"/>
        </w:rPr>
        <w:t>22年度预算安排的项目支出自行开展专项绩效自评。</w:t>
      </w:r>
    </w:p>
    <w:p>
      <w:pPr>
        <w:spacing w:line="610" w:lineRule="exact"/>
        <w:ind w:firstLine="600" w:firstLineChars="200"/>
        <w:rPr>
          <w:rFonts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eastAsia="仿宋_GB2312"/>
          <w:sz w:val="30"/>
          <w:szCs w:val="30"/>
        </w:rPr>
      </w:pPr>
      <w:r>
        <w:rPr>
          <w:rFonts w:hint="eastAsia" w:eastAsia="仿宋_GB2312"/>
          <w:sz w:val="30"/>
          <w:szCs w:val="30"/>
        </w:rPr>
        <w:t>根据项目实际，在《项目支出绩效评价指标评分表（共性）》上进一步完善、量化、细化个性指标，形成本项目的指标体系。</w:t>
      </w:r>
    </w:p>
    <w:p>
      <w:pPr>
        <w:spacing w:line="610" w:lineRule="exact"/>
        <w:ind w:firstLine="600" w:firstLineChars="200"/>
        <w:rPr>
          <w:rFonts w:eastAsia="仿宋_GB2312"/>
          <w:sz w:val="30"/>
          <w:szCs w:val="30"/>
        </w:rPr>
      </w:pPr>
      <w:r>
        <w:rPr>
          <w:rFonts w:hint="eastAsia" w:eastAsia="仿宋_GB2312"/>
          <w:sz w:val="30"/>
          <w:szCs w:val="30"/>
        </w:rPr>
        <w:t>(三)绩效评价工作过程。</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单位高度重视预算支出绩效自评工作，认真制定绩效评价工作方案，成立绩效自评工作组，选用科学合理的评价指标反应预算支出绩效水平。</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 xml:space="preserve">三、综合评价情况及评价结论 </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通过对2022年的项目决策、项目过程、项目产出、项目效益等内容的绩效考评，提高财政资金的使用效率，保障了机构的正常运转。2022年，较好地完成了项目工作目标，部门项目支出绩效评价为优。</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610" w:lineRule="exact"/>
        <w:ind w:firstLine="600" w:firstLineChars="200"/>
        <w:rPr>
          <w:rFonts w:eastAsia="仿宋_GB2312"/>
          <w:sz w:val="30"/>
          <w:szCs w:val="30"/>
        </w:rPr>
      </w:pPr>
      <w:r>
        <w:rPr>
          <w:rFonts w:hint="eastAsia" w:eastAsia="仿宋_GB2312"/>
          <w:sz w:val="30"/>
          <w:szCs w:val="30"/>
        </w:rPr>
        <w:t>(一)项目决策情况。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2022年单位项目资金下达及时，支付都是按照预算执行，及时完成支付。</w:t>
      </w:r>
    </w:p>
    <w:p>
      <w:pPr>
        <w:spacing w:line="610" w:lineRule="exact"/>
        <w:ind w:firstLine="600" w:firstLineChars="200"/>
        <w:rPr>
          <w:rFonts w:eastAsia="仿宋_GB2312"/>
          <w:sz w:val="30"/>
          <w:szCs w:val="30"/>
        </w:rPr>
      </w:pPr>
      <w:r>
        <w:rPr>
          <w:rFonts w:hint="eastAsia" w:eastAsia="仿宋_GB2312"/>
          <w:sz w:val="30"/>
          <w:szCs w:val="30"/>
        </w:rPr>
        <w:t xml:space="preserve"> (二)项目过程情况。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在资金使用和管理中，实际支出与计划规定的用途一致，资金收支平衡，资金分配做到公开、公平，按程序上报和审批，配备了工作能力强的工作人员，严格执行财务制度，无截留、挤占、挪用资金等违规行为，提高财政资金的使用效率。</w:t>
      </w:r>
    </w:p>
    <w:p>
      <w:pPr>
        <w:spacing w:line="610" w:lineRule="exact"/>
        <w:ind w:firstLine="600" w:firstLineChars="200"/>
        <w:rPr>
          <w:rFonts w:eastAsia="仿宋_GB2312"/>
          <w:sz w:val="30"/>
          <w:szCs w:val="30"/>
        </w:rPr>
      </w:pPr>
      <w:r>
        <w:rPr>
          <w:rFonts w:hint="eastAsia" w:eastAsia="仿宋_GB2312"/>
          <w:sz w:val="30"/>
          <w:szCs w:val="30"/>
        </w:rPr>
        <w:t>(三)项目产出情况。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2022年单位项目实施完成后，成功完成了各项目标工作任务。</w:t>
      </w:r>
    </w:p>
    <w:p>
      <w:pPr>
        <w:spacing w:line="610" w:lineRule="exact"/>
        <w:ind w:firstLine="600" w:firstLineChars="200"/>
        <w:rPr>
          <w:rFonts w:eastAsia="仿宋_GB2312"/>
          <w:sz w:val="30"/>
          <w:szCs w:val="30"/>
        </w:rPr>
      </w:pPr>
      <w:r>
        <w:rPr>
          <w:rFonts w:hint="eastAsia" w:eastAsia="仿宋_GB2312"/>
          <w:sz w:val="30"/>
          <w:szCs w:val="30"/>
        </w:rPr>
        <w:t>(四)项目效益情况。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2022年单位圆满的完成了各项任务，项目达到了预期经济效益及社会效益。</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1、项目成本（预算）控制:严格成本预算，严格控制成本支出，不乱花一分钱。</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2、项目成本（预算）节约:加强成本预算管理，杜绝不必要开支，厉行节约，年度无超预算支出。</w:t>
      </w:r>
    </w:p>
    <w:p>
      <w:pPr>
        <w:widowControl/>
        <w:spacing w:line="610" w:lineRule="exact"/>
        <w:ind w:firstLine="600" w:firstLineChars="200"/>
        <w:rPr>
          <w:rFonts w:ascii="仿宋_GB2312" w:eastAsia="仿宋_GB2312"/>
          <w:sz w:val="32"/>
          <w:szCs w:val="32"/>
        </w:rPr>
      </w:pPr>
      <w:r>
        <w:rPr>
          <w:rFonts w:hint="eastAsia" w:ascii="黑体" w:hAnsi="黑体" w:eastAsia="黑体" w:cs="黑体"/>
          <w:sz w:val="30"/>
          <w:szCs w:val="30"/>
        </w:rPr>
        <w:t>六、其他需要说明的问题</w:t>
      </w:r>
    </w:p>
    <w:p>
      <w:pPr>
        <w:rPr>
          <w:rFonts w:ascii="仿宋" w:hAnsi="仿宋" w:eastAsia="仿宋"/>
          <w:sz w:val="30"/>
          <w:szCs w:val="30"/>
        </w:rPr>
      </w:pPr>
      <w:r>
        <w:rPr>
          <w:rFonts w:hint="eastAsia"/>
        </w:rPr>
        <w:t xml:space="preserve">      </w:t>
      </w:r>
      <w:r>
        <w:rPr>
          <w:rFonts w:hint="eastAsia" w:ascii="仿宋" w:hAnsi="仿宋" w:eastAsia="仿宋"/>
          <w:sz w:val="30"/>
          <w:szCs w:val="30"/>
        </w:rPr>
        <w:t>无。</w:t>
      </w:r>
    </w:p>
    <w:p>
      <w:pPr>
        <w:pStyle w:val="2"/>
      </w:pPr>
    </w:p>
    <w:p/>
    <w:p>
      <w:pPr>
        <w:pStyle w:val="2"/>
      </w:pPr>
    </w:p>
    <w:p/>
    <w:p>
      <w:pPr>
        <w:pStyle w:val="2"/>
      </w:pPr>
    </w:p>
    <w:p/>
    <w:p>
      <w:pPr>
        <w:pStyle w:val="2"/>
      </w:pPr>
    </w:p>
    <w:p/>
    <w:p>
      <w:pPr>
        <w:pStyle w:val="2"/>
      </w:pPr>
    </w:p>
    <w:p/>
    <w:p>
      <w:pPr>
        <w:pStyle w:val="2"/>
      </w:pPr>
    </w:p>
    <w:p>
      <w:pPr>
        <w:pStyle w:val="2"/>
      </w:pPr>
    </w:p>
    <w:p>
      <w:pPr>
        <w:spacing w:line="560" w:lineRule="exact"/>
        <w:rPr>
          <w:rFonts w:ascii="黑体" w:hAnsi="黑体" w:eastAsia="黑体"/>
          <w:sz w:val="32"/>
          <w:szCs w:val="32"/>
        </w:rPr>
      </w:pPr>
      <w:r>
        <w:rPr>
          <w:rFonts w:hint="eastAsia" w:ascii="黑体" w:hAnsi="黑体" w:eastAsia="黑体"/>
          <w:sz w:val="32"/>
          <w:szCs w:val="32"/>
        </w:rPr>
        <w:t>附件4</w:t>
      </w:r>
    </w:p>
    <w:p>
      <w:pPr>
        <w:widowControl/>
        <w:spacing w:beforeLines="50" w:afterLines="100"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项目支出绩效评价评分表（共性）</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625"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widowControl/>
              <w:numPr>
                <w:ilvl w:val="0"/>
                <w:numId w:val="3"/>
              </w:numPr>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669"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83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986"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83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833"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8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841"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729"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556"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b/>
                <w:bCs/>
                <w:kern w:val="0"/>
                <w:sz w:val="24"/>
              </w:rPr>
            </w:pPr>
            <w:r>
              <w:rPr>
                <w:rFonts w:hint="eastAsia" w:ascii="宋体" w:hAnsi="宋体" w:cs="宋体"/>
                <w:b/>
                <w:bCs/>
                <w:kern w:val="0"/>
                <w:sz w:val="24"/>
              </w:rPr>
              <w:t>98</w:t>
            </w:r>
          </w:p>
        </w:tc>
      </w:tr>
    </w:tbl>
    <w:p>
      <w:pPr>
        <w:adjustRightInd w:val="0"/>
        <w:snapToGrid w:val="0"/>
        <w:spacing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pPr>
        <w:adjustRightInd w:val="0"/>
        <w:snapToGrid w:val="0"/>
        <w:spacing w:beforeLines="50"/>
        <w:ind w:firstLine="630" w:firstLineChars="300"/>
        <w:contextualSpacing/>
        <w:rPr>
          <w:rFonts w:eastAsia="仿宋_GB2312"/>
          <w:sz w:val="32"/>
        </w:rPr>
      </w:pPr>
      <w:r>
        <w:rPr>
          <w:rFonts w:hint="eastAsia" w:ascii="仿宋_GB2312" w:eastAsia="仿宋_GB2312"/>
        </w:rPr>
        <w:t>2、一个一级项目一张表。</w:t>
      </w:r>
    </w:p>
    <w:p/>
    <w:p>
      <w:pPr>
        <w:pStyle w:val="2"/>
      </w:pPr>
    </w:p>
    <w:p/>
    <w:p>
      <w:pPr>
        <w:pStyle w:val="2"/>
      </w:pPr>
    </w:p>
    <w:p/>
    <w:p>
      <w:pPr>
        <w:pStyle w:val="2"/>
      </w:pPr>
    </w:p>
    <w:p/>
    <w:p>
      <w:pPr>
        <w:pStyle w:val="2"/>
      </w:pPr>
    </w:p>
    <w:p/>
    <w:p>
      <w:pPr>
        <w:jc w:val="left"/>
        <w:outlineLvl w:val="0"/>
        <w:rPr>
          <w:rFonts w:eastAsia="黑体"/>
          <w:sz w:val="32"/>
          <w:szCs w:val="32"/>
        </w:rPr>
      </w:pPr>
      <w:r>
        <w:rPr>
          <w:rFonts w:hint="eastAsia" w:ascii="黑体" w:hAnsi="黑体" w:eastAsia="黑体" w:cs="黑体"/>
          <w:sz w:val="32"/>
          <w:szCs w:val="32"/>
        </w:rPr>
        <w:t>附件5</w:t>
      </w:r>
    </w:p>
    <w:p>
      <w:pPr>
        <w:widowControl/>
        <w:spacing w:line="600" w:lineRule="exact"/>
        <w:jc w:val="center"/>
        <w:rPr>
          <w:rFonts w:ascii="微软雅黑" w:hAnsi="微软雅黑" w:eastAsia="微软雅黑" w:cs="微软雅黑"/>
          <w:color w:val="000000"/>
          <w:sz w:val="44"/>
          <w:szCs w:val="44"/>
        </w:rPr>
      </w:pPr>
      <w:r>
        <w:rPr>
          <w:rFonts w:hint="eastAsia" w:ascii="微软雅黑" w:hAnsi="微软雅黑" w:eastAsia="微软雅黑" w:cs="微软雅黑"/>
          <w:color w:val="000000"/>
          <w:sz w:val="44"/>
          <w:szCs w:val="44"/>
        </w:rPr>
        <w:t>2022年度项目支出绩效自评表</w:t>
      </w:r>
    </w:p>
    <w:tbl>
      <w:tblPr>
        <w:tblStyle w:val="7"/>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项目支</w:t>
            </w:r>
          </w:p>
          <w:p>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ign w:val="center"/>
          </w:tcPr>
          <w:p>
            <w:pPr>
              <w:widowControl/>
              <w:spacing w:line="260" w:lineRule="exact"/>
              <w:jc w:val="center"/>
              <w:rPr>
                <w:rFonts w:ascii="仿宋" w:hAnsi="仿宋" w:eastAsia="仿宋"/>
                <w:color w:val="000000"/>
                <w:sz w:val="20"/>
                <w:szCs w:val="20"/>
              </w:rPr>
            </w:pPr>
            <w:r>
              <w:rPr>
                <w:rFonts w:hint="eastAsia" w:ascii="仿宋" w:hAnsi="仿宋" w:eastAsia="仿宋" w:cs="新宋体"/>
                <w:szCs w:val="21"/>
              </w:rPr>
              <w:t>金融工作支出</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eastAsia="仿宋_GB2312"/>
                <w:color w:val="000000"/>
                <w:sz w:val="20"/>
                <w:szCs w:val="20"/>
              </w:rPr>
              <w:t>华容县人</w:t>
            </w:r>
            <w:r>
              <w:rPr>
                <w:rFonts w:hint="eastAsia" w:ascii="宋体" w:hAnsi="宋体" w:cs="宋体"/>
                <w:color w:val="000000"/>
                <w:sz w:val="20"/>
                <w:szCs w:val="20"/>
              </w:rPr>
              <w:t>民</w:t>
            </w:r>
            <w:r>
              <w:rPr>
                <w:rFonts w:hint="eastAsia" w:eastAsia="仿宋_GB2312"/>
                <w:color w:val="000000"/>
                <w:sz w:val="20"/>
                <w:szCs w:val="20"/>
              </w:rPr>
              <w:t>政府办公室</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type="textWrapping"/>
            </w:r>
            <w:r>
              <w:rPr>
                <w:rFonts w:eastAsia="仿宋_GB2312"/>
                <w:color w:val="000000"/>
                <w:sz w:val="20"/>
                <w:szCs w:val="20"/>
              </w:rPr>
              <w:t>（万元）</w:t>
            </w: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年初</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全年</w:t>
            </w:r>
          </w:p>
          <w:p>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全年</w:t>
            </w:r>
          </w:p>
          <w:p>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color="auto" w:sz="4" w:space="0"/>
              <w:right w:val="single" w:color="auto" w:sz="4" w:space="0"/>
            </w:tcBorders>
            <w:noWrap/>
            <w:vAlign w:val="center"/>
          </w:tcPr>
          <w:p>
            <w:pPr>
              <w:spacing w:line="260" w:lineRule="exact"/>
              <w:jc w:val="center"/>
              <w:rPr>
                <w:rFonts w:eastAsia="仿宋_GB2312"/>
                <w:sz w:val="20"/>
                <w:szCs w:val="20"/>
              </w:rPr>
            </w:pPr>
            <w:r>
              <w:rPr>
                <w:rFonts w:eastAsia="仿宋_GB2312"/>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64.00</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2160" w:type="dxa"/>
            <w:gridSpan w:val="2"/>
            <w:tcBorders>
              <w:top w:val="nil"/>
              <w:left w:val="nil"/>
              <w:bottom w:val="single" w:color="auto" w:sz="4" w:space="0"/>
              <w:right w:val="single" w:color="auto" w:sz="4" w:space="0"/>
            </w:tcBorders>
            <w:noWrap/>
            <w:vAlign w:val="center"/>
          </w:tcPr>
          <w:p>
            <w:pPr>
              <w:widowControl/>
              <w:spacing w:line="260" w:lineRule="exact"/>
              <w:ind w:firstLine="600" w:firstLineChars="3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ign w:val="center"/>
          </w:tcPr>
          <w:p>
            <w:pPr>
              <w:widowControl/>
              <w:spacing w:line="260" w:lineRule="exact"/>
              <w:jc w:val="left"/>
              <w:rPr>
                <w:rFonts w:eastAsia="仿宋_GB2312"/>
                <w:color w:val="000000"/>
                <w:sz w:val="20"/>
                <w:szCs w:val="20"/>
              </w:rPr>
            </w:pPr>
            <w:r>
              <w:rPr>
                <w:rFonts w:hint="eastAsia" w:ascii="仿宋" w:hAnsi="仿宋" w:eastAsia="仿宋" w:cs="仿宋_GB2312"/>
                <w:sz w:val="20"/>
                <w:szCs w:val="20"/>
              </w:rPr>
              <w:t>提高金融服务实体经济质效，促进经济金融良性互动和县域经济高质量发展，群众安全感和满意度得到进一步提升。</w:t>
            </w:r>
          </w:p>
        </w:tc>
        <w:tc>
          <w:tcPr>
            <w:tcW w:w="4253" w:type="dxa"/>
            <w:gridSpan w:val="4"/>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ascii="仿宋" w:hAnsi="仿宋" w:eastAsia="仿宋" w:cs="仿宋_GB2312"/>
                <w:sz w:val="20"/>
                <w:szCs w:val="20"/>
              </w:rPr>
              <w:t>提高金融服务实体经济质效，促进经济金融良性互动和县域经济高质量发展，群众安全感和满意度得到进一步提升。</w:t>
            </w:r>
            <w:r>
              <w:rPr>
                <w:rFonts w:hint="eastAsia" w:ascii="仿宋" w:hAnsi="仿宋" w:eastAsia="仿宋"/>
                <w:sz w:val="20"/>
                <w:szCs w:val="20"/>
              </w:rPr>
              <w:t>完成金融会议、活动4场；</w:t>
            </w:r>
            <w:r>
              <w:rPr>
                <w:rFonts w:hint="eastAsia" w:ascii="仿宋" w:hAnsi="仿宋" w:eastAsia="仿宋" w:cs="仿宋_GB2312"/>
                <w:sz w:val="20"/>
                <w:szCs w:val="20"/>
              </w:rPr>
              <w:t>助力恒兴建材完成了上市计划的专项审计和验资程序。</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绩</w:t>
            </w:r>
          </w:p>
          <w:p>
            <w:pPr>
              <w:widowControl/>
              <w:spacing w:line="260" w:lineRule="exact"/>
              <w:jc w:val="center"/>
              <w:rPr>
                <w:rFonts w:eastAsia="仿宋_GB2312"/>
                <w:color w:val="000000"/>
                <w:sz w:val="20"/>
                <w:szCs w:val="20"/>
              </w:rPr>
            </w:pPr>
            <w:r>
              <w:rPr>
                <w:rFonts w:eastAsia="仿宋_GB2312"/>
                <w:color w:val="000000"/>
                <w:sz w:val="20"/>
                <w:szCs w:val="20"/>
              </w:rPr>
              <w:t>效</w:t>
            </w:r>
          </w:p>
          <w:p>
            <w:pPr>
              <w:widowControl/>
              <w:spacing w:line="260" w:lineRule="exact"/>
              <w:jc w:val="center"/>
              <w:rPr>
                <w:rFonts w:eastAsia="仿宋_GB2312"/>
                <w:color w:val="000000"/>
                <w:sz w:val="20"/>
                <w:szCs w:val="20"/>
              </w:rPr>
            </w:pPr>
            <w:r>
              <w:rPr>
                <w:rFonts w:eastAsia="仿宋_GB2312"/>
                <w:color w:val="000000"/>
                <w:sz w:val="20"/>
                <w:szCs w:val="20"/>
              </w:rPr>
              <w:t>指</w:t>
            </w:r>
          </w:p>
          <w:p>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年度</w:t>
            </w:r>
          </w:p>
          <w:p>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实际</w:t>
            </w:r>
          </w:p>
          <w:p>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color="auto" w:sz="4" w:space="0"/>
              <w:right w:val="single" w:color="auto" w:sz="4" w:space="0"/>
            </w:tcBorders>
            <w:noWrap/>
            <w:vAlign w:val="center"/>
          </w:tcPr>
          <w:p>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产出指标</w:t>
            </w:r>
          </w:p>
          <w:p>
            <w:pPr>
              <w:widowControl/>
              <w:spacing w:line="260" w:lineRule="exact"/>
              <w:jc w:val="center"/>
              <w:rPr>
                <w:rFonts w:eastAsia="仿宋_GB2312"/>
                <w:color w:val="000000"/>
                <w:sz w:val="20"/>
                <w:szCs w:val="20"/>
              </w:rPr>
            </w:pPr>
            <w:r>
              <w:rPr>
                <w:rFonts w:eastAsia="仿宋_GB2312"/>
                <w:color w:val="000000"/>
                <w:sz w:val="20"/>
                <w:szCs w:val="20"/>
              </w:rPr>
              <w:t>(50分)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完成金融会议、活动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完成2场以上</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r>
              <w:rPr>
                <w:rFonts w:hint="eastAsia" w:ascii="仿宋" w:hAnsi="仿宋" w:eastAsia="仿宋"/>
                <w:sz w:val="20"/>
                <w:szCs w:val="20"/>
              </w:rPr>
              <w:t>4</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8</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cs="仿宋_GB2312"/>
                <w:sz w:val="20"/>
                <w:szCs w:val="20"/>
              </w:rPr>
              <w:t>助力企业上市“金芙蓉”跃升行动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cs="仿宋_GB2312"/>
                <w:sz w:val="20"/>
                <w:szCs w:val="20"/>
              </w:rPr>
              <w:t>助力企业上市“金芙蓉”跃升行动</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cs="仿宋_GB2312"/>
                <w:sz w:val="20"/>
                <w:szCs w:val="20"/>
              </w:rPr>
              <w:t>助力恒兴建材完成了上市计划的专项审计和验资程序</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697"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hint="eastAsia" w:eastAsia="仿宋_GB2312"/>
                <w:color w:val="000000"/>
                <w:sz w:val="20"/>
                <w:szCs w:val="20"/>
              </w:rPr>
              <w:t xml:space="preserve">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金融会议、活动是否安排执行到位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高质量执行到位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已高质量执行到位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金融工作是否落实到位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高质量落实到位</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已高质量落实到位</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653"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ascii="仿宋" w:hAnsi="仿宋" w:eastAsia="仿宋"/>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金融会议、活动按方案及时举行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按时举行</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已按时举行</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及时完成</w:t>
            </w:r>
            <w:r>
              <w:rPr>
                <w:rFonts w:hint="eastAsia" w:ascii="仿宋" w:hAnsi="仿宋" w:eastAsia="仿宋" w:cs="宋体"/>
                <w:sz w:val="20"/>
                <w:szCs w:val="20"/>
              </w:rPr>
              <w:t>金融</w:t>
            </w:r>
            <w:r>
              <w:rPr>
                <w:rFonts w:hint="eastAsia" w:ascii="仿宋" w:hAnsi="仿宋" w:eastAsia="仿宋"/>
                <w:sz w:val="20"/>
                <w:szCs w:val="20"/>
              </w:rPr>
              <w:t>各项工作</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sz w:val="20"/>
                <w:szCs w:val="20"/>
              </w:rPr>
            </w:pPr>
            <w:r>
              <w:rPr>
                <w:rFonts w:hint="eastAsia" w:ascii="仿宋" w:hAnsi="仿宋" w:eastAsia="仿宋"/>
                <w:sz w:val="20"/>
                <w:szCs w:val="20"/>
              </w:rPr>
              <w:t>按时完成</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s="宋体"/>
                <w:sz w:val="20"/>
                <w:szCs w:val="20"/>
              </w:rPr>
            </w:pPr>
            <w:r>
              <w:rPr>
                <w:rFonts w:hint="eastAsia" w:ascii="仿宋" w:hAnsi="仿宋" w:eastAsia="仿宋" w:cs="宋体"/>
                <w:sz w:val="20"/>
                <w:szCs w:val="20"/>
              </w:rPr>
              <w:t>已按时完成</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797"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完成金融会议、活动，成效显著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sz w:val="20"/>
                <w:szCs w:val="20"/>
              </w:rPr>
              <w:t>完成金融会议、活动，成效显著</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已完成，成效显著</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受到专题通报表扬或市委市政府、省委省政府表扬</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受到专题通报表扬或市委市政府、省委省政府表扬</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仿宋_GB2312"/>
                <w:sz w:val="20"/>
                <w:szCs w:val="20"/>
              </w:rPr>
              <w:t>金融“活水”浇灌乡村振兴“良田”的典型经验做法获得了省政府督查激励通报表扬</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6</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31"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效益指标</w:t>
            </w:r>
          </w:p>
          <w:p>
            <w:pPr>
              <w:widowControl/>
              <w:spacing w:line="260" w:lineRule="exact"/>
              <w:jc w:val="left"/>
              <w:rPr>
                <w:rFonts w:eastAsia="仿宋_GB2312"/>
                <w:color w:val="000000"/>
                <w:sz w:val="20"/>
                <w:szCs w:val="20"/>
              </w:rPr>
            </w:pPr>
            <w:r>
              <w:rPr>
                <w:rFonts w:eastAsia="仿宋_GB2312"/>
                <w:color w:val="000000"/>
                <w:sz w:val="20"/>
                <w:szCs w:val="20"/>
              </w:rPr>
              <w:t>（30分）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经济效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经济效益提升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9</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45"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trHeight w:val="408" w:hRule="atLeast"/>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社会效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社会效益提升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有所提升</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生态效</w:t>
            </w:r>
          </w:p>
          <w:p>
            <w:pPr>
              <w:widowControl/>
              <w:spacing w:line="260" w:lineRule="exact"/>
              <w:jc w:val="center"/>
              <w:rPr>
                <w:rFonts w:eastAsia="仿宋_GB2312"/>
                <w:color w:val="000000"/>
                <w:sz w:val="20"/>
                <w:szCs w:val="20"/>
              </w:rPr>
            </w:pPr>
            <w:r>
              <w:rPr>
                <w:rFonts w:eastAsia="仿宋_GB2312"/>
                <w:color w:val="000000"/>
                <w:sz w:val="20"/>
                <w:szCs w:val="20"/>
              </w:rPr>
              <w:t>益指标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满足生态需求</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生态需求得到满足</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p>
        </w:tc>
        <w:tc>
          <w:tcPr>
            <w:tcW w:w="1080" w:type="dxa"/>
            <w:vMerge w:val="continue"/>
            <w:tcBorders>
              <w:left w:val="nil"/>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restart"/>
            <w:tcBorders>
              <w:top w:val="single" w:color="auto" w:sz="4" w:space="0"/>
              <w:left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可持续</w:t>
            </w:r>
          </w:p>
          <w:p>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保持可持续发展影响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保持可持续发展影响</w:t>
            </w:r>
          </w:p>
        </w:tc>
        <w:tc>
          <w:tcPr>
            <w:tcW w:w="1134"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保持可持续发展影响</w:t>
            </w:r>
          </w:p>
        </w:tc>
        <w:tc>
          <w:tcPr>
            <w:tcW w:w="82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873"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7</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single" w:color="auto" w:sz="4" w:space="0"/>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ascii="仿宋" w:hAnsi="仿宋" w:eastAsia="仿宋"/>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p>
            <w:pPr>
              <w:widowControl/>
              <w:spacing w:line="260" w:lineRule="exact"/>
              <w:jc w:val="center"/>
              <w:rPr>
                <w:rFonts w:eastAsia="仿宋_GB2312"/>
                <w:color w:val="000000"/>
                <w:sz w:val="20"/>
                <w:szCs w:val="20"/>
              </w:rPr>
            </w:pPr>
            <w:r>
              <w:rPr>
                <w:rFonts w:eastAsia="仿宋_GB2312"/>
                <w:color w:val="000000"/>
                <w:sz w:val="20"/>
                <w:szCs w:val="20"/>
              </w:rPr>
              <w:t>（10分）</w:t>
            </w:r>
          </w:p>
        </w:tc>
        <w:tc>
          <w:tcPr>
            <w:tcW w:w="1080" w:type="dxa"/>
            <w:vMerge w:val="restart"/>
            <w:tcBorders>
              <w:top w:val="nil"/>
              <w:left w:val="nil"/>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服务对象满意度</w:t>
            </w:r>
          </w:p>
          <w:p>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向社会公众提供金融法律法规及相关政策的宣传</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s="新宋体"/>
                <w:color w:val="000000"/>
                <w:sz w:val="20"/>
                <w:szCs w:val="20"/>
              </w:rPr>
              <w:t>服务对象满意度≥90%</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ascii="仿宋" w:hAnsi="仿宋" w:eastAsia="仿宋"/>
                <w:color w:val="000000"/>
                <w:sz w:val="20"/>
                <w:szCs w:val="20"/>
              </w:rPr>
            </w:pPr>
            <w:r>
              <w:rPr>
                <w:rFonts w:hint="eastAsia" w:ascii="仿宋" w:hAnsi="仿宋" w:eastAsia="仿宋"/>
                <w:color w:val="000000"/>
                <w:sz w:val="20"/>
                <w:szCs w:val="20"/>
              </w:rPr>
              <w:t>满意度96%</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080" w:type="dxa"/>
            <w:vMerge w:val="continue"/>
            <w:tcBorders>
              <w:left w:val="nil"/>
              <w:right w:val="single" w:color="auto" w:sz="4" w:space="0"/>
            </w:tcBorders>
            <w:noWrap/>
            <w:vAlign w:val="center"/>
          </w:tcPr>
          <w:p>
            <w:pPr>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080" w:type="dxa"/>
            <w:vMerge w:val="continue"/>
            <w:tcBorders>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22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134"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2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color="auto" w:sz="4" w:space="0"/>
              <w:right w:val="single" w:color="auto" w:sz="4" w:space="0"/>
            </w:tcBorders>
            <w:noWrap/>
            <w:vAlign w:val="center"/>
          </w:tcPr>
          <w:p>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r>
              <w:rPr>
                <w:rFonts w:hint="eastAsia" w:eastAsia="仿宋_GB2312"/>
                <w:color w:val="000000"/>
                <w:sz w:val="20"/>
                <w:szCs w:val="20"/>
              </w:rPr>
              <w:t>100</w:t>
            </w:r>
          </w:p>
        </w:tc>
        <w:tc>
          <w:tcPr>
            <w:tcW w:w="1418" w:type="dxa"/>
            <w:tcBorders>
              <w:top w:val="nil"/>
              <w:left w:val="nil"/>
              <w:bottom w:val="single" w:color="auto" w:sz="4" w:space="0"/>
              <w:right w:val="single" w:color="auto" w:sz="4" w:space="0"/>
            </w:tcBorders>
            <w:noWrap/>
            <w:vAlign w:val="center"/>
          </w:tcPr>
          <w:p>
            <w:pPr>
              <w:widowControl/>
              <w:spacing w:line="260" w:lineRule="exact"/>
              <w:jc w:val="left"/>
              <w:rPr>
                <w:rFonts w:eastAsia="仿宋_GB2312"/>
                <w:color w:val="000000"/>
                <w:sz w:val="20"/>
                <w:szCs w:val="20"/>
              </w:rPr>
            </w:pPr>
            <w:r>
              <w:rPr>
                <w:rFonts w:eastAsia="仿宋_GB2312"/>
                <w:color w:val="000000"/>
                <w:sz w:val="20"/>
                <w:szCs w:val="20"/>
              </w:rPr>
              <w:t>　</w:t>
            </w:r>
          </w:p>
        </w:tc>
      </w:tr>
    </w:tbl>
    <w:p>
      <w:pPr>
        <w:rPr>
          <w:rFonts w:ascii="新宋体" w:hAnsi="新宋体" w:eastAsia="新宋体" w:cs="新宋体"/>
          <w:szCs w:val="21"/>
        </w:rPr>
      </w:pPr>
      <w:r>
        <w:rPr>
          <w:rFonts w:hint="eastAsia" w:ascii="新宋体" w:hAnsi="新宋体" w:eastAsia="新宋体" w:cs="新宋体"/>
          <w:szCs w:val="21"/>
        </w:rPr>
        <w:t>备注：一个一级项目支出一张表。如，业务工作经费，运行维护经费，XX项目资金…各一张表。</w:t>
      </w:r>
    </w:p>
    <w:p>
      <w:pPr>
        <w:pStyle w:val="2"/>
      </w:pPr>
    </w:p>
    <w:p/>
    <w:p>
      <w:pPr>
        <w:jc w:val="left"/>
        <w:rPr>
          <w:rFonts w:ascii="新宋体" w:hAnsi="新宋体" w:eastAsia="新宋体" w:cs="新宋体"/>
          <w:szCs w:val="21"/>
        </w:rPr>
      </w:pPr>
      <w:r>
        <w:rPr>
          <w:rFonts w:hint="eastAsia" w:ascii="新宋体" w:hAnsi="新宋体" w:eastAsia="新宋体" w:cs="新宋体"/>
          <w:szCs w:val="21"/>
        </w:rPr>
        <w:t>填表人：赵梦雅 填报日期：2023年7月12日 联系电话：18390158809单位负责人签字：</w:t>
      </w:r>
    </w:p>
    <w:p>
      <w:pPr>
        <w:pStyle w:val="2"/>
      </w:pPr>
    </w:p>
    <w:p>
      <w:pPr>
        <w:pStyle w:val="2"/>
      </w:pPr>
    </w:p>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微软雅黑" w:hAnsi="微软雅黑" w:eastAsia="微软雅黑" w:cs="微软雅黑"/>
          <w:sz w:val="44"/>
          <w:szCs w:val="44"/>
        </w:rPr>
      </w:pPr>
      <w:r>
        <w:rPr>
          <w:rFonts w:hint="eastAsia" w:ascii="微软雅黑" w:hAnsi="微软雅黑" w:eastAsia="微软雅黑" w:cs="微软雅黑"/>
          <w:sz w:val="44"/>
          <w:szCs w:val="44"/>
        </w:rPr>
        <w:t>2022年度华容县人民政府办公室部门（单位）金融项目支出绩效自评报告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ascii="仿宋" w:hAnsi="仿宋" w:eastAsia="仿宋"/>
          <w:sz w:val="32"/>
          <w:szCs w:val="32"/>
          <w:u w:val="single"/>
        </w:rPr>
        <w:t>华容县人民政府办公室</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12</w:t>
      </w:r>
      <w:r>
        <w:rPr>
          <w:rFonts w:eastAsia="楷体_GB2312"/>
          <w:sz w:val="32"/>
          <w:szCs w:val="32"/>
        </w:rPr>
        <w:t>日</w:t>
      </w:r>
    </w:p>
    <w:p>
      <w:pPr>
        <w:jc w:val="center"/>
        <w:rPr>
          <w:rFonts w:eastAsia="仿宋_GB2312"/>
          <w:sz w:val="32"/>
          <w:szCs w:val="32"/>
        </w:rPr>
      </w:pPr>
    </w:p>
    <w:p>
      <w:pPr>
        <w:spacing w:line="610" w:lineRule="exact"/>
        <w:jc w:val="center"/>
        <w:rPr>
          <w:rFonts w:ascii="微软雅黑" w:hAnsi="微软雅黑" w:eastAsia="微软雅黑" w:cs="微软雅黑"/>
          <w:sz w:val="44"/>
          <w:szCs w:val="44"/>
        </w:rPr>
      </w:pPr>
      <w:r>
        <w:rPr>
          <w:rFonts w:eastAsia="仿宋_GB2312"/>
          <w:sz w:val="32"/>
          <w:szCs w:val="32"/>
        </w:rPr>
        <w:br w:type="page"/>
      </w:r>
      <w:r>
        <w:rPr>
          <w:rFonts w:hint="eastAsia" w:ascii="微软雅黑" w:hAnsi="微软雅黑" w:eastAsia="微软雅黑" w:cs="微软雅黑"/>
          <w:sz w:val="44"/>
          <w:szCs w:val="44"/>
        </w:rPr>
        <w:t>2022年度容县人民政府办公室部门（单位）金融项目支出绩效自评报告</w:t>
      </w:r>
    </w:p>
    <w:p>
      <w:pPr>
        <w:spacing w:line="610" w:lineRule="exact"/>
        <w:ind w:firstLine="600" w:firstLineChars="200"/>
        <w:rPr>
          <w:rFonts w:ascii="黑体" w:hAnsi="黑体" w:eastAsia="黑体" w:cs="黑体"/>
          <w:sz w:val="30"/>
          <w:szCs w:val="30"/>
        </w:rPr>
      </w:pP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一、基本情况</w:t>
      </w:r>
    </w:p>
    <w:p>
      <w:pPr>
        <w:spacing w:line="610" w:lineRule="exact"/>
        <w:ind w:firstLine="600" w:firstLineChars="200"/>
        <w:rPr>
          <w:rFonts w:eastAsia="仿宋_GB2312"/>
          <w:sz w:val="30"/>
          <w:szCs w:val="30"/>
        </w:rPr>
      </w:pPr>
      <w:r>
        <w:rPr>
          <w:rFonts w:hint="eastAsia" w:eastAsia="仿宋_GB2312"/>
          <w:sz w:val="30"/>
          <w:szCs w:val="30"/>
        </w:rPr>
        <w:t>(一)项目概况。</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金融办提高金融服务实体经济质效，促进经济金融良性互动和县域经济高质量发展；充分发挥金融支持经济发展的血脉作用，积极创新新金融产品、科学引导金融机构为县域经济发展做贡献，加快华容芥菜产业高质量发展；助推乡村振兴，实施“党建+诚信金融”模式全覆盖；大力实施企业上市“金芙蓉”跃升行动；切实防控化解金融风险，全面推进不良贷款清收。2022年全年金融项目支出64万元。</w:t>
      </w:r>
    </w:p>
    <w:p>
      <w:pPr>
        <w:spacing w:line="610" w:lineRule="exact"/>
        <w:ind w:firstLine="600" w:firstLineChars="200"/>
        <w:rPr>
          <w:rFonts w:eastAsia="仿宋_GB2312"/>
          <w:sz w:val="30"/>
          <w:szCs w:val="30"/>
        </w:rPr>
      </w:pPr>
      <w:r>
        <w:rPr>
          <w:rFonts w:hint="eastAsia" w:eastAsia="仿宋_GB2312"/>
          <w:sz w:val="30"/>
          <w:szCs w:val="30"/>
        </w:rPr>
        <w:t>(二)项目绩效目标。</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2022年单位项目资金支付都是按照预算执行，实行专款专用，项目实施完成后，达到了预期经济效益及社会效益，圆满的完成了各项任务。</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总体目标：提高金融服务实体经济质效，促进经济金融良性互动和县域经济高质量发展，群众安全感和满意度得到进一步提升。</w:t>
      </w:r>
    </w:p>
    <w:p>
      <w:pPr>
        <w:pStyle w:val="2"/>
        <w:spacing w:line="560" w:lineRule="exact"/>
        <w:ind w:firstLine="600" w:firstLineChars="200"/>
        <w:rPr>
          <w:rFonts w:ascii="仿宋" w:hAnsi="仿宋" w:eastAsia="仿宋"/>
          <w:sz w:val="30"/>
          <w:szCs w:val="30"/>
        </w:rPr>
      </w:pPr>
      <w:r>
        <w:rPr>
          <w:rFonts w:hint="eastAsia" w:ascii="仿宋" w:hAnsi="仿宋" w:eastAsia="仿宋"/>
          <w:sz w:val="30"/>
          <w:szCs w:val="30"/>
        </w:rPr>
        <w:t>阶段性目标：2022年加快华容芥菜产业高质量发展；助推乡村振兴，实施“党建+诚信金融”模式全覆盖；大力实施企业上市“金芙蓉”跃升行动；切实防控化解金融风险，全面推进不良贷款清收。</w:t>
      </w:r>
    </w:p>
    <w:p>
      <w:pPr>
        <w:pStyle w:val="2"/>
        <w:spacing w:line="400" w:lineRule="exact"/>
        <w:ind w:firstLine="600" w:firstLineChars="200"/>
        <w:rPr>
          <w:rFonts w:ascii="黑体" w:hAnsi="黑体" w:eastAsia="黑体" w:cs="黑体"/>
          <w:sz w:val="30"/>
          <w:szCs w:val="30"/>
        </w:rPr>
      </w:pPr>
      <w:r>
        <w:rPr>
          <w:rFonts w:hint="eastAsia" w:ascii="黑体" w:hAnsi="黑体" w:eastAsia="黑体" w:cs="黑体"/>
          <w:sz w:val="30"/>
          <w:szCs w:val="30"/>
        </w:rPr>
        <w:t>二、绩效评价工作开展情况</w:t>
      </w:r>
    </w:p>
    <w:p>
      <w:pPr>
        <w:spacing w:line="610" w:lineRule="exact"/>
        <w:ind w:firstLine="600" w:firstLineChars="200"/>
        <w:rPr>
          <w:rFonts w:eastAsia="仿宋_GB2312"/>
          <w:sz w:val="30"/>
          <w:szCs w:val="30"/>
        </w:rPr>
      </w:pPr>
      <w:r>
        <w:rPr>
          <w:rFonts w:hint="eastAsia" w:eastAsia="仿宋_GB2312"/>
          <w:sz w:val="30"/>
          <w:szCs w:val="30"/>
        </w:rPr>
        <w:t>(一)绩效评价目的、对象和范围。</w:t>
      </w:r>
    </w:p>
    <w:p>
      <w:pPr>
        <w:pStyle w:val="2"/>
        <w:spacing w:line="560" w:lineRule="exact"/>
        <w:ind w:firstLine="600" w:firstLineChars="200"/>
        <w:rPr>
          <w:rFonts w:ascii="仿宋" w:hAnsi="仿宋" w:eastAsia="仿宋"/>
          <w:sz w:val="30"/>
          <w:szCs w:val="30"/>
        </w:rPr>
      </w:pPr>
      <w:r>
        <w:rPr>
          <w:rFonts w:ascii="仿宋" w:hAnsi="仿宋" w:eastAsia="仿宋"/>
          <w:sz w:val="30"/>
          <w:szCs w:val="30"/>
        </w:rPr>
        <w:t>20</w:t>
      </w:r>
      <w:r>
        <w:rPr>
          <w:rFonts w:hint="eastAsia" w:ascii="仿宋" w:hAnsi="仿宋" w:eastAsia="仿宋"/>
          <w:sz w:val="30"/>
          <w:szCs w:val="30"/>
        </w:rPr>
        <w:t>22年度预算安排的项目支出自行开展专项绩效自评。</w:t>
      </w:r>
    </w:p>
    <w:p>
      <w:pPr>
        <w:spacing w:line="610" w:lineRule="exact"/>
        <w:ind w:firstLine="600" w:firstLineChars="200"/>
        <w:rPr>
          <w:rFonts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eastAsia="仿宋_GB2312"/>
          <w:sz w:val="30"/>
          <w:szCs w:val="30"/>
        </w:rPr>
      </w:pPr>
      <w:r>
        <w:rPr>
          <w:rFonts w:hint="eastAsia" w:eastAsia="仿宋_GB2312"/>
          <w:sz w:val="30"/>
          <w:szCs w:val="30"/>
        </w:rPr>
        <w:t>根据项目实际，在《项目支出绩效评价指标评分表（共性）》上进一步完善、量化、细化个性指标，形成本项目的指标体系。</w:t>
      </w:r>
    </w:p>
    <w:p>
      <w:pPr>
        <w:spacing w:line="610" w:lineRule="exact"/>
        <w:ind w:firstLine="600" w:firstLineChars="200"/>
        <w:rPr>
          <w:rFonts w:eastAsia="仿宋_GB2312"/>
          <w:sz w:val="30"/>
          <w:szCs w:val="30"/>
        </w:rPr>
      </w:pPr>
      <w:r>
        <w:rPr>
          <w:rFonts w:hint="eastAsia" w:eastAsia="仿宋_GB2312"/>
          <w:sz w:val="30"/>
          <w:szCs w:val="30"/>
        </w:rPr>
        <w:t>(三)绩效评价工作过程。</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单位高度重视预算支出绩效自评工作，认真制定绩效评价工作方案，成立绩效自评工作组，选用科学合理的评价指标反应预算支出绩效水平。</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 xml:space="preserve">三、综合评价情况及评价结论 </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通过对2022年的项目决策、项目过程、项目产出、项目效益等内容的绩效考评，提高财政资金的使用效率，保障了机构的正常运转。2022年，较好地完成了项目工作目标，部门项目支出绩效评价为优。</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四、绩效评价指标分析</w:t>
      </w:r>
    </w:p>
    <w:p>
      <w:pPr>
        <w:spacing w:line="610" w:lineRule="exact"/>
        <w:ind w:firstLine="600" w:firstLineChars="200"/>
        <w:rPr>
          <w:rFonts w:eastAsia="仿宋_GB2312"/>
          <w:sz w:val="30"/>
          <w:szCs w:val="30"/>
        </w:rPr>
      </w:pPr>
      <w:r>
        <w:rPr>
          <w:rFonts w:hint="eastAsia" w:eastAsia="仿宋_GB2312"/>
          <w:sz w:val="30"/>
          <w:szCs w:val="30"/>
        </w:rPr>
        <w:t>(一)项目决策情况。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2022年单位项目资金下达及时，支付都是按照预算执行，及时完成支付。</w:t>
      </w:r>
    </w:p>
    <w:p>
      <w:pPr>
        <w:spacing w:line="610" w:lineRule="exact"/>
        <w:ind w:firstLine="600" w:firstLineChars="200"/>
        <w:rPr>
          <w:rFonts w:eastAsia="仿宋_GB2312"/>
          <w:sz w:val="30"/>
          <w:szCs w:val="30"/>
        </w:rPr>
      </w:pPr>
      <w:r>
        <w:rPr>
          <w:rFonts w:hint="eastAsia" w:eastAsia="仿宋_GB2312"/>
          <w:sz w:val="30"/>
          <w:szCs w:val="30"/>
        </w:rPr>
        <w:t xml:space="preserve"> (二)项目过程情况。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资金在资金使用和管理中，实际支出与计划规定的用途一致，资金收支平衡，资金分配做到公开、公平，按程序上报和审批，配备了工作能力强的工作人员，严格执行财务制度，无截留、挤占、挪用资金等违规行为，提高财政资金的使用效率。</w:t>
      </w:r>
    </w:p>
    <w:p>
      <w:pPr>
        <w:spacing w:line="610" w:lineRule="exact"/>
        <w:ind w:firstLine="600" w:firstLineChars="200"/>
        <w:rPr>
          <w:rFonts w:eastAsia="仿宋_GB2312"/>
          <w:sz w:val="30"/>
          <w:szCs w:val="30"/>
        </w:rPr>
      </w:pPr>
      <w:r>
        <w:rPr>
          <w:rFonts w:hint="eastAsia" w:eastAsia="仿宋_GB2312"/>
          <w:sz w:val="30"/>
          <w:szCs w:val="30"/>
        </w:rPr>
        <w:t>(三)项目产出情况。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2022年单位项目实施完成后，成功完成了各项目标工作任务。</w:t>
      </w:r>
    </w:p>
    <w:p>
      <w:pPr>
        <w:spacing w:line="610" w:lineRule="exact"/>
        <w:ind w:firstLine="600" w:firstLineChars="200"/>
        <w:rPr>
          <w:rFonts w:eastAsia="仿宋_GB2312"/>
          <w:sz w:val="30"/>
          <w:szCs w:val="30"/>
        </w:rPr>
      </w:pPr>
      <w:r>
        <w:rPr>
          <w:rFonts w:hint="eastAsia" w:eastAsia="仿宋_GB2312"/>
          <w:sz w:val="30"/>
          <w:szCs w:val="30"/>
        </w:rPr>
        <w:t>(四)项目效益情况。</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2022年单位圆满的完成了各项任务，项目达到了预期经济效益及社会效益。</w:t>
      </w:r>
    </w:p>
    <w:p>
      <w:pPr>
        <w:spacing w:line="610" w:lineRule="exact"/>
        <w:ind w:firstLine="600" w:firstLineChars="200"/>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1、项目成本（预算）控制:严格成本预算，严格控制成本支出，不乱花一分钱。</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2、项目成本（预算）节约:加强成本预算管理，杜绝不必要开支，厉行节约，年度无超预算支出。</w:t>
      </w:r>
    </w:p>
    <w:p>
      <w:pPr>
        <w:widowControl/>
        <w:spacing w:line="610" w:lineRule="exact"/>
        <w:ind w:firstLine="600" w:firstLineChars="200"/>
        <w:rPr>
          <w:rFonts w:ascii="仿宋_GB2312" w:eastAsia="仿宋_GB2312"/>
          <w:sz w:val="32"/>
          <w:szCs w:val="32"/>
        </w:rPr>
      </w:pPr>
      <w:r>
        <w:rPr>
          <w:rFonts w:hint="eastAsia" w:ascii="黑体" w:hAnsi="黑体" w:eastAsia="黑体" w:cs="黑体"/>
          <w:sz w:val="30"/>
          <w:szCs w:val="30"/>
        </w:rPr>
        <w:t>六、其他需要说明的问题</w:t>
      </w:r>
    </w:p>
    <w:p>
      <w:pPr>
        <w:rPr>
          <w:rFonts w:ascii="仿宋" w:hAnsi="仿宋" w:eastAsia="仿宋"/>
          <w:sz w:val="30"/>
          <w:szCs w:val="30"/>
        </w:rPr>
      </w:pPr>
      <w:r>
        <w:rPr>
          <w:rFonts w:hint="eastAsia"/>
        </w:rPr>
        <w:t xml:space="preserve">      </w:t>
      </w:r>
      <w:r>
        <w:rPr>
          <w:rFonts w:hint="eastAsia" w:ascii="仿宋" w:hAnsi="仿宋" w:eastAsia="仿宋"/>
          <w:sz w:val="30"/>
          <w:szCs w:val="30"/>
        </w:rPr>
        <w:t>无。</w:t>
      </w:r>
    </w:p>
    <w:p>
      <w:pPr>
        <w:rPr>
          <w:rFonts w:ascii="仿宋_GB2312" w:eastAsia="仿宋_GB2312"/>
          <w:sz w:val="32"/>
          <w:szCs w:val="32"/>
        </w:rPr>
      </w:pPr>
    </w:p>
    <w:sectPr>
      <w:pgSz w:w="11906" w:h="16838"/>
      <w:pgMar w:top="1984" w:right="1701" w:bottom="198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C62E4C-7406-4060-B86B-6116D835700E}"/>
  </w:font>
  <w:font w:name="Arial">
    <w:panose1 w:val="020B0604020202020204"/>
    <w:charset w:val="01"/>
    <w:family w:val="swiss"/>
    <w:pitch w:val="default"/>
    <w:sig w:usb0="E0002AFF" w:usb1="C0007843" w:usb2="00000009" w:usb3="00000000" w:csb0="400001FF" w:csb1="FFFF0000"/>
    <w:embedRegular r:id="rId2" w:fontKey="{BDDDA376-3EE4-4B78-9288-29217D7C412D}"/>
  </w:font>
  <w:font w:name="黑体">
    <w:panose1 w:val="02010609060101010101"/>
    <w:charset w:val="86"/>
    <w:family w:val="auto"/>
    <w:pitch w:val="default"/>
    <w:sig w:usb0="800002BF" w:usb1="38CF7CFA" w:usb2="00000016" w:usb3="00000000" w:csb0="00040001" w:csb1="00000000"/>
    <w:embedRegular r:id="rId3" w:fontKey="{60C678D5-62E5-4016-ADFE-5637C9FEE6C9}"/>
  </w:font>
  <w:font w:name="Courier New">
    <w:panose1 w:val="02070309020205020404"/>
    <w:charset w:val="01"/>
    <w:family w:val="modern"/>
    <w:pitch w:val="default"/>
    <w:sig w:usb0="E0002AFF" w:usb1="C0007843" w:usb2="00000009" w:usb3="00000000" w:csb0="400001FF" w:csb1="FFFF0000"/>
    <w:embedRegular r:id="rId4" w:fontKey="{D88C2DFA-6000-4B07-B35D-7BD5C9AD9322}"/>
  </w:font>
  <w:font w:name="Symbol">
    <w:panose1 w:val="05050102010706020507"/>
    <w:charset w:val="02"/>
    <w:family w:val="roman"/>
    <w:pitch w:val="default"/>
    <w:sig w:usb0="00000000" w:usb1="00000000" w:usb2="00000000" w:usb3="00000000" w:csb0="80000000" w:csb1="00000000"/>
    <w:embedRegular r:id="rId5" w:fontKey="{50459D54-9821-4FEA-92C5-F7D539278BBC}"/>
  </w:font>
  <w:font w:name="Calibri">
    <w:panose1 w:val="020F0502020204030204"/>
    <w:charset w:val="00"/>
    <w:family w:val="swiss"/>
    <w:pitch w:val="default"/>
    <w:sig w:usb0="E10002FF" w:usb1="4000ACFF" w:usb2="00000009" w:usb3="00000000" w:csb0="2000019F" w:csb1="00000000"/>
    <w:embedRegular r:id="rId6" w:fontKey="{8AEB9CAA-7236-4DD3-8F30-8144D730441B}"/>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embedRegular r:id="rId7" w:fontKey="{4CCAA579-AA9C-4F12-82E0-6467E5776C63}"/>
  </w:font>
  <w:font w:name="仿宋_GB2312">
    <w:altName w:val="仿宋"/>
    <w:panose1 w:val="00000000000000000000"/>
    <w:charset w:val="86"/>
    <w:family w:val="auto"/>
    <w:pitch w:val="default"/>
    <w:sig w:usb0="00000000" w:usb1="00000000" w:usb2="00000000" w:usb3="00000000" w:csb0="00040000" w:csb1="00000000"/>
    <w:embedRegular r:id="rId8" w:fontKey="{96B71856-7915-4686-A676-B5BD6997E935}"/>
  </w:font>
  <w:font w:name="方正小标宋_GBK">
    <w:panose1 w:val="03000509000000000000"/>
    <w:charset w:val="86"/>
    <w:family w:val="script"/>
    <w:pitch w:val="default"/>
    <w:sig w:usb0="00000001" w:usb1="080E0000" w:usb2="00000000" w:usb3="00000000" w:csb0="00040000" w:csb1="00000000"/>
    <w:embedRegular r:id="rId9" w:fontKey="{45E14C9E-41E1-45D7-9D6D-FEFBA34B3F7E}"/>
  </w:font>
  <w:font w:name="楷体_GB2312">
    <w:altName w:val="楷体"/>
    <w:panose1 w:val="00000000000000000000"/>
    <w:charset w:val="86"/>
    <w:family w:val="auto"/>
    <w:pitch w:val="default"/>
    <w:sig w:usb0="00000000" w:usb1="00000000" w:usb2="00000000" w:usb3="00000000" w:csb0="00040000" w:csb1="00000000"/>
    <w:embedRegular r:id="rId10" w:fontKey="{DAEBC8B9-76BA-46A0-8C32-E5BDBBBFD62A}"/>
  </w:font>
  <w:font w:name="仿宋">
    <w:panose1 w:val="02010609060101010101"/>
    <w:charset w:val="86"/>
    <w:family w:val="modern"/>
    <w:pitch w:val="default"/>
    <w:sig w:usb0="800002BF" w:usb1="38CF7CFA" w:usb2="00000016" w:usb3="00000000" w:csb0="00040001" w:csb1="00000000"/>
    <w:embedRegular r:id="rId11" w:fontKey="{2F647399-5FD9-42BF-BD31-FCB2782EF755}"/>
  </w:font>
  <w:font w:name="___WRD_EMBED_SUB_40">
    <w:panose1 w:val="02010609030101010101"/>
    <w:charset w:val="86"/>
    <w:family w:val="auto"/>
    <w:pitch w:val="default"/>
    <w:sig w:usb0="00000001" w:usb1="080E0000" w:usb2="00000000" w:usb3="00000000" w:csb0="00040000" w:csb1="00000000"/>
    <w:embedRegular r:id="rId12" w:fontKey="{EF5573BD-E786-4B9C-8531-913DFD2243C3}"/>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embedRegular r:id="rId13" w:fontKey="{2C04D141-DE2B-4C22-8D90-0BE5E06818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rFonts w:ascii="仿宋_GB2312" w:eastAsia="仿宋_GB2312"/>
        <w:sz w:val="28"/>
        <w:szCs w:val="28"/>
      </w:rP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joinstyle="miter"/>
          <v:imagedata o:title=""/>
          <o:lock v:ext="edit"/>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25</w:t>
                </w:r>
                <w:r>
                  <w:rPr>
                    <w:rFonts w:ascii="仿宋_GB2312" w:eastAsia="仿宋_GB2312"/>
                    <w:sz w:val="28"/>
                    <w:szCs w:val="28"/>
                  </w:rPr>
                  <w:fldChar w:fldCharType="end"/>
                </w:r>
                <w:r>
                  <w:rPr>
                    <w:rFonts w:ascii="仿宋_GB2312" w:eastAsia="仿宋_GB2312"/>
                    <w:sz w:val="28"/>
                    <w:szCs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167612"/>
    <w:multiLevelType w:val="multilevel"/>
    <w:tmpl w:val="21167612"/>
    <w:lvl w:ilvl="0" w:tentative="0">
      <w:start w:val="3"/>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54A179C4"/>
    <w:multiLevelType w:val="multilevel"/>
    <w:tmpl w:val="54A179C4"/>
    <w:lvl w:ilvl="0" w:tentative="0">
      <w:start w:val="1"/>
      <w:numFmt w:val="japaneseCounting"/>
      <w:lvlText w:val="%1、"/>
      <w:lvlJc w:val="left"/>
      <w:pPr>
        <w:ind w:left="1312" w:hanging="672"/>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80E68C7"/>
    <w:multiLevelType w:val="multilevel"/>
    <w:tmpl w:val="580E68C7"/>
    <w:lvl w:ilvl="0" w:tentative="0">
      <w:start w:val="1"/>
      <w:numFmt w:val="decimalEnclosedCircle"/>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QzZjc5NTllMGFiYmY5NmVhMTllZTJlYTQ3YTVjMjgifQ=="/>
  </w:docVars>
  <w:rsids>
    <w:rsidRoot w:val="0CCB7736"/>
    <w:rsid w:val="00005865"/>
    <w:rsid w:val="00005B92"/>
    <w:rsid w:val="000069CB"/>
    <w:rsid w:val="000238DA"/>
    <w:rsid w:val="00024425"/>
    <w:rsid w:val="00047FEF"/>
    <w:rsid w:val="00063484"/>
    <w:rsid w:val="00071D92"/>
    <w:rsid w:val="000726B4"/>
    <w:rsid w:val="00073DC9"/>
    <w:rsid w:val="000820BC"/>
    <w:rsid w:val="000828F4"/>
    <w:rsid w:val="000A3906"/>
    <w:rsid w:val="000A7D06"/>
    <w:rsid w:val="000B276D"/>
    <w:rsid w:val="000B2864"/>
    <w:rsid w:val="000B4740"/>
    <w:rsid w:val="000D0E72"/>
    <w:rsid w:val="000E6244"/>
    <w:rsid w:val="000F6BA9"/>
    <w:rsid w:val="0010059E"/>
    <w:rsid w:val="001008B1"/>
    <w:rsid w:val="00123592"/>
    <w:rsid w:val="00140571"/>
    <w:rsid w:val="001436CC"/>
    <w:rsid w:val="001520C2"/>
    <w:rsid w:val="00155EFB"/>
    <w:rsid w:val="001776F1"/>
    <w:rsid w:val="001818B8"/>
    <w:rsid w:val="001911A0"/>
    <w:rsid w:val="00194E6B"/>
    <w:rsid w:val="001B18A9"/>
    <w:rsid w:val="001B354B"/>
    <w:rsid w:val="001C5E5E"/>
    <w:rsid w:val="001C7E3D"/>
    <w:rsid w:val="001D16DB"/>
    <w:rsid w:val="001D4750"/>
    <w:rsid w:val="001E54FF"/>
    <w:rsid w:val="00205A3B"/>
    <w:rsid w:val="0022267F"/>
    <w:rsid w:val="0022379C"/>
    <w:rsid w:val="00224527"/>
    <w:rsid w:val="002413B2"/>
    <w:rsid w:val="0024574C"/>
    <w:rsid w:val="0025097C"/>
    <w:rsid w:val="00261A38"/>
    <w:rsid w:val="00264DBF"/>
    <w:rsid w:val="0028489D"/>
    <w:rsid w:val="002862E8"/>
    <w:rsid w:val="002C0675"/>
    <w:rsid w:val="002D09B3"/>
    <w:rsid w:val="002E5882"/>
    <w:rsid w:val="0031016A"/>
    <w:rsid w:val="00316756"/>
    <w:rsid w:val="00317491"/>
    <w:rsid w:val="003238E9"/>
    <w:rsid w:val="00324ED9"/>
    <w:rsid w:val="00326799"/>
    <w:rsid w:val="00331644"/>
    <w:rsid w:val="00336196"/>
    <w:rsid w:val="00342CA0"/>
    <w:rsid w:val="003471EF"/>
    <w:rsid w:val="00352637"/>
    <w:rsid w:val="003706FC"/>
    <w:rsid w:val="003904E9"/>
    <w:rsid w:val="00393EF6"/>
    <w:rsid w:val="003B27D6"/>
    <w:rsid w:val="003C091A"/>
    <w:rsid w:val="003C73AB"/>
    <w:rsid w:val="003E1A07"/>
    <w:rsid w:val="003E21FC"/>
    <w:rsid w:val="003E3DCF"/>
    <w:rsid w:val="003E6670"/>
    <w:rsid w:val="00401D92"/>
    <w:rsid w:val="00416C70"/>
    <w:rsid w:val="004239BF"/>
    <w:rsid w:val="00425676"/>
    <w:rsid w:val="00426839"/>
    <w:rsid w:val="00432FD2"/>
    <w:rsid w:val="00441F25"/>
    <w:rsid w:val="00453D0F"/>
    <w:rsid w:val="00455625"/>
    <w:rsid w:val="00470F2E"/>
    <w:rsid w:val="00493191"/>
    <w:rsid w:val="00493CBD"/>
    <w:rsid w:val="004A4BA3"/>
    <w:rsid w:val="004B6828"/>
    <w:rsid w:val="004C0F2A"/>
    <w:rsid w:val="00513DD9"/>
    <w:rsid w:val="00514BF1"/>
    <w:rsid w:val="00516189"/>
    <w:rsid w:val="00525028"/>
    <w:rsid w:val="005303FC"/>
    <w:rsid w:val="0055160B"/>
    <w:rsid w:val="00567846"/>
    <w:rsid w:val="005934E2"/>
    <w:rsid w:val="005C3A48"/>
    <w:rsid w:val="005D3162"/>
    <w:rsid w:val="005D3FA1"/>
    <w:rsid w:val="005D4556"/>
    <w:rsid w:val="005F16D9"/>
    <w:rsid w:val="0060220D"/>
    <w:rsid w:val="00610E00"/>
    <w:rsid w:val="00626F17"/>
    <w:rsid w:val="00637482"/>
    <w:rsid w:val="0065322B"/>
    <w:rsid w:val="00654C07"/>
    <w:rsid w:val="006621C9"/>
    <w:rsid w:val="0066742E"/>
    <w:rsid w:val="00697A85"/>
    <w:rsid w:val="00697F39"/>
    <w:rsid w:val="006A4D42"/>
    <w:rsid w:val="006A6B61"/>
    <w:rsid w:val="006B366F"/>
    <w:rsid w:val="006B7606"/>
    <w:rsid w:val="006C3926"/>
    <w:rsid w:val="006E1C6F"/>
    <w:rsid w:val="006E3605"/>
    <w:rsid w:val="006E42A2"/>
    <w:rsid w:val="006F0A16"/>
    <w:rsid w:val="00702BF5"/>
    <w:rsid w:val="007169B5"/>
    <w:rsid w:val="00722951"/>
    <w:rsid w:val="0073530D"/>
    <w:rsid w:val="00736BDA"/>
    <w:rsid w:val="00773328"/>
    <w:rsid w:val="00773C04"/>
    <w:rsid w:val="00786C66"/>
    <w:rsid w:val="00790E9D"/>
    <w:rsid w:val="007C07C3"/>
    <w:rsid w:val="007C2D27"/>
    <w:rsid w:val="007C3BCE"/>
    <w:rsid w:val="00804A80"/>
    <w:rsid w:val="008152CF"/>
    <w:rsid w:val="00821399"/>
    <w:rsid w:val="00821883"/>
    <w:rsid w:val="008311FE"/>
    <w:rsid w:val="00834B9C"/>
    <w:rsid w:val="0084451A"/>
    <w:rsid w:val="0085321A"/>
    <w:rsid w:val="00865437"/>
    <w:rsid w:val="00870BB4"/>
    <w:rsid w:val="00873438"/>
    <w:rsid w:val="00894FCE"/>
    <w:rsid w:val="0089577C"/>
    <w:rsid w:val="008D16C6"/>
    <w:rsid w:val="008F20B5"/>
    <w:rsid w:val="00901024"/>
    <w:rsid w:val="00915959"/>
    <w:rsid w:val="00917857"/>
    <w:rsid w:val="00934402"/>
    <w:rsid w:val="0094026C"/>
    <w:rsid w:val="00941D90"/>
    <w:rsid w:val="00944347"/>
    <w:rsid w:val="00951C47"/>
    <w:rsid w:val="0095419A"/>
    <w:rsid w:val="009564D5"/>
    <w:rsid w:val="00961F71"/>
    <w:rsid w:val="00976733"/>
    <w:rsid w:val="00986287"/>
    <w:rsid w:val="00995C3D"/>
    <w:rsid w:val="009A5ED8"/>
    <w:rsid w:val="009B3E84"/>
    <w:rsid w:val="009C38A3"/>
    <w:rsid w:val="009D25E1"/>
    <w:rsid w:val="009E145D"/>
    <w:rsid w:val="009E57E4"/>
    <w:rsid w:val="009E7F0F"/>
    <w:rsid w:val="009F7D7B"/>
    <w:rsid w:val="00A03418"/>
    <w:rsid w:val="00A1319C"/>
    <w:rsid w:val="00A22E6A"/>
    <w:rsid w:val="00A52BB6"/>
    <w:rsid w:val="00A5531E"/>
    <w:rsid w:val="00A6106D"/>
    <w:rsid w:val="00A640DE"/>
    <w:rsid w:val="00A755C2"/>
    <w:rsid w:val="00AA4034"/>
    <w:rsid w:val="00AB37C5"/>
    <w:rsid w:val="00AB7D11"/>
    <w:rsid w:val="00AD3545"/>
    <w:rsid w:val="00AD4D9F"/>
    <w:rsid w:val="00AD768A"/>
    <w:rsid w:val="00AF31A6"/>
    <w:rsid w:val="00B102E2"/>
    <w:rsid w:val="00B11C4F"/>
    <w:rsid w:val="00B20CB9"/>
    <w:rsid w:val="00B41C6C"/>
    <w:rsid w:val="00B46848"/>
    <w:rsid w:val="00B762AC"/>
    <w:rsid w:val="00B85828"/>
    <w:rsid w:val="00BB0ACB"/>
    <w:rsid w:val="00BB4A54"/>
    <w:rsid w:val="00BC5412"/>
    <w:rsid w:val="00BC61DC"/>
    <w:rsid w:val="00BD0EE4"/>
    <w:rsid w:val="00C00FB7"/>
    <w:rsid w:val="00C1763A"/>
    <w:rsid w:val="00C17E20"/>
    <w:rsid w:val="00C232A9"/>
    <w:rsid w:val="00C27A9A"/>
    <w:rsid w:val="00C33453"/>
    <w:rsid w:val="00C431B2"/>
    <w:rsid w:val="00C51989"/>
    <w:rsid w:val="00C66C84"/>
    <w:rsid w:val="00C742F5"/>
    <w:rsid w:val="00C76056"/>
    <w:rsid w:val="00C913D1"/>
    <w:rsid w:val="00CB315D"/>
    <w:rsid w:val="00CB594F"/>
    <w:rsid w:val="00CC50F6"/>
    <w:rsid w:val="00CE3DB1"/>
    <w:rsid w:val="00CF1233"/>
    <w:rsid w:val="00CF6913"/>
    <w:rsid w:val="00D03C1D"/>
    <w:rsid w:val="00D10BCB"/>
    <w:rsid w:val="00D26CEC"/>
    <w:rsid w:val="00D3687A"/>
    <w:rsid w:val="00D40AA4"/>
    <w:rsid w:val="00D525CB"/>
    <w:rsid w:val="00D57834"/>
    <w:rsid w:val="00D66850"/>
    <w:rsid w:val="00D66E1E"/>
    <w:rsid w:val="00D77FB1"/>
    <w:rsid w:val="00D8646C"/>
    <w:rsid w:val="00D948FD"/>
    <w:rsid w:val="00DA6B34"/>
    <w:rsid w:val="00DB5C0A"/>
    <w:rsid w:val="00DB6B29"/>
    <w:rsid w:val="00DD715F"/>
    <w:rsid w:val="00DE4586"/>
    <w:rsid w:val="00E05444"/>
    <w:rsid w:val="00E137D7"/>
    <w:rsid w:val="00E211BC"/>
    <w:rsid w:val="00E33845"/>
    <w:rsid w:val="00E40190"/>
    <w:rsid w:val="00E5565E"/>
    <w:rsid w:val="00E72263"/>
    <w:rsid w:val="00E76A91"/>
    <w:rsid w:val="00E85ECE"/>
    <w:rsid w:val="00E932F8"/>
    <w:rsid w:val="00EC1470"/>
    <w:rsid w:val="00ED50B6"/>
    <w:rsid w:val="00ED6AF6"/>
    <w:rsid w:val="00EE134F"/>
    <w:rsid w:val="00EE64C3"/>
    <w:rsid w:val="00EE6B0C"/>
    <w:rsid w:val="00F01844"/>
    <w:rsid w:val="00F02986"/>
    <w:rsid w:val="00F03D51"/>
    <w:rsid w:val="00F06857"/>
    <w:rsid w:val="00F353E0"/>
    <w:rsid w:val="00F4693C"/>
    <w:rsid w:val="00F623C9"/>
    <w:rsid w:val="00F753AF"/>
    <w:rsid w:val="00F75589"/>
    <w:rsid w:val="00F93909"/>
    <w:rsid w:val="00F95123"/>
    <w:rsid w:val="00FA7044"/>
    <w:rsid w:val="00FA78B2"/>
    <w:rsid w:val="00FB5D8C"/>
    <w:rsid w:val="00FC0E29"/>
    <w:rsid w:val="00FD1A14"/>
    <w:rsid w:val="00FF35C2"/>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59F4D3D"/>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99"/>
    <w:rPr>
      <w:rFonts w:cs="Times New Roman"/>
    </w:rPr>
  </w:style>
  <w:style w:type="character" w:customStyle="1" w:styleId="11">
    <w:name w:val="页脚 Char"/>
    <w:basedOn w:val="9"/>
    <w:link w:val="4"/>
    <w:qFormat/>
    <w:uiPriority w:val="99"/>
    <w:rPr>
      <w:sz w:val="18"/>
      <w:szCs w:val="18"/>
    </w:rPr>
  </w:style>
  <w:style w:type="character" w:customStyle="1" w:styleId="12">
    <w:name w:val="页眉 Char"/>
    <w:basedOn w:val="9"/>
    <w:link w:val="5"/>
    <w:semiHidden/>
    <w:qFormat/>
    <w:uiPriority w:val="99"/>
    <w:rPr>
      <w:sz w:val="18"/>
      <w:szCs w:val="18"/>
    </w:r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30</Pages>
  <Words>13479</Words>
  <Characters>14261</Characters>
  <Lines>118</Lines>
  <Paragraphs>33</Paragraphs>
  <TotalTime>1162</TotalTime>
  <ScaleCrop>false</ScaleCrop>
  <LinksUpToDate>false</LinksUpToDate>
  <CharactersWithSpaces>14616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戴</cp:lastModifiedBy>
  <cp:lastPrinted>2023-07-13T09:49:00Z</cp:lastPrinted>
  <dcterms:modified xsi:type="dcterms:W3CDTF">2023-07-18T00:32:21Z</dcterms:modified>
  <cp:revision>363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