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4"/>
        <w:jc w:val="left"/>
        <w:outlineLvl w:val="9"/>
        <w:rPr>
          <w:rFonts w:hint="eastAsia"/>
          <w:sz w:val="44"/>
          <w:szCs w:val="44"/>
        </w:rPr>
      </w:pPr>
      <w:bookmarkStart w:id="0" w:name="_Toc21849"/>
      <w:bookmarkStart w:id="1" w:name="_Toc11252"/>
      <w:bookmarkStart w:id="2" w:name="_Toc19238"/>
      <w:r>
        <w:rPr>
          <w:rFonts w:hint="eastAsia"/>
          <w:sz w:val="44"/>
          <w:szCs w:val="44"/>
        </w:rPr>
        <w:t xml:space="preserve">  </w:t>
      </w:r>
      <w:bookmarkStart w:id="3" w:name="_Toc2190"/>
      <w:bookmarkStart w:id="4" w:name="_Toc15697"/>
      <w:bookmarkStart w:id="5" w:name="_Toc8547"/>
      <w:bookmarkStart w:id="6" w:name="_Toc23858"/>
      <w:bookmarkStart w:id="7" w:name="_Toc31316"/>
      <w:bookmarkStart w:id="8" w:name="_Toc262"/>
      <w:r>
        <w:rPr>
          <w:rFonts w:hint="eastAsia"/>
          <w:b/>
          <w:color w:val="FF0000"/>
          <w:w w:val="80"/>
          <w:sz w:val="78"/>
          <w:szCs w:val="78"/>
          <w:u w:val="single"/>
        </w:rPr>
        <w:pict>
          <v:shape id="_x0000_i1025" o:spt="136" type="#_x0000_t136" style="height:66.1pt;width:451.65pt;" fillcolor="#FF0000" filled="t" stroked="t" coordsize="21600,21600" adj="10800">
            <v:path/>
            <v:fill on="t" color2="#FFFFFF" focussize="0,0"/>
            <v:stroke color="#FF0000"/>
            <v:imagedata o:title=""/>
            <o:lock v:ext="edit" aspectratio="f"/>
            <v:textpath on="t" fitshape="t" fitpath="t" trim="t" xscale="f" string="华容县交通运输局文件" style="font-family:宋体;font-size:36pt;v-text-align:center;"/>
            <w10:wrap type="none"/>
            <w10:anchorlock/>
          </v:shape>
        </w:pict>
      </w:r>
      <w:bookmarkEnd w:id="3"/>
      <w:bookmarkEnd w:id="4"/>
      <w:bookmarkEnd w:id="5"/>
      <w:bookmarkEnd w:id="6"/>
      <w:bookmarkEnd w:id="7"/>
      <w:bookmarkEnd w:id="8"/>
    </w:p>
    <w:p>
      <w:pPr>
        <w:tabs>
          <w:tab w:val="left" w:pos="7816"/>
        </w:tabs>
        <w:rPr>
          <w:rFonts w:hint="eastAsia" w:eastAsiaTheme="minorEastAsia"/>
          <w:sz w:val="44"/>
          <w:szCs w:val="44"/>
          <w:lang w:eastAsia="zh-CN"/>
        </w:rPr>
      </w:pPr>
      <w:r>
        <w:rPr>
          <w:rFonts w:hint="eastAsia"/>
          <w:sz w:val="44"/>
          <w:szCs w:val="44"/>
          <w:lang w:eastAsia="zh-CN"/>
        </w:rPr>
        <w:tab/>
      </w:r>
    </w:p>
    <w:p>
      <w:pPr>
        <w:rPr>
          <w:rFonts w:hint="eastAsia"/>
          <w:sz w:val="44"/>
          <w:szCs w:val="44"/>
        </w:rPr>
      </w:pPr>
    </w:p>
    <w:p>
      <w:pPr>
        <w:pStyle w:val="4"/>
        <w:keepNext/>
        <w:keepLines/>
        <w:pageBreakBefore w:val="0"/>
        <w:widowControl w:val="0"/>
        <w:kinsoku/>
        <w:wordWrap/>
        <w:overflowPunct/>
        <w:topLinePunct w:val="0"/>
        <w:autoSpaceDE/>
        <w:autoSpaceDN/>
        <w:bidi w:val="0"/>
        <w:adjustRightInd/>
        <w:snapToGrid/>
        <w:spacing w:line="560" w:lineRule="exact"/>
        <w:textAlignment w:val="auto"/>
        <w:outlineLvl w:val="9"/>
        <w:rPr>
          <w:rFonts w:hint="eastAsia" w:asciiTheme="majorEastAsia" w:hAnsiTheme="majorEastAsia" w:eastAsiaTheme="majorEastAsia" w:cstheme="majorEastAsia"/>
          <w:sz w:val="72"/>
          <w:szCs w:val="72"/>
          <w:lang w:val="en-US" w:eastAsia="zh-CN"/>
        </w:rPr>
      </w:pPr>
      <w:r>
        <w:rPr>
          <w:rFonts w:hint="eastAsia"/>
          <w:sz w:val="52"/>
          <w:szCs w:val="52"/>
          <w:lang w:val="en-US" w:eastAsia="zh-CN"/>
        </w:rPr>
        <w:t xml:space="preserve">        </w:t>
      </w:r>
      <w:bookmarkStart w:id="9" w:name="_Toc20189"/>
      <w:bookmarkStart w:id="10" w:name="_Toc1276"/>
      <w:bookmarkStart w:id="11" w:name="_Toc31280"/>
      <w:bookmarkStart w:id="12" w:name="_Toc8994"/>
      <w:r>
        <w:rPr>
          <w:rFonts w:hint="eastAsia" w:asciiTheme="majorEastAsia" w:hAnsiTheme="majorEastAsia" w:eastAsiaTheme="majorEastAsia" w:cstheme="majorEastAsia"/>
          <w:sz w:val="72"/>
          <w:szCs w:val="72"/>
          <w:lang w:val="en-US" w:eastAsia="zh-CN"/>
        </w:rPr>
        <w:t>华容县交通运输</w:t>
      </w:r>
      <w:bookmarkEnd w:id="9"/>
      <w:bookmarkEnd w:id="10"/>
      <w:bookmarkEnd w:id="11"/>
      <w:bookmarkEnd w:id="12"/>
    </w:p>
    <w:p>
      <w:pPr>
        <w:pStyle w:val="4"/>
        <w:jc w:val="center"/>
        <w:outlineLvl w:val="0"/>
        <w:rPr>
          <w:rFonts w:hint="eastAsia" w:asciiTheme="majorEastAsia" w:hAnsiTheme="majorEastAsia" w:eastAsiaTheme="majorEastAsia" w:cstheme="majorEastAsia"/>
          <w:sz w:val="72"/>
          <w:szCs w:val="72"/>
        </w:rPr>
      </w:pPr>
      <w:bookmarkStart w:id="13" w:name="_Toc24738"/>
      <w:bookmarkStart w:id="14" w:name="_Toc8825"/>
      <w:bookmarkStart w:id="15" w:name="_Toc6502"/>
      <w:bookmarkStart w:id="16" w:name="_Toc3775"/>
      <w:bookmarkStart w:id="17" w:name="_Toc17215"/>
      <w:bookmarkStart w:id="18" w:name="_Toc29301"/>
      <w:bookmarkStart w:id="19" w:name="_Toc7119"/>
      <w:bookmarkStart w:id="20" w:name="_Toc511"/>
      <w:bookmarkStart w:id="21" w:name="_Toc19303"/>
      <w:bookmarkStart w:id="22" w:name="_Toc23206"/>
      <w:bookmarkStart w:id="23" w:name="_Toc17447"/>
      <w:r>
        <w:rPr>
          <w:rFonts w:hint="eastAsia" w:asciiTheme="majorEastAsia" w:hAnsiTheme="majorEastAsia" w:eastAsiaTheme="majorEastAsia" w:cstheme="majorEastAsia"/>
          <w:sz w:val="72"/>
          <w:szCs w:val="144"/>
        </w:rPr>
        <w:t>突发事件</w:t>
      </w:r>
      <w:r>
        <w:rPr>
          <w:rFonts w:hint="eastAsia" w:asciiTheme="majorEastAsia" w:hAnsiTheme="majorEastAsia" w:eastAsiaTheme="majorEastAsia" w:cstheme="majorEastAsia"/>
          <w:sz w:val="72"/>
          <w:szCs w:val="72"/>
        </w:rPr>
        <w:t>风险评估报告</w:t>
      </w:r>
      <w:bookmarkEnd w:id="0"/>
      <w:bookmarkEnd w:id="1"/>
      <w:bookmarkEnd w:id="2"/>
      <w:bookmarkEnd w:id="13"/>
      <w:bookmarkEnd w:id="14"/>
      <w:bookmarkEnd w:id="15"/>
      <w:bookmarkEnd w:id="16"/>
      <w:bookmarkEnd w:id="17"/>
      <w:bookmarkEnd w:id="18"/>
      <w:bookmarkEnd w:id="19"/>
      <w:bookmarkEnd w:id="20"/>
      <w:bookmarkEnd w:id="21"/>
      <w:bookmarkEnd w:id="22"/>
      <w:bookmarkEnd w:id="23"/>
    </w:p>
    <w:p>
      <w:pPr>
        <w:pStyle w:val="20"/>
        <w:ind w:firstLine="883"/>
        <w:rPr>
          <w:rFonts w:ascii="宋体" w:hAnsi="宋体" w:cs="宋体"/>
          <w:b/>
          <w:bCs/>
          <w:sz w:val="44"/>
          <w:szCs w:val="44"/>
        </w:rPr>
      </w:pPr>
    </w:p>
    <w:p>
      <w:pPr>
        <w:rPr>
          <w:rFonts w:ascii="宋体" w:hAnsi="宋体" w:eastAsia="宋体" w:cs="宋体"/>
          <w:b/>
          <w:bCs/>
          <w:sz w:val="44"/>
          <w:szCs w:val="44"/>
        </w:rPr>
      </w:pPr>
    </w:p>
    <w:p>
      <w:pPr>
        <w:pStyle w:val="20"/>
        <w:ind w:firstLine="883"/>
        <w:rPr>
          <w:rFonts w:ascii="宋体" w:hAnsi="宋体" w:cs="宋体"/>
          <w:b/>
          <w:bCs/>
          <w:sz w:val="44"/>
          <w:szCs w:val="44"/>
        </w:rPr>
      </w:pPr>
    </w:p>
    <w:p>
      <w:pPr>
        <w:rPr>
          <w:rFonts w:ascii="宋体" w:hAnsi="宋体" w:cs="宋体"/>
          <w:b/>
          <w:bCs/>
          <w:sz w:val="44"/>
          <w:szCs w:val="44"/>
        </w:rPr>
      </w:pPr>
    </w:p>
    <w:p>
      <w:pPr>
        <w:rPr>
          <w:rFonts w:ascii="宋体" w:hAnsi="宋体" w:eastAsia="宋体" w:cs="宋体"/>
          <w:b/>
          <w:bCs/>
          <w:sz w:val="44"/>
          <w:szCs w:val="44"/>
        </w:rPr>
      </w:pPr>
    </w:p>
    <w:p>
      <w:pPr>
        <w:pStyle w:val="20"/>
        <w:ind w:firstLine="883"/>
        <w:rPr>
          <w:rFonts w:ascii="宋体" w:hAnsi="宋体" w:cs="宋体"/>
          <w:b/>
          <w:bCs/>
          <w:sz w:val="44"/>
          <w:szCs w:val="44"/>
        </w:rPr>
      </w:pPr>
    </w:p>
    <w:p>
      <w:pPr>
        <w:rPr>
          <w:rFonts w:ascii="宋体" w:hAnsi="宋体" w:eastAsia="宋体" w:cs="宋体"/>
          <w:b/>
          <w:bCs/>
          <w:sz w:val="44"/>
          <w:szCs w:val="44"/>
        </w:rPr>
      </w:pPr>
    </w:p>
    <w:p>
      <w:pPr>
        <w:pStyle w:val="20"/>
        <w:ind w:firstLine="883"/>
        <w:rPr>
          <w:rFonts w:ascii="宋体" w:hAnsi="宋体" w:cs="宋体"/>
          <w:b/>
          <w:bCs/>
          <w:sz w:val="44"/>
          <w:szCs w:val="44"/>
        </w:rPr>
      </w:pPr>
    </w:p>
    <w:p>
      <w:pPr>
        <w:jc w:val="both"/>
        <w:outlineLvl w:val="0"/>
        <w:rPr>
          <w:rFonts w:hint="default" w:ascii="宋体" w:hAnsi="宋体" w:eastAsia="宋体" w:cs="宋体"/>
          <w:sz w:val="36"/>
          <w:szCs w:val="36"/>
          <w:u w:val="single"/>
          <w:lang w:val="en-US" w:eastAsia="zh-CN"/>
        </w:rPr>
      </w:pPr>
      <w:bookmarkStart w:id="24" w:name="_Toc18092"/>
      <w:bookmarkStart w:id="25" w:name="_Toc30315"/>
      <w:bookmarkStart w:id="26" w:name="_Toc32158"/>
      <w:bookmarkStart w:id="27" w:name="_Toc15917"/>
      <w:bookmarkStart w:id="28" w:name="_Toc27982"/>
      <w:bookmarkStart w:id="29" w:name="_Toc16067"/>
      <w:bookmarkStart w:id="30" w:name="_Toc14542"/>
      <w:bookmarkStart w:id="31" w:name="_Toc4879"/>
      <w:bookmarkStart w:id="32" w:name="_Toc7844"/>
      <w:r>
        <w:rPr>
          <w:rFonts w:hint="eastAsia" w:ascii="宋体" w:hAnsi="宋体" w:eastAsia="宋体" w:cs="宋体"/>
          <w:spacing w:val="11"/>
          <w:sz w:val="36"/>
          <w:szCs w:val="36"/>
          <w:u w:val="single"/>
          <w:lang w:val="en-US" w:eastAsia="zh-CN"/>
        </w:rPr>
        <w:t xml:space="preserve">               华容县交通运输局</w:t>
      </w:r>
      <w:bookmarkEnd w:id="24"/>
      <w:bookmarkEnd w:id="25"/>
      <w:bookmarkEnd w:id="26"/>
      <w:bookmarkEnd w:id="27"/>
      <w:bookmarkEnd w:id="28"/>
      <w:bookmarkEnd w:id="29"/>
      <w:bookmarkEnd w:id="30"/>
      <w:bookmarkEnd w:id="31"/>
      <w:bookmarkEnd w:id="32"/>
      <w:r>
        <w:rPr>
          <w:rFonts w:hint="eastAsia" w:ascii="宋体" w:hAnsi="宋体" w:eastAsia="宋体" w:cs="宋体"/>
          <w:spacing w:val="11"/>
          <w:sz w:val="36"/>
          <w:szCs w:val="36"/>
          <w:u w:val="single"/>
          <w:lang w:val="en-US" w:eastAsia="zh-CN"/>
        </w:rPr>
        <w:t xml:space="preserve">               </w:t>
      </w:r>
    </w:p>
    <w:p>
      <w:pPr>
        <w:jc w:val="center"/>
        <w:rPr>
          <w:rFonts w:hint="eastAsia" w:ascii="宋体" w:hAnsi="宋体" w:eastAsia="宋体" w:cs="宋体"/>
          <w:b w:val="0"/>
          <w:bCs/>
          <w:sz w:val="36"/>
          <w:szCs w:val="36"/>
        </w:rPr>
      </w:pPr>
      <w:r>
        <w:rPr>
          <w:rFonts w:hint="eastAsia" w:ascii="宋体" w:hAnsi="宋体" w:eastAsia="宋体" w:cs="宋体"/>
          <w:b w:val="0"/>
          <w:bCs/>
          <w:sz w:val="36"/>
          <w:szCs w:val="36"/>
        </w:rPr>
        <w:t>202</w:t>
      </w:r>
      <w:r>
        <w:rPr>
          <w:rFonts w:hint="eastAsia" w:ascii="宋体" w:hAnsi="宋体" w:eastAsia="宋体" w:cs="宋体"/>
          <w:b w:val="0"/>
          <w:bCs/>
          <w:sz w:val="36"/>
          <w:szCs w:val="36"/>
          <w:lang w:val="en-US" w:eastAsia="zh-CN"/>
        </w:rPr>
        <w:t>3</w:t>
      </w:r>
      <w:r>
        <w:rPr>
          <w:rFonts w:hint="eastAsia" w:ascii="宋体" w:hAnsi="宋体" w:eastAsia="宋体" w:cs="宋体"/>
          <w:b w:val="0"/>
          <w:bCs/>
          <w:sz w:val="36"/>
          <w:szCs w:val="36"/>
        </w:rPr>
        <w:t>年</w:t>
      </w:r>
      <w:r>
        <w:rPr>
          <w:rFonts w:hint="eastAsia" w:ascii="宋体" w:hAnsi="宋体" w:eastAsia="宋体" w:cs="宋体"/>
          <w:b w:val="0"/>
          <w:bCs/>
          <w:sz w:val="36"/>
          <w:szCs w:val="36"/>
          <w:lang w:val="en-US" w:eastAsia="zh-CN"/>
        </w:rPr>
        <w:t>5</w:t>
      </w:r>
      <w:r>
        <w:rPr>
          <w:rFonts w:hint="eastAsia" w:ascii="宋体" w:hAnsi="宋体" w:eastAsia="宋体" w:cs="宋体"/>
          <w:b w:val="0"/>
          <w:bCs/>
          <w:sz w:val="36"/>
          <w:szCs w:val="36"/>
        </w:rPr>
        <w:t>月</w:t>
      </w:r>
      <w:r>
        <w:rPr>
          <w:rFonts w:hint="eastAsia" w:ascii="宋体" w:hAnsi="宋体" w:eastAsia="宋体" w:cs="宋体"/>
          <w:b w:val="0"/>
          <w:bCs/>
          <w:sz w:val="36"/>
          <w:szCs w:val="36"/>
          <w:lang w:val="en-US" w:eastAsia="zh-CN"/>
        </w:rPr>
        <w:t>6</w:t>
      </w:r>
      <w:r>
        <w:rPr>
          <w:rFonts w:hint="eastAsia" w:ascii="宋体" w:hAnsi="宋体" w:eastAsia="宋体" w:cs="宋体"/>
          <w:b w:val="0"/>
          <w:bCs/>
          <w:sz w:val="36"/>
          <w:szCs w:val="36"/>
        </w:rPr>
        <w:t>日</w:t>
      </w:r>
    </w:p>
    <w:p>
      <w:pPr>
        <w:jc w:val="center"/>
        <w:rPr>
          <w:rFonts w:hint="eastAsia" w:ascii="宋体" w:hAnsi="宋体" w:cs="宋体"/>
          <w:b w:val="0"/>
          <w:bCs/>
          <w:sz w:val="32"/>
          <w:szCs w:val="32"/>
        </w:rPr>
      </w:pPr>
    </w:p>
    <w:p>
      <w:pPr>
        <w:jc w:val="both"/>
        <w:rPr>
          <w:rFonts w:hint="eastAsia" w:ascii="宋体" w:hAnsi="宋体" w:cs="宋体"/>
          <w:b w:val="0"/>
          <w:bCs/>
          <w:sz w:val="32"/>
          <w:szCs w:val="32"/>
        </w:rPr>
      </w:pPr>
    </w:p>
    <w:p>
      <w:pPr>
        <w:ind w:firstLine="1325" w:firstLineChars="300"/>
        <w:jc w:val="both"/>
        <w:rPr>
          <w:rFonts w:hint="eastAsia" w:ascii="宋体" w:hAnsi="宋体" w:cs="宋体"/>
          <w:b/>
          <w:bCs w:val="0"/>
          <w:sz w:val="44"/>
          <w:szCs w:val="44"/>
          <w:lang w:val="en-US" w:eastAsia="zh-CN"/>
        </w:rPr>
        <w:sectPr>
          <w:footerReference r:id="rId3" w:type="default"/>
          <w:pgSz w:w="11907" w:h="16840"/>
          <w:pgMar w:top="1083" w:right="1332" w:bottom="1094" w:left="1502" w:header="0" w:footer="1144" w:gutter="0"/>
          <w:pgNumType w:fmt="decimal" w:start="1"/>
          <w:cols w:space="720" w:num="1"/>
        </w:sectPr>
      </w:pPr>
    </w:p>
    <w:p>
      <w:pPr>
        <w:ind w:firstLine="3534" w:firstLineChars="800"/>
        <w:jc w:val="both"/>
        <w:rPr>
          <w:rFonts w:hint="eastAsia" w:ascii="宋体" w:hAnsi="宋体" w:cs="宋体"/>
          <w:b/>
          <w:bCs w:val="0"/>
          <w:sz w:val="44"/>
          <w:szCs w:val="44"/>
          <w:lang w:val="en-US" w:eastAsia="zh-CN"/>
        </w:rPr>
      </w:pPr>
      <w:r>
        <w:rPr>
          <w:rFonts w:hint="eastAsia" w:ascii="宋体" w:hAnsi="宋体" w:cs="宋体"/>
          <w:b/>
          <w:bCs w:val="0"/>
          <w:sz w:val="44"/>
          <w:szCs w:val="44"/>
          <w:lang w:val="en-US" w:eastAsia="zh-CN"/>
        </w:rPr>
        <w:t>目   录</w:t>
      </w:r>
    </w:p>
    <w:sdt>
      <w:sdtPr>
        <w:rPr>
          <w:rFonts w:ascii="宋体" w:hAnsi="宋体" w:eastAsia="宋体" w:cstheme="minorBidi"/>
          <w:kern w:val="2"/>
          <w:sz w:val="21"/>
          <w:szCs w:val="24"/>
          <w:lang w:val="en-US" w:eastAsia="zh-CN" w:bidi="ar-SA"/>
        </w:rPr>
        <w:id w:val="147456382"/>
        <w15:color w:val="DBDBDB"/>
        <w:docPartObj>
          <w:docPartGallery w:val="Table of Contents"/>
          <w:docPartUnique/>
        </w:docPartObj>
      </w:sdtPr>
      <w:sdtEndPr>
        <w:rPr>
          <w:rFonts w:ascii="宋体" w:hAnsi="宋体" w:eastAsia="宋体" w:cstheme="minorBidi"/>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b w:val="0"/>
              <w:bCs w:val="0"/>
              <w:sz w:val="28"/>
              <w:szCs w:val="36"/>
            </w:rPr>
          </w:pPr>
          <w:r>
            <w:fldChar w:fldCharType="begin"/>
          </w:r>
          <w:r>
            <w:instrText xml:space="preserve">TOC \o "1-3" \h \u </w:instrText>
          </w:r>
          <w:r>
            <w:fldChar w:fldCharType="separate"/>
          </w: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HYPERLINK \l _Toc17180 </w:instrText>
          </w:r>
          <w:r>
            <w:rPr>
              <w:rFonts w:hint="eastAsia" w:ascii="宋体" w:hAnsi="宋体" w:eastAsia="宋体" w:cs="宋体"/>
              <w:b/>
              <w:bCs/>
              <w:sz w:val="28"/>
              <w:szCs w:val="36"/>
            </w:rPr>
            <w:fldChar w:fldCharType="separate"/>
          </w:r>
          <w:r>
            <w:rPr>
              <w:rFonts w:hint="eastAsia" w:ascii="宋体" w:hAnsi="宋体" w:eastAsia="宋体" w:cs="宋体"/>
              <w:b/>
              <w:bCs/>
              <w:kern w:val="0"/>
              <w:sz w:val="28"/>
              <w:szCs w:val="44"/>
              <w:lang w:val="en-US" w:eastAsia="zh-CN" w:bidi="ar-SA"/>
            </w:rPr>
            <w:t>1、危险有害因素辨识</w:t>
          </w:r>
          <w:r>
            <w:rPr>
              <w:rFonts w:hint="eastAsia" w:ascii="宋体" w:hAnsi="宋体" w:eastAsia="宋体" w:cs="宋体"/>
              <w:b/>
              <w:bCs/>
              <w:sz w:val="28"/>
              <w:szCs w:val="36"/>
            </w:rPr>
            <w:tab/>
          </w: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PAGEREF _Toc17180 \h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t>2</w:t>
          </w:r>
          <w:r>
            <w:rPr>
              <w:rFonts w:hint="eastAsia" w:ascii="宋体" w:hAnsi="宋体" w:eastAsia="宋体" w:cs="宋体"/>
              <w:b/>
              <w:bCs/>
              <w:sz w:val="28"/>
              <w:szCs w:val="36"/>
            </w:rPr>
            <w:fldChar w:fldCharType="end"/>
          </w:r>
          <w:r>
            <w:rPr>
              <w:rFonts w:hint="eastAsia" w:ascii="宋体" w:hAnsi="宋体" w:eastAsia="宋体" w:cs="宋体"/>
              <w:b/>
              <w:bCs/>
              <w:sz w:val="28"/>
              <w:szCs w:val="36"/>
            </w:rPr>
            <w:fldChar w:fldCharType="end"/>
          </w: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_Toc22188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1.1自然灾害危险有害因素辨识</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_Toc22188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2</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_Toc19780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1.2交通事故灾难危险有害因素辨识</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_Toc19780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8</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3"/>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_Toc9011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1.3公共卫生事件风险分析</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_Toc9011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33</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3"/>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_Toc23889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1.4社会安全事件</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_Toc23889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35</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7"/>
            <w:keepNext w:val="0"/>
            <w:keepLines w:val="0"/>
            <w:pageBreakBefore w:val="0"/>
            <w:widowControl w:val="0"/>
            <w:tabs>
              <w:tab w:val="right" w:leader="dot" w:pos="8788"/>
            </w:tabs>
            <w:kinsoku/>
            <w:wordWrap/>
            <w:overflowPunct/>
            <w:topLinePunct w:val="0"/>
            <w:autoSpaceDE/>
            <w:autoSpaceDN/>
            <w:bidi w:val="0"/>
            <w:adjustRightInd/>
            <w:snapToGrid/>
            <w:spacing w:line="520" w:lineRule="exact"/>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_Toc18988 </w:instrText>
          </w:r>
          <w:r>
            <w:rPr>
              <w:rFonts w:hint="eastAsia" w:ascii="宋体" w:hAnsi="宋体" w:eastAsia="宋体" w:cs="宋体"/>
              <w:b w:val="0"/>
              <w:bCs w:val="0"/>
              <w:sz w:val="28"/>
              <w:szCs w:val="36"/>
            </w:rPr>
            <w:fldChar w:fldCharType="separate"/>
          </w:r>
          <w:r>
            <w:rPr>
              <w:rFonts w:hint="eastAsia" w:ascii="宋体" w:hAnsi="宋体" w:eastAsia="宋体" w:cs="宋体"/>
              <w:b/>
              <w:bCs/>
              <w:kern w:val="2"/>
              <w:sz w:val="28"/>
              <w:szCs w:val="44"/>
              <w:lang w:val="en-US" w:eastAsia="zh-CN" w:bidi="ar-SA"/>
            </w:rPr>
            <w:t>2、事故灾难风险分析</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_Toc18988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36</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_Toc27647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2.1 火灾爆炸事故</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_Toc27647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36</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_Toc24898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2.2 触电事故</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_Toc24898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37</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_Toc17526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2.3道路交通事故</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_Toc17526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37</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_Toc6222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2.4水运交通事故</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_Toc6222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38</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_Toc4381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2.5泄露环境污染</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_Toc4381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38</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_Toc10115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2.6中毒和窒息事故</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_Toc10115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39</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_Toc21268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2.7灼伤</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_Toc21268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39</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_Toc6149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2.8高处坠落</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_Toc6149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39</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_Toc689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2.9有限空间</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_Toc689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40</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3"/>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_Toc23774 </w:instrText>
          </w:r>
          <w:r>
            <w:rPr>
              <w:rFonts w:hint="eastAsia" w:ascii="宋体" w:hAnsi="宋体" w:eastAsia="宋体" w:cs="宋体"/>
              <w:b w:val="0"/>
              <w:bCs w:val="0"/>
              <w:sz w:val="28"/>
              <w:szCs w:val="36"/>
            </w:rPr>
            <w:fldChar w:fldCharType="separate"/>
          </w:r>
          <w:r>
            <w:rPr>
              <w:rFonts w:hint="eastAsia" w:ascii="宋体" w:hAnsi="宋体" w:eastAsia="宋体" w:cs="宋体"/>
              <w:b/>
              <w:bCs/>
              <w:kern w:val="2"/>
              <w:sz w:val="28"/>
              <w:szCs w:val="44"/>
              <w:lang w:val="en-US" w:eastAsia="zh-CN" w:bidi="ar-SA"/>
            </w:rPr>
            <w:t>3事故风险评价</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_Toc23774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40</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_Toc25052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3.1 风险评估指标及分级标准</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_Toc25052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40</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_Toc19642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3.2矩阵（LS）评价法</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_Toc19642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44</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_Toc5861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3.3作业条件危险性评价法</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_Toc5861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62</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3"/>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_Toc6891 </w:instrText>
          </w:r>
          <w:r>
            <w:rPr>
              <w:rFonts w:hint="eastAsia" w:ascii="宋体" w:hAnsi="宋体" w:eastAsia="宋体" w:cs="宋体"/>
              <w:b w:val="0"/>
              <w:bCs w:val="0"/>
              <w:sz w:val="28"/>
              <w:szCs w:val="36"/>
            </w:rPr>
            <w:fldChar w:fldCharType="separate"/>
          </w:r>
          <w:r>
            <w:rPr>
              <w:rFonts w:hint="eastAsia" w:ascii="宋体" w:hAnsi="宋体" w:eastAsia="宋体" w:cs="宋体"/>
              <w:b/>
              <w:bCs/>
              <w:kern w:val="0"/>
              <w:sz w:val="28"/>
              <w:szCs w:val="44"/>
              <w:lang w:val="en-US" w:eastAsia="zh-CN" w:bidi="ar-SA"/>
            </w:rPr>
            <w:t>4 结论与建议</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_Toc6891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67</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b w:val="0"/>
              <w:bCs w:val="0"/>
              <w:sz w:val="28"/>
              <w:szCs w:val="36"/>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_Toc19441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4.1结论</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_Toc19441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67</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8"/>
            <w:keepNext w:val="0"/>
            <w:keepLines w:val="0"/>
            <w:pageBreakBefore w:val="0"/>
            <w:widowControl w:val="0"/>
            <w:tabs>
              <w:tab w:val="right" w:leader="dot" w:pos="8788"/>
            </w:tabs>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sz w:val="24"/>
              <w:szCs w:val="32"/>
            </w:rPr>
          </w:pP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HYPERLINK \l _Toc26146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kern w:val="2"/>
              <w:sz w:val="28"/>
              <w:szCs w:val="44"/>
              <w:lang w:val="en-US" w:eastAsia="zh-CN" w:bidi="ar-SA"/>
            </w:rPr>
            <w:t>4.2建议</w:t>
          </w:r>
          <w:r>
            <w:rPr>
              <w:rFonts w:hint="eastAsia" w:ascii="宋体" w:hAnsi="宋体" w:eastAsia="宋体" w:cs="宋体"/>
              <w:b w:val="0"/>
              <w:bCs w:val="0"/>
              <w:sz w:val="28"/>
              <w:szCs w:val="36"/>
            </w:rPr>
            <w:tab/>
          </w:r>
          <w:r>
            <w:rPr>
              <w:rFonts w:hint="eastAsia" w:ascii="宋体" w:hAnsi="宋体" w:eastAsia="宋体" w:cs="宋体"/>
              <w:b w:val="0"/>
              <w:bCs w:val="0"/>
              <w:sz w:val="28"/>
              <w:szCs w:val="36"/>
            </w:rPr>
            <w:fldChar w:fldCharType="begin"/>
          </w:r>
          <w:r>
            <w:rPr>
              <w:rFonts w:hint="eastAsia" w:ascii="宋体" w:hAnsi="宋体" w:eastAsia="宋体" w:cs="宋体"/>
              <w:b w:val="0"/>
              <w:bCs w:val="0"/>
              <w:sz w:val="28"/>
              <w:szCs w:val="36"/>
            </w:rPr>
            <w:instrText xml:space="preserve"> PAGEREF _Toc26146 \h </w:instrText>
          </w:r>
          <w:r>
            <w:rPr>
              <w:rFonts w:hint="eastAsia" w:ascii="宋体" w:hAnsi="宋体" w:eastAsia="宋体" w:cs="宋体"/>
              <w:b w:val="0"/>
              <w:bCs w:val="0"/>
              <w:sz w:val="28"/>
              <w:szCs w:val="36"/>
            </w:rPr>
            <w:fldChar w:fldCharType="separate"/>
          </w:r>
          <w:r>
            <w:rPr>
              <w:rFonts w:hint="eastAsia" w:ascii="宋体" w:hAnsi="宋体" w:eastAsia="宋体" w:cs="宋体"/>
              <w:b w:val="0"/>
              <w:bCs w:val="0"/>
              <w:sz w:val="28"/>
              <w:szCs w:val="36"/>
            </w:rPr>
            <w:t>68</w:t>
          </w:r>
          <w:r>
            <w:rPr>
              <w:rFonts w:hint="eastAsia" w:ascii="宋体" w:hAnsi="宋体" w:eastAsia="宋体" w:cs="宋体"/>
              <w:b w:val="0"/>
              <w:bCs w:val="0"/>
              <w:sz w:val="28"/>
              <w:szCs w:val="36"/>
            </w:rPr>
            <w:fldChar w:fldCharType="end"/>
          </w:r>
          <w:r>
            <w:rPr>
              <w:rFonts w:hint="eastAsia" w:ascii="宋体" w:hAnsi="宋体" w:eastAsia="宋体" w:cs="宋体"/>
              <w:b w:val="0"/>
              <w:bCs w:val="0"/>
              <w:sz w:val="28"/>
              <w:szCs w:val="36"/>
            </w:rPr>
            <w:fldChar w:fldCharType="end"/>
          </w:r>
        </w:p>
        <w:p>
          <w:pPr>
            <w:pStyle w:val="13"/>
            <w:tabs>
              <w:tab w:val="right" w:leader="dot" w:pos="8788"/>
            </w:tabs>
          </w:pPr>
        </w:p>
        <w:p>
          <w:r>
            <w:fldChar w:fldCharType="end"/>
          </w:r>
        </w:p>
      </w:sdtContent>
    </w:sdt>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本次风险评估的目的是为编制华容县突发事件总体应急预案提供指导。将以科学、客观和公正的态度，以国家安全法律、法规、政策以及规程、规范、标准为依据，采取科学的方法和程序进行工作。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宋体"/>
          <w:bCs/>
          <w:color w:val="000000"/>
          <w:kern w:val="0"/>
          <w:sz w:val="32"/>
          <w:szCs w:val="32"/>
          <w:lang w:val="en-US" w:eastAsia="zh-CN" w:bidi="ar-SA"/>
        </w:rPr>
      </w:pPr>
      <w:bookmarkStart w:id="33" w:name="_Toc17180"/>
      <w:r>
        <w:rPr>
          <w:rFonts w:hint="eastAsia" w:ascii="黑体" w:hAnsi="黑体" w:eastAsia="黑体" w:cs="宋体"/>
          <w:bCs/>
          <w:color w:val="000000"/>
          <w:kern w:val="0"/>
          <w:sz w:val="32"/>
          <w:szCs w:val="32"/>
          <w:lang w:val="en-US" w:eastAsia="zh-CN" w:bidi="ar-SA"/>
        </w:rPr>
        <w:t>1、危险有害因素辨识</w:t>
      </w:r>
      <w:bookmarkEnd w:id="33"/>
    </w:p>
    <w:p>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34" w:name="_Toc22188"/>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1.1自然灾害危险有害因素辨识</w:t>
      </w:r>
      <w:bookmarkEnd w:id="34"/>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bookmarkStart w:id="35" w:name="_Toc963"/>
      <w:r>
        <w:rPr>
          <w:rFonts w:hint="eastAsia" w:ascii="仿宋_GB2312" w:hAnsi="仿宋_GB2312" w:eastAsia="仿宋_GB2312" w:cs="仿宋_GB2312"/>
          <w:sz w:val="32"/>
          <w:szCs w:val="32"/>
          <w:lang w:val="en-US" w:eastAsia="zh-CN"/>
        </w:rPr>
        <w:t>1.1.1自然灾害风险分析评估</w:t>
      </w:r>
      <w:bookmarkEnd w:id="35"/>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sz w:val="32"/>
          <w:szCs w:val="32"/>
          <w:lang w:val="en-US" w:eastAsia="zh-CN"/>
        </w:rPr>
      </w:pPr>
      <w:r>
        <w:rPr>
          <w:rFonts w:hint="eastAsia" w:ascii="仿宋_GB2312" w:hAnsi="仿宋_GB2312" w:eastAsia="仿宋_GB2312" w:cs="仿宋_GB2312"/>
          <w:sz w:val="32"/>
          <w:szCs w:val="32"/>
          <w:lang w:val="en-US" w:eastAsia="zh-CN"/>
        </w:rPr>
        <w:t>自然灾害风险评估概念：自然灾害风险评价是指通过风险分析的手段或观察外表法，对尚未发生的自然灾害之致灾因子强度、受灾程度等进行评定和估计，是风险分析技术在自然灾害学中的应用。自然灾害风险评估是对灾害风险区不同强度灾害的可能性及其可能造成的后果进行定量和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3"/>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36" w:name="_Toc18828"/>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一、县地理位置分析</w:t>
      </w:r>
      <w:bookmarkEnd w:id="3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华容县位于湖南省北部边陲，岳阳市西境，地处东经112°18′31″～113°1′32″，北纬29°10′18″～29°48′27″。北倚长江，南滨洞庭湖。周邻6县（市）、场，东与岳阳市君山区交界，西与益阳市南县相邻，南连国营北洲子农场，北接湖北省石首市，东北与湖北省监利县隔江相望。境内东西最大横距68公里，南北最大纵距80公里。集雨面积1606平方公里，占全省面积的0.76%。其中平原1028平方公里（不含江、湖、河、库等水域），占56%；低山丘岗区328.2平方公里，占17.8%；水面255平方公里，占26.2%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3"/>
        <w:rPr>
          <w:rFonts w:hint="default"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37" w:name="_Toc2775"/>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二</w:t>
      </w:r>
      <w:bookmarkEnd w:id="37"/>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、县地形地貌与地质分析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华容县位于扬子滩地台的江南地轴上，属既有强烈挤压褶皱上升运动，又有升降运动的江南古陆。县境地处洞庭湖凹盆地北缘，地势北高南低，中部丘岗隆起，东西低平开阔，微向东洞庭湖倾斜。地貌分区特征较为明显：东北部为低山丘陵区，间有溪谷平原，中南部为丘岗区，其余为平原。平均海拔在35米以上，海拔最高点（雷打岩）为382.9米，最低点为东湖湖底（海拔）21米，高差361.9米。全县按地貌类型可分为平原和山地两大类。按成因可分为：江河平原、溪谷平原和滨湖平原；按高程可分为岗地、丘陵、低山3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3"/>
        <w:rPr>
          <w:rFonts w:hint="default"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38" w:name="_Toc12884"/>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三、县气候条件</w:t>
      </w:r>
      <w:bookmarkEnd w:id="38"/>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bookmarkStart w:id="39" w:name="_Toc15090"/>
      <w:r>
        <w:rPr>
          <w:rFonts w:hint="eastAsia" w:ascii="仿宋_GB2312" w:hAnsi="仿宋_GB2312" w:eastAsia="仿宋_GB2312" w:cs="仿宋_GB2312"/>
          <w:kern w:val="2"/>
          <w:sz w:val="32"/>
          <w:szCs w:val="32"/>
          <w:lang w:val="en-US" w:eastAsia="zh-CN" w:bidi="ar-SA"/>
        </w:rPr>
        <w:t>华容县地属北亚热带，为湿润性大陆季风气候。具有气候温和，四季分明，热量充足，雨水集中；春暖多变，夏秋多旱，严寒期短，暑热期长的特点。2020年度：平均气温18.0℃，较历年高1.2℃；年极端最高气温38.3℃，出现在8月17日，年极端最低气温-4.1℃，出现在1月1日；年总降水量1065.7mm，较历年偏少224.1mm，日最大降水量65.0mm，出现在5月26日；年日照总时数为1575.7小时，偏少156.7小时；暴雨日2天；无霜期283天。2020年年平均气温偏高，7-9月出现高温热害天气过程；降水量前后偏多，中间偏少，1-2月出现历史罕见的持续寡照天气，并且出现连阴雨天气，8-10月出现持续干旱天气过程；年日照偏少，日照年百分率为35%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近30年雾日平均16.7天，最多年39天（1983年），最小年7天（1993年）。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近30年雷暴日数年平均36.5天，最多年56天（1973年），最少年25天（1974年），年平均初日2月19日，年平均终日10月10日，初终间平均234.1天。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近30年年平均降水量1289.8毫米，年降水变率为15%。最多年降水量为1719.4毫米，出现在1996年；最少年降水量为810.7毫米，出现在1971年。最大日降水量200.0毫米。出现在1996年6月3日。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近30年年最多风向为N、C（北风、静风），N频率为18，C频率为19；年平均风速2.3 m/s；年最大风速为19.3m/s，风向为NNE（北北东），出现在1981年5月2日；年极大风速为24.0m/s，风向WNW（西北偏西），出现在1972年2月7日。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最高气温40.0℃（1971.7.21）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最低气温-12.3℃（1977.1.30）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年极大风速为24.0m/s（1972.2.7）</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年最大雪深20cm（1972.2.7）</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华容县主要的强对流天气有雷暴大风、短历时强降水、雷电等，主要集中在4至10月。</w:t>
      </w:r>
    </w:p>
    <w:p>
      <w:pPr>
        <w:pStyle w:val="2"/>
        <w:keepNext w:val="0"/>
        <w:keepLines w:val="0"/>
        <w:pageBreakBefore w:val="0"/>
        <w:widowControl w:val="0"/>
        <w:kinsoku/>
        <w:wordWrap/>
        <w:overflowPunct/>
        <w:topLinePunct w:val="0"/>
        <w:autoSpaceDE/>
        <w:autoSpaceDN/>
        <w:bidi w:val="0"/>
        <w:adjustRightInd w:val="0"/>
        <w:snapToGrid/>
        <w:spacing w:beforeLines="0" w:afterLines="0" w:line="560" w:lineRule="exact"/>
        <w:textAlignment w:val="baseline"/>
        <w:outlineLvl w:val="3"/>
        <w:rPr>
          <w:rFonts w:hint="default"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四、县水文及水利分析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华容境内湖泊星布，河流网织，水系发达。有内湖21个，蓄水面积74.5平方公里，调蓄水量12154万</w:t>
      </w:r>
      <w:r>
        <w:rPr>
          <w:rFonts w:hint="eastAsia" w:ascii="仿宋_GB2312" w:hAnsi="仿宋_GB2312" w:eastAsia="仿宋_GB2312" w:cs="仿宋_GB2312"/>
          <w:sz w:val="32"/>
          <w:szCs w:val="32"/>
          <w:lang w:eastAsia="zh-CN"/>
        </w:rPr>
        <w:t>立方米</w:t>
      </w:r>
      <w:r>
        <w:rPr>
          <w:rFonts w:hint="eastAsia" w:ascii="仿宋_GB2312" w:hAnsi="仿宋_GB2312" w:eastAsia="仿宋_GB2312" w:cs="仿宋_GB2312"/>
          <w:sz w:val="32"/>
          <w:szCs w:val="32"/>
        </w:rPr>
        <w:t>，内河8条，长83.80公里，蓄水量3018万</w:t>
      </w:r>
      <w:r>
        <w:rPr>
          <w:rFonts w:hint="eastAsia" w:ascii="仿宋_GB2312" w:hAnsi="仿宋_GB2312" w:eastAsia="仿宋_GB2312" w:cs="仿宋_GB2312"/>
          <w:sz w:val="32"/>
          <w:szCs w:val="32"/>
          <w:lang w:eastAsia="zh-CN"/>
        </w:rPr>
        <w:t>立方米</w:t>
      </w:r>
      <w:r>
        <w:rPr>
          <w:rFonts w:hint="eastAsia" w:ascii="仿宋_GB2312" w:hAnsi="仿宋_GB2312" w:eastAsia="仿宋_GB2312" w:cs="仿宋_GB2312"/>
          <w:sz w:val="32"/>
          <w:szCs w:val="32"/>
        </w:rPr>
        <w:t>。华容县一线防洪大堤总长325公里，其中长江干堤32.7公里，洞庭湖堤34.47公里，藕池河堤160.63公里，华容河堤97</w:t>
      </w:r>
      <w:r>
        <w:rPr>
          <w:rFonts w:hint="eastAsia" w:ascii="仿宋_GB2312" w:hAnsi="仿宋_GB2312" w:eastAsia="仿宋_GB2312" w:cs="仿宋_GB2312"/>
          <w:sz w:val="32"/>
          <w:szCs w:val="32"/>
          <w:lang w:val="en-US" w:eastAsia="zh-CN"/>
        </w:rPr>
        <w:t>公里，</w:t>
      </w:r>
      <w:r>
        <w:rPr>
          <w:rFonts w:hint="eastAsia" w:ascii="仿宋_GB2312" w:hAnsi="仿宋_GB2312" w:eastAsia="仿宋_GB2312" w:cs="仿宋_GB2312"/>
          <w:sz w:val="32"/>
          <w:szCs w:val="32"/>
        </w:rPr>
        <w:t>水库74座，其中中型水库3座，小（一）型水库6座，小（二）型水库65座，山塘港垱6174处，总蓄水量9139.87万立方米。长江水系藕池河、华容河穿境而过。加上年降雨量1226.9毫米，总产水量20.35亿</w:t>
      </w:r>
      <w:r>
        <w:rPr>
          <w:rFonts w:hint="eastAsia" w:ascii="仿宋_GB2312" w:hAnsi="仿宋_GB2312" w:eastAsia="仿宋_GB2312" w:cs="仿宋_GB2312"/>
          <w:sz w:val="32"/>
          <w:szCs w:val="32"/>
          <w:lang w:eastAsia="zh-CN"/>
        </w:rPr>
        <w:t>立方米</w:t>
      </w:r>
      <w:r>
        <w:rPr>
          <w:rFonts w:hint="eastAsia" w:ascii="仿宋_GB2312" w:hAnsi="仿宋_GB2312" w:eastAsia="仿宋_GB2312" w:cs="仿宋_GB2312"/>
          <w:sz w:val="32"/>
          <w:szCs w:val="32"/>
        </w:rPr>
        <w:t>，减去蒸发量11.7亿</w:t>
      </w:r>
      <w:r>
        <w:rPr>
          <w:rFonts w:hint="eastAsia" w:ascii="仿宋_GB2312" w:hAnsi="仿宋_GB2312" w:eastAsia="仿宋_GB2312" w:cs="仿宋_GB2312"/>
          <w:sz w:val="32"/>
          <w:szCs w:val="32"/>
          <w:lang w:eastAsia="zh-CN"/>
        </w:rPr>
        <w:t>立方米</w:t>
      </w:r>
      <w:r>
        <w:rPr>
          <w:rFonts w:hint="eastAsia" w:ascii="仿宋_GB2312" w:hAnsi="仿宋_GB2312" w:eastAsia="仿宋_GB2312" w:cs="仿宋_GB2312"/>
          <w:sz w:val="32"/>
          <w:szCs w:val="32"/>
        </w:rPr>
        <w:t>，水资源总量为8.65亿</w:t>
      </w:r>
      <w:r>
        <w:rPr>
          <w:rFonts w:hint="eastAsia" w:ascii="仿宋_GB2312" w:hAnsi="仿宋_GB2312" w:eastAsia="仿宋_GB2312" w:cs="仿宋_GB2312"/>
          <w:sz w:val="32"/>
          <w:szCs w:val="32"/>
          <w:lang w:eastAsia="zh-CN"/>
        </w:rPr>
        <w:t>立方米</w:t>
      </w:r>
      <w:r>
        <w:rPr>
          <w:rFonts w:hint="eastAsia" w:ascii="仿宋_GB2312" w:hAnsi="仿宋_GB2312" w:eastAsia="仿宋_GB2312" w:cs="仿宋_GB2312"/>
          <w:sz w:val="32"/>
          <w:szCs w:val="32"/>
        </w:rPr>
        <w:t>，其中地表水为6.63亿</w:t>
      </w:r>
      <w:r>
        <w:rPr>
          <w:rFonts w:hint="eastAsia" w:ascii="仿宋_GB2312" w:hAnsi="仿宋_GB2312" w:eastAsia="仿宋_GB2312" w:cs="仿宋_GB2312"/>
          <w:sz w:val="32"/>
          <w:szCs w:val="32"/>
          <w:lang w:eastAsia="zh-CN"/>
        </w:rPr>
        <w:t>立方米</w:t>
      </w:r>
      <w:r>
        <w:rPr>
          <w:rFonts w:hint="eastAsia" w:ascii="仿宋_GB2312" w:hAnsi="仿宋_GB2312" w:eastAsia="仿宋_GB2312" w:cs="仿宋_GB2312"/>
          <w:sz w:val="32"/>
          <w:szCs w:val="32"/>
        </w:rPr>
        <w:t>，地下水为2.02亿</w:t>
      </w:r>
      <w:r>
        <w:rPr>
          <w:rFonts w:hint="eastAsia" w:ascii="仿宋_GB2312" w:hAnsi="仿宋_GB2312" w:eastAsia="仿宋_GB2312" w:cs="仿宋_GB2312"/>
          <w:sz w:val="32"/>
          <w:szCs w:val="32"/>
          <w:lang w:eastAsia="zh-CN"/>
        </w:rPr>
        <w:t>立方米</w:t>
      </w:r>
      <w:r>
        <w:rPr>
          <w:rFonts w:hint="eastAsia" w:ascii="仿宋_GB2312" w:hAnsi="仿宋_GB2312" w:eastAsia="仿宋_GB2312" w:cs="仿宋_GB2312"/>
          <w:sz w:val="32"/>
          <w:szCs w:val="32"/>
        </w:rPr>
        <w:t>。</w:t>
      </w:r>
    </w:p>
    <w:bookmarkEnd w:id="39"/>
    <w:p>
      <w:pPr>
        <w:pStyle w:val="2"/>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firstLine="640" w:firstLineChars="200"/>
        <w:textAlignment w:val="baseline"/>
        <w:outlineLvl w:val="3"/>
        <w:rPr>
          <w:rFonts w:hint="default"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五、县医疗卫生资源分析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sz w:val="32"/>
          <w:szCs w:val="32"/>
          <w:lang w:val="en-US" w:eastAsia="zh-CN"/>
        </w:rPr>
        <w:t>华容县共有各类卫生机构25个，其中县级医院共4个，乡（镇）卫生院共21个，妇幼卫生保健机构1个，康复戒毒中心1个，疾控中心1个，卫生监督所1个。全县执业医师、执业助理医师820人，护士1124人。各类卫生机构拥有病床3738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default"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0" w:name="_Toc3158"/>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1.1.2县</w:t>
      </w:r>
      <w:r>
        <w:rPr>
          <w:rFonts w:hint="default" w:ascii="楷体_GB2312" w:hAnsi="楷体" w:eastAsia="楷体_GB2312" w:cstheme="majorBidi"/>
          <w:b w:val="0"/>
          <w:bCs/>
          <w:color w:val="000000" w:themeColor="text1"/>
          <w:kern w:val="2"/>
          <w:sz w:val="32"/>
          <w:szCs w:val="32"/>
          <w:lang w:val="en-US" w:eastAsia="zh-CN" w:bidi="ar-SA"/>
          <w14:textFill>
            <w14:solidFill>
              <w14:schemeClr w14:val="tx1"/>
            </w14:solidFill>
          </w14:textFill>
        </w:rPr>
        <w:t>自然条件辨识与分析</w:t>
      </w:r>
      <w:bookmarkEnd w:id="40"/>
    </w:p>
    <w:p>
      <w:pPr>
        <w:keepNext w:val="0"/>
        <w:keepLines w:val="0"/>
        <w:pageBreakBefore w:val="0"/>
        <w:widowControl w:val="0"/>
        <w:kinsoku/>
        <w:wordWrap/>
        <w:overflowPunct/>
        <w:topLinePunct w:val="0"/>
        <w:autoSpaceDE/>
        <w:autoSpaceDN/>
        <w:bidi w:val="0"/>
        <w:snapToGrid/>
        <w:spacing w:line="560" w:lineRule="exact"/>
        <w:ind w:firstLine="640" w:firstLineChars="200"/>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）雷电：</w:t>
      </w:r>
      <w:r>
        <w:rPr>
          <w:rFonts w:hint="default" w:ascii="仿宋_GB2312" w:hAnsi="仿宋_GB2312" w:eastAsia="仿宋_GB2312" w:cs="仿宋_GB2312"/>
          <w:sz w:val="32"/>
          <w:szCs w:val="32"/>
          <w:lang w:val="en-US" w:eastAsia="zh-CN"/>
        </w:rPr>
        <w:t>年均雷暴日为</w:t>
      </w:r>
      <w:r>
        <w:rPr>
          <w:rFonts w:hint="eastAsia" w:ascii="仿宋_GB2312" w:hAnsi="仿宋_GB2312" w:eastAsia="仿宋_GB2312" w:cs="仿宋_GB2312"/>
          <w:sz w:val="32"/>
          <w:szCs w:val="32"/>
          <w:lang w:val="en-US" w:eastAsia="zh-CN"/>
        </w:rPr>
        <w:t>36.5</w:t>
      </w:r>
      <w:r>
        <w:rPr>
          <w:rFonts w:hint="default" w:ascii="仿宋_GB2312" w:hAnsi="仿宋_GB2312" w:eastAsia="仿宋_GB2312" w:cs="仿宋_GB2312"/>
          <w:sz w:val="32"/>
          <w:szCs w:val="32"/>
          <w:lang w:val="en-US" w:eastAsia="zh-CN"/>
        </w:rPr>
        <w:t>d</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 xml:space="preserve">/a </w:t>
      </w:r>
      <w:r>
        <w:rPr>
          <w:rFonts w:hint="default" w:ascii="仿宋_GB2312" w:hAnsi="仿宋_GB2312" w:eastAsia="仿宋_GB2312" w:cs="仿宋_GB2312"/>
          <w:sz w:val="32"/>
          <w:szCs w:val="32"/>
          <w:lang w:val="en-US" w:eastAsia="zh-CN"/>
        </w:rPr>
        <w:t>以上，因此，建(构</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筑物、设备设施等有遭雷击的可能</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snapToGrid/>
        <w:spacing w:line="560" w:lineRule="exact"/>
        <w:ind w:firstLine="640" w:firstLineChars="200"/>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）地震：</w:t>
      </w:r>
      <w:r>
        <w:rPr>
          <w:rFonts w:hint="default" w:ascii="仿宋_GB2312" w:hAnsi="仿宋_GB2312" w:eastAsia="仿宋_GB2312" w:cs="仿宋_GB2312"/>
          <w:sz w:val="32"/>
          <w:szCs w:val="32"/>
          <w:lang w:val="en-US" w:eastAsia="zh-CN"/>
        </w:rPr>
        <w:t>所在地地震基本烈度为</w:t>
      </w:r>
      <w:r>
        <w:rPr>
          <w:rFonts w:hint="eastAsia" w:ascii="仿宋_GB2312" w:hAnsi="仿宋_GB2312" w:eastAsia="仿宋_GB2312" w:cs="仿宋_GB2312"/>
          <w:sz w:val="32"/>
          <w:szCs w:val="32"/>
          <w:lang w:val="en-US" w:eastAsia="zh-CN"/>
        </w:rPr>
        <w:t>七</w:t>
      </w:r>
      <w:r>
        <w:rPr>
          <w:rFonts w:hint="default" w:ascii="仿宋_GB2312" w:hAnsi="仿宋_GB2312" w:eastAsia="仿宋_GB2312" w:cs="仿宋_GB2312"/>
          <w:sz w:val="32"/>
          <w:szCs w:val="32"/>
          <w:lang w:val="en-US" w:eastAsia="zh-CN"/>
        </w:rPr>
        <w:t>度，所以建筑物要考虑发生地震的危险性</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eastAsia="zh-CN"/>
        </w:rPr>
        <w:t>华容县在过去5年内未发生过有震感地震。</w:t>
      </w:r>
    </w:p>
    <w:p>
      <w:pPr>
        <w:keepNext w:val="0"/>
        <w:keepLines w:val="0"/>
        <w:pageBreakBefore w:val="0"/>
        <w:widowControl w:val="0"/>
        <w:kinsoku/>
        <w:wordWrap/>
        <w:overflowPunct/>
        <w:topLinePunct w:val="0"/>
        <w:autoSpaceDE/>
        <w:autoSpaceDN/>
        <w:bidi w:val="0"/>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）极端天气：</w:t>
      </w:r>
      <w:r>
        <w:rPr>
          <w:rFonts w:hint="default" w:ascii="仿宋_GB2312" w:hAnsi="仿宋_GB2312" w:eastAsia="仿宋_GB2312" w:cs="仿宋_GB2312"/>
          <w:sz w:val="32"/>
          <w:szCs w:val="32"/>
          <w:lang w:val="en-US" w:eastAsia="zh-CN"/>
        </w:rPr>
        <w:t>该地区极端气温夏季</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39</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至</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40℃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冬季月平均气温多在5℃以上，</w:t>
      </w:r>
      <w:r>
        <w:rPr>
          <w:rFonts w:hint="eastAsia" w:ascii="仿宋_GB2312" w:hAnsi="仿宋_GB2312" w:eastAsia="仿宋_GB2312" w:cs="仿宋_GB2312"/>
          <w:sz w:val="32"/>
          <w:szCs w:val="32"/>
          <w:lang w:val="en-US" w:eastAsia="zh-CN"/>
        </w:rPr>
        <w:t>有极个别的时候出现过极点低温，如1977年1月30日最低气温达-12.6℃。</w:t>
      </w:r>
      <w:r>
        <w:rPr>
          <w:rFonts w:hint="default" w:ascii="仿宋_GB2312" w:hAnsi="仿宋_GB2312" w:eastAsia="仿宋_GB2312" w:cs="仿宋_GB2312"/>
          <w:sz w:val="32"/>
          <w:szCs w:val="32"/>
          <w:lang w:val="en-US" w:eastAsia="zh-CN"/>
        </w:rPr>
        <w:t>极端的高</w:t>
      </w:r>
      <w:r>
        <w:rPr>
          <w:rFonts w:hint="eastAsia" w:ascii="仿宋_GB2312" w:hAnsi="仿宋_GB2312" w:eastAsia="仿宋_GB2312" w:cs="仿宋_GB2312"/>
          <w:sz w:val="32"/>
          <w:szCs w:val="32"/>
          <w:lang w:val="en-US" w:eastAsia="zh-CN"/>
        </w:rPr>
        <w:t>温</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低温冰雪冻雨</w:t>
      </w:r>
      <w:r>
        <w:rPr>
          <w:rFonts w:hint="default"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lang w:val="en-US" w:eastAsia="zh-CN"/>
        </w:rPr>
        <w:t>交通</w:t>
      </w:r>
      <w:r>
        <w:rPr>
          <w:rFonts w:hint="default" w:ascii="仿宋_GB2312" w:hAnsi="仿宋_GB2312" w:eastAsia="仿宋_GB2312" w:cs="仿宋_GB2312"/>
          <w:sz w:val="32"/>
          <w:szCs w:val="32"/>
          <w:lang w:val="en-US" w:eastAsia="zh-CN"/>
        </w:rPr>
        <w:t>运输的安全性会有影响</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）台风洪涝：华容县历年最高降雨全年共降雨2033.7毫米，</w:t>
      </w:r>
      <w:r>
        <w:rPr>
          <w:rFonts w:hint="default" w:ascii="仿宋_GB2312" w:hAnsi="仿宋_GB2312" w:eastAsia="仿宋_GB2312" w:cs="仿宋_GB2312"/>
          <w:sz w:val="32"/>
          <w:szCs w:val="32"/>
          <w:lang w:val="en-US" w:eastAsia="zh-CN"/>
        </w:rPr>
        <w:t>所在地靠近</w:t>
      </w:r>
      <w:r>
        <w:rPr>
          <w:rFonts w:hint="eastAsia" w:ascii="仿宋_GB2312" w:hAnsi="仿宋_GB2312" w:eastAsia="仿宋_GB2312" w:cs="仿宋_GB2312"/>
          <w:sz w:val="32"/>
          <w:szCs w:val="32"/>
          <w:lang w:val="en-US" w:eastAsia="zh-CN"/>
        </w:rPr>
        <w:t>江湖</w:t>
      </w:r>
      <w:r>
        <w:rPr>
          <w:rFonts w:hint="default" w:ascii="仿宋_GB2312" w:hAnsi="仿宋_GB2312" w:eastAsia="仿宋_GB2312" w:cs="仿宋_GB2312"/>
          <w:sz w:val="32"/>
          <w:szCs w:val="32"/>
          <w:lang w:val="en-US" w:eastAsia="zh-CN"/>
        </w:rPr>
        <w:t>，受到台风和洪涝的威胁</w:t>
      </w:r>
      <w:r>
        <w:rPr>
          <w:rFonts w:hint="eastAsia" w:ascii="仿宋_GB2312" w:hAnsi="仿宋_GB2312" w:eastAsia="仿宋_GB2312" w:cs="仿宋_GB2312"/>
          <w:sz w:val="32"/>
          <w:szCs w:val="32"/>
          <w:lang w:val="en-US" w:eastAsia="zh-CN"/>
        </w:rPr>
        <w:t>。</w:t>
      </w:r>
    </w:p>
    <w:p>
      <w:pPr>
        <w:pStyle w:val="2"/>
        <w:keepNext w:val="0"/>
        <w:keepLines w:val="0"/>
        <w:pageBreakBefore w:val="0"/>
        <w:widowControl w:val="0"/>
        <w:kinsoku/>
        <w:wordWrap/>
        <w:overflowPunct/>
        <w:topLinePunct w:val="0"/>
        <w:autoSpaceDE/>
        <w:autoSpaceDN/>
        <w:bidi w:val="0"/>
        <w:snapToGrid/>
        <w:spacing w:beforeLines="0" w:afterLines="0" w:line="560" w:lineRule="exact"/>
        <w:ind w:firstLine="640" w:firstLineChars="200"/>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（5）干旱：华容县历年年降雨量最小时750.9毫米，易受到春旱夏旱连秋旱威胁；</w:t>
      </w:r>
    </w:p>
    <w:p>
      <w:pPr>
        <w:pStyle w:val="2"/>
        <w:keepNext w:val="0"/>
        <w:keepLines w:val="0"/>
        <w:pageBreakBefore w:val="0"/>
        <w:widowControl w:val="0"/>
        <w:kinsoku/>
        <w:wordWrap/>
        <w:overflowPunct/>
        <w:topLinePunct w:val="0"/>
        <w:autoSpaceDE/>
        <w:autoSpaceDN/>
        <w:bidi w:val="0"/>
        <w:snapToGrid/>
        <w:spacing w:beforeLines="0" w:afterLines="0" w:line="560" w:lineRule="exact"/>
        <w:ind w:firstLine="640" w:firstLineChars="200"/>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（6）冰雹：华容县强对流天气情况下可能造成雹灾，发生冰雹灾害；</w:t>
      </w:r>
    </w:p>
    <w:p>
      <w:pPr>
        <w:pStyle w:val="2"/>
        <w:keepNext w:val="0"/>
        <w:keepLines w:val="0"/>
        <w:pageBreakBefore w:val="0"/>
        <w:widowControl w:val="0"/>
        <w:kinsoku/>
        <w:wordWrap/>
        <w:overflowPunct/>
        <w:topLinePunct w:val="0"/>
        <w:autoSpaceDE/>
        <w:autoSpaceDN/>
        <w:bidi w:val="0"/>
        <w:snapToGrid/>
        <w:spacing w:beforeLines="0" w:afterLines="0" w:line="560" w:lineRule="exact"/>
        <w:ind w:firstLine="640" w:firstLineChars="200"/>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（7）龙卷风：强烈气流形成的龙卷风；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bCs w:val="0"/>
          <w:kern w:val="2"/>
          <w:sz w:val="32"/>
          <w:szCs w:val="32"/>
          <w:lang w:val="en-US" w:eastAsia="zh-CN" w:bidi="ar-SA"/>
        </w:rPr>
      </w:pPr>
      <w:bookmarkStart w:id="41" w:name="_Toc11654"/>
      <w:r>
        <w:rPr>
          <w:rFonts w:hint="eastAsia" w:ascii="仿宋_GB2312" w:hAnsi="仿宋_GB2312" w:eastAsia="仿宋_GB2312" w:cs="仿宋_GB2312"/>
          <w:bCs w:val="0"/>
          <w:kern w:val="2"/>
          <w:sz w:val="32"/>
          <w:szCs w:val="32"/>
          <w:lang w:val="en-US" w:eastAsia="zh-CN" w:bidi="ar-SA"/>
        </w:rPr>
        <w:t>1.1.3县历史自然灾害预警</w:t>
      </w:r>
      <w:bookmarkEnd w:id="4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Cs w:val="0"/>
          <w:kern w:val="2"/>
          <w:sz w:val="32"/>
          <w:szCs w:val="32"/>
          <w:lang w:val="en-US" w:eastAsia="zh-CN" w:bidi="ar-SA"/>
        </w:rPr>
      </w:pPr>
      <w:bookmarkStart w:id="42" w:name="_Toc11748"/>
      <w:bookmarkStart w:id="43" w:name="_Toc5727"/>
      <w:bookmarkStart w:id="44" w:name="_Toc31003"/>
      <w:bookmarkStart w:id="45" w:name="_Toc6637"/>
      <w:r>
        <w:rPr>
          <w:rFonts w:hint="eastAsia" w:ascii="仿宋_GB2312" w:hAnsi="仿宋_GB2312" w:eastAsia="仿宋_GB2312" w:cs="仿宋_GB2312"/>
          <w:bCs w:val="0"/>
          <w:kern w:val="2"/>
          <w:sz w:val="32"/>
          <w:szCs w:val="32"/>
          <w:lang w:val="en-US" w:eastAsia="zh-CN" w:bidi="ar-SA"/>
        </w:rPr>
        <w:t>根据华容县志记载和气象统计数据：</w:t>
      </w:r>
      <w:bookmarkEnd w:id="42"/>
      <w:bookmarkEnd w:id="43"/>
      <w:bookmarkEnd w:id="44"/>
      <w:bookmarkEnd w:id="4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val="0"/>
          <w:kern w:val="2"/>
          <w:sz w:val="32"/>
          <w:szCs w:val="32"/>
          <w:lang w:val="en-US" w:eastAsia="zh-CN" w:bidi="ar-SA"/>
        </w:rPr>
        <w:t>（1）暴雨：华容县的暴雨天多集中在5、6、7三个月，历史日最大降水量为200mm，从1951年至1980年30年中，华容县出现暴</w:t>
      </w:r>
      <w:r>
        <w:rPr>
          <w:rFonts w:hint="eastAsia" w:ascii="仿宋_GB2312" w:hAnsi="仿宋_GB2312" w:eastAsia="仿宋_GB2312" w:cs="仿宋_GB2312"/>
          <w:sz w:val="32"/>
          <w:szCs w:val="32"/>
          <w:lang w:val="en-US" w:eastAsia="zh-CN"/>
        </w:rPr>
        <w:t>雨100余天。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（2）洪涝：</w:t>
      </w:r>
      <w:r>
        <w:rPr>
          <w:rFonts w:hint="eastAsia" w:ascii="仿宋_GB2312" w:hAnsi="仿宋_GB2312" w:eastAsia="仿宋_GB2312" w:cs="仿宋_GB2312"/>
          <w:sz w:val="32"/>
          <w:szCs w:val="32"/>
        </w:rPr>
        <w:t>1954年：全年共降雨2033.7毫米，全县外洪内涝，未溃垸，因渍成灾面积45.15万亩，其中39.3万亩渍水深1－1.5米，有30.06万亩失收；倒塌房屋18148栋，死亡67人，转移灾民5.04万人。1998年：7月份，城关镇降水447.4毫米，洞子湾堤段决口。洪涝灾害致使23个乡镇普遍受灾，受灾村场426个，占总村场数的93%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受灾人口62.8万人，成灾人口58.8万人</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干旱：</w:t>
      </w:r>
      <w:r>
        <w:rPr>
          <w:rFonts w:hint="eastAsia" w:ascii="仿宋_GB2312" w:hAnsi="仿宋_GB2312" w:eastAsia="仿宋_GB2312" w:cs="仿宋_GB2312"/>
          <w:sz w:val="32"/>
          <w:szCs w:val="32"/>
        </w:rPr>
        <w:t>从建国以来70年资料看，年降雨量最小的是1968年750.9毫米，其次是1971年820.2毫米，1955年824.9毫米；2011年降雨量843.9毫米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1971年春旱夏旱连秋旱。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（4）高温：</w:t>
      </w:r>
      <w:r>
        <w:rPr>
          <w:rFonts w:hint="eastAsia" w:ascii="仿宋_GB2312" w:hAnsi="仿宋_GB2312" w:eastAsia="仿宋_GB2312" w:cs="仿宋_GB2312"/>
          <w:sz w:val="32"/>
          <w:szCs w:val="32"/>
        </w:rPr>
        <w:t>华容县夏季历史最高气温：40.0℃（1971.7.21）</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低温冰雪冻雨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华容县的冬季无严寒，少降雨。冬季月平均气温多在5℃以上，最冷的1月份月平均温度4.4℃。虽然有极个别的时候出现过极点低温，如1977年1月30日最低气温达-12.6℃。但是2008年那场席卷我国二十多个省市的冰灾对华容县造成了重大损失</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雹害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容县历史曾经发生过多次冰雹灾害，雹害主要发生在4、8月强对流天气情况下，并伴有雷雨大风等，如2020年3月21日，华容县气象台发布冰雹橙色预警信号：预计华容县可能出现冰雹天气，并可能造成雹灾。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（7）龙卷风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2013年8月18日下午6时许华容县城酷热难挡，突然天昏地暗，狂风暴雨，强烈气流形成了猛烈的龙卷风，街道上大树被连根拔起，广告牌、衣物、垃圾四处乱窜。造成多户居民房屋不同程度受损。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（8）雷电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近30年雷暴日数年平均36.5天，最多年56天（1973年），最少年25天（1974年），年平均初日2月19日，年平均终日10月10日，初终间平均234.1天</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6" w:name="_Toc8898"/>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1.1.4县自然条件危险有害性对交通运输影响分析</w:t>
      </w:r>
      <w:bookmarkEnd w:id="4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自然灾害一般指非人为因素致灾，如</w:t>
      </w:r>
      <w:r>
        <w:rPr>
          <w:rFonts w:hint="eastAsia" w:ascii="仿宋_GB2312" w:hAnsi="仿宋_GB2312" w:eastAsia="仿宋_GB2312" w:cs="仿宋_GB2312"/>
          <w:sz w:val="32"/>
          <w:szCs w:val="32"/>
          <w:lang w:val="en-US" w:eastAsia="zh-CN"/>
        </w:rPr>
        <w:t>地质灾害、大风、雷电、暴雨洪水、极端恶劣天气、</w:t>
      </w:r>
      <w:r>
        <w:rPr>
          <w:rFonts w:hint="eastAsia" w:ascii="仿宋_GB2312" w:hAnsi="仿宋_GB2312" w:eastAsia="仿宋_GB2312" w:cs="仿宋_GB2312"/>
          <w:sz w:val="32"/>
          <w:szCs w:val="32"/>
        </w:rPr>
        <w:t>地震等，主要考虑异常气象危害因素。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hAnsi="仿宋_GB2312" w:eastAsia="仿宋_GB2312" w:cs="仿宋_GB2312"/>
          <w:sz w:val="32"/>
          <w:szCs w:val="32"/>
        </w:rPr>
      </w:pPr>
      <w:bookmarkStart w:id="47" w:name="_Toc29919"/>
      <w:bookmarkStart w:id="48" w:name="_Toc15852"/>
      <w:bookmarkStart w:id="49" w:name="_Toc10053"/>
      <w:bookmarkStart w:id="50" w:name="_Toc25608"/>
      <w:bookmarkStart w:id="51" w:name="_Toc15535"/>
      <w:bookmarkStart w:id="52" w:name="_Toc14035"/>
      <w:bookmarkStart w:id="53" w:name="_Toc6776"/>
      <w:bookmarkStart w:id="54" w:name="_Toc9296"/>
      <w:bookmarkStart w:id="55" w:name="_Toc3246"/>
      <w:bookmarkStart w:id="56" w:name="_Toc32406"/>
      <w:bookmarkStart w:id="57" w:name="_Toc26318"/>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地质灾害</w:t>
      </w:r>
      <w:bookmarkEnd w:id="47"/>
      <w:bookmarkEnd w:id="48"/>
      <w:bookmarkEnd w:id="49"/>
      <w:bookmarkEnd w:id="50"/>
      <w:bookmarkEnd w:id="51"/>
      <w:bookmarkEnd w:id="52"/>
      <w:bookmarkEnd w:id="53"/>
      <w:bookmarkEnd w:id="54"/>
      <w:bookmarkEnd w:id="55"/>
      <w:bookmarkEnd w:id="56"/>
      <w:bookmarkEnd w:id="5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bookmarkStart w:id="58" w:name="_Toc20939"/>
      <w:bookmarkStart w:id="59" w:name="_Toc22271"/>
      <w:bookmarkStart w:id="60" w:name="_Toc1671"/>
      <w:bookmarkStart w:id="61" w:name="_Toc4632"/>
      <w:bookmarkStart w:id="62" w:name="_Toc5871"/>
      <w:r>
        <w:rPr>
          <w:rFonts w:hint="eastAsia" w:ascii="仿宋_GB2312" w:hAnsi="仿宋_GB2312" w:eastAsia="仿宋_GB2312" w:cs="仿宋_GB2312"/>
          <w:sz w:val="32"/>
          <w:szCs w:val="32"/>
        </w:rPr>
        <w:t>地质灾害在时间和空间上的分布变化规律，既受制于自然环境，又与人类活动有关，往往是人类与自然界相互作用的结果。主要是山体滑坡、崩塌、泥石流、地裂缝、地面塌陷、沉降等</w:t>
      </w:r>
      <w:r>
        <w:rPr>
          <w:rFonts w:hint="eastAsia" w:ascii="仿宋_GB2312" w:hAnsi="仿宋_GB2312" w:eastAsia="仿宋_GB2312" w:cs="仿宋_GB2312"/>
          <w:sz w:val="32"/>
          <w:szCs w:val="32"/>
          <w:lang w:val="en-US" w:eastAsia="zh-CN"/>
        </w:rPr>
        <w:t>影响交通中断、人员伤亡、财产受损。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hAnsi="仿宋_GB2312" w:eastAsia="仿宋_GB2312" w:cs="仿宋_GB2312"/>
          <w:sz w:val="32"/>
          <w:szCs w:val="32"/>
        </w:rPr>
      </w:pPr>
      <w:bookmarkStart w:id="63" w:name="_Toc26787"/>
      <w:bookmarkStart w:id="64" w:name="_Toc21278"/>
      <w:bookmarkStart w:id="65" w:name="_Toc30961"/>
      <w:bookmarkStart w:id="66" w:name="_Toc632"/>
      <w:bookmarkStart w:id="67" w:name="_Toc28051"/>
      <w:bookmarkStart w:id="68" w:name="_Toc7424"/>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大风</w:t>
      </w:r>
      <w:bookmarkEnd w:id="58"/>
      <w:bookmarkEnd w:id="59"/>
      <w:bookmarkEnd w:id="60"/>
      <w:bookmarkEnd w:id="61"/>
      <w:bookmarkEnd w:id="62"/>
      <w:bookmarkEnd w:id="63"/>
      <w:bookmarkEnd w:id="64"/>
      <w:bookmarkEnd w:id="65"/>
      <w:bookmarkEnd w:id="66"/>
      <w:bookmarkEnd w:id="67"/>
      <w:bookmarkEnd w:id="6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当出现大风天气时，风速、风压对建(构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筑物基础和刚度有影响，会引起建(构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筑物不稳甚至倒塌等危害，如电线可能被刮断，</w:t>
      </w:r>
      <w:r>
        <w:rPr>
          <w:rFonts w:hint="eastAsia" w:ascii="仿宋_GB2312" w:hAnsi="仿宋_GB2312" w:eastAsia="仿宋_GB2312" w:cs="仿宋_GB2312"/>
          <w:sz w:val="32"/>
          <w:szCs w:val="32"/>
          <w:lang w:val="en-US" w:eastAsia="zh-CN"/>
        </w:rPr>
        <w:t>屋顶瓦片</w:t>
      </w:r>
      <w:r>
        <w:rPr>
          <w:rFonts w:hint="eastAsia" w:ascii="仿宋_GB2312" w:hAnsi="仿宋_GB2312" w:eastAsia="仿宋_GB2312" w:cs="仿宋_GB2312"/>
          <w:sz w:val="32"/>
          <w:szCs w:val="32"/>
        </w:rPr>
        <w:t>可能被刮</w:t>
      </w:r>
      <w:r>
        <w:rPr>
          <w:rFonts w:hint="eastAsia" w:ascii="仿宋_GB2312" w:hAnsi="仿宋_GB2312" w:eastAsia="仿宋_GB2312" w:cs="仿宋_GB2312"/>
          <w:sz w:val="32"/>
          <w:szCs w:val="32"/>
          <w:lang w:val="en-US" w:eastAsia="zh-CN"/>
        </w:rPr>
        <w:t>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树木刮断，标牌刮倒，交通运输涉及的人员</w:t>
      </w:r>
      <w:r>
        <w:rPr>
          <w:rFonts w:hint="eastAsia" w:ascii="仿宋_GB2312" w:hAnsi="仿宋_GB2312" w:eastAsia="仿宋_GB2312" w:cs="仿宋_GB2312"/>
          <w:sz w:val="32"/>
          <w:szCs w:val="32"/>
        </w:rPr>
        <w:t>生命和财产安全受到严重威胁。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hAnsi="仿宋_GB2312" w:eastAsia="仿宋_GB2312" w:cs="仿宋_GB2312"/>
          <w:sz w:val="32"/>
          <w:szCs w:val="32"/>
        </w:rPr>
      </w:pPr>
      <w:bookmarkStart w:id="69" w:name="_Toc16078"/>
      <w:bookmarkStart w:id="70" w:name="_Toc10379"/>
      <w:bookmarkStart w:id="71" w:name="_Toc29640"/>
      <w:bookmarkStart w:id="72" w:name="_Toc9951"/>
      <w:bookmarkStart w:id="73" w:name="_Toc27780"/>
      <w:bookmarkStart w:id="74" w:name="_Toc13878"/>
      <w:bookmarkStart w:id="75" w:name="_Toc16131"/>
      <w:bookmarkStart w:id="76" w:name="_Toc8864"/>
      <w:bookmarkStart w:id="77" w:name="_Toc14094"/>
      <w:bookmarkStart w:id="78" w:name="_Toc28485"/>
      <w:bookmarkStart w:id="79" w:name="_Toc1419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雷电</w:t>
      </w:r>
      <w:bookmarkEnd w:id="69"/>
      <w:bookmarkEnd w:id="70"/>
      <w:bookmarkEnd w:id="71"/>
      <w:bookmarkEnd w:id="72"/>
      <w:bookmarkEnd w:id="73"/>
      <w:bookmarkEnd w:id="74"/>
      <w:bookmarkEnd w:id="75"/>
      <w:bookmarkEnd w:id="76"/>
      <w:bookmarkEnd w:id="77"/>
      <w:bookmarkEnd w:id="78"/>
      <w:bookmarkEnd w:id="7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雷电是一种自然的物理性危险、有害因素，雷电有害因素是指大气雷电产生高压静电荷对地球表面及其导体进行放电，从而产生直接的和感应的高压电造成人员或设备建筑物的伤害。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造成雷击的原因，从预防方面分析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主要是防雷电安全技术措施不全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保护装置不合格，接地电阻超过规定要求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未定期进行防雷电检查检测。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hAnsi="仿宋_GB2312" w:eastAsia="仿宋_GB2312" w:cs="仿宋_GB2312"/>
          <w:sz w:val="32"/>
          <w:szCs w:val="32"/>
        </w:rPr>
      </w:pPr>
      <w:bookmarkStart w:id="80" w:name="_Toc11625"/>
      <w:bookmarkStart w:id="81" w:name="_Toc15275"/>
      <w:bookmarkStart w:id="82" w:name="_Toc12146"/>
      <w:bookmarkStart w:id="83" w:name="_Toc31609"/>
      <w:bookmarkStart w:id="84" w:name="_Toc17949"/>
      <w:bookmarkStart w:id="85" w:name="_Toc12947"/>
      <w:bookmarkStart w:id="86" w:name="_Toc23590"/>
      <w:bookmarkStart w:id="87" w:name="_Toc28003"/>
      <w:bookmarkStart w:id="88" w:name="_Toc18766"/>
      <w:bookmarkStart w:id="89" w:name="_Toc1796"/>
      <w:bookmarkStart w:id="90" w:name="_Toc22367"/>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暴雨及洪水</w:t>
      </w:r>
      <w:bookmarkEnd w:id="80"/>
      <w:bookmarkEnd w:id="81"/>
      <w:bookmarkEnd w:id="82"/>
      <w:bookmarkEnd w:id="83"/>
      <w:bookmarkEnd w:id="84"/>
      <w:bookmarkEnd w:id="85"/>
      <w:bookmarkEnd w:id="86"/>
      <w:bookmarkEnd w:id="87"/>
      <w:bookmarkEnd w:id="88"/>
      <w:bookmarkEnd w:id="89"/>
      <w:bookmarkEnd w:id="9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当雨量过大或局部排水不畅，可能导致内涝。内涝可能造成建筑物、设备的损坏和电力系统停电，引发</w:t>
      </w:r>
      <w:r>
        <w:rPr>
          <w:rFonts w:hint="eastAsia" w:ascii="仿宋_GB2312" w:hAnsi="仿宋_GB2312" w:eastAsia="仿宋_GB2312" w:cs="仿宋_GB2312"/>
          <w:sz w:val="32"/>
          <w:szCs w:val="32"/>
          <w:lang w:val="en-US" w:eastAsia="zh-CN"/>
        </w:rPr>
        <w:t>道路、河床损毁及其他</w:t>
      </w:r>
      <w:r>
        <w:rPr>
          <w:rFonts w:hint="eastAsia" w:ascii="仿宋_GB2312" w:hAnsi="仿宋_GB2312" w:eastAsia="仿宋_GB2312" w:cs="仿宋_GB2312"/>
          <w:sz w:val="32"/>
          <w:szCs w:val="32"/>
        </w:rPr>
        <w:t>次生灾害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导致交通运输设备设施损坏、人员伤亡</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hAnsi="仿宋_GB2312" w:eastAsia="仿宋_GB2312" w:cs="仿宋_GB2312"/>
          <w:sz w:val="32"/>
          <w:szCs w:val="32"/>
        </w:rPr>
      </w:pPr>
      <w:bookmarkStart w:id="91" w:name="_Toc4735"/>
      <w:bookmarkStart w:id="92" w:name="_Toc718"/>
      <w:bookmarkStart w:id="93" w:name="_Toc1870"/>
      <w:bookmarkStart w:id="94" w:name="_Toc3422"/>
      <w:bookmarkStart w:id="95" w:name="_Toc6447"/>
      <w:bookmarkStart w:id="96" w:name="_Toc32689"/>
      <w:bookmarkStart w:id="97" w:name="_Toc31844"/>
      <w:bookmarkStart w:id="98" w:name="_Toc12765"/>
      <w:bookmarkStart w:id="99" w:name="_Toc1290"/>
      <w:bookmarkStart w:id="100" w:name="_Toc17460"/>
      <w:bookmarkStart w:id="101" w:name="_Toc28157"/>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高温</w:t>
      </w:r>
      <w:bookmarkEnd w:id="91"/>
      <w:bookmarkEnd w:id="92"/>
      <w:bookmarkEnd w:id="93"/>
      <w:bookmarkEnd w:id="94"/>
      <w:bookmarkEnd w:id="95"/>
      <w:bookmarkEnd w:id="96"/>
      <w:bookmarkEnd w:id="97"/>
      <w:bookmarkEnd w:id="98"/>
      <w:bookmarkEnd w:id="99"/>
      <w:bookmarkEnd w:id="100"/>
      <w:bookmarkEnd w:id="10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如果高温天气，通风除热不畅，易造成人员中暑等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货物（特别是危险化学品）受高温影响发生膨胀、挥发、自燃等</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hAnsi="仿宋_GB2312" w:eastAsia="仿宋_GB2312" w:cs="仿宋_GB2312"/>
          <w:sz w:val="32"/>
          <w:szCs w:val="32"/>
          <w:lang w:val="en-US" w:eastAsia="zh-CN"/>
        </w:rPr>
      </w:pPr>
      <w:bookmarkStart w:id="102" w:name="_Toc2901"/>
      <w:bookmarkStart w:id="103" w:name="_Toc21888"/>
      <w:bookmarkStart w:id="104" w:name="_Toc22269"/>
      <w:bookmarkStart w:id="105" w:name="_Toc16731"/>
      <w:bookmarkStart w:id="106" w:name="_Toc12131"/>
      <w:bookmarkStart w:id="107" w:name="_Toc20936"/>
      <w:bookmarkStart w:id="108" w:name="_Toc15447"/>
      <w:bookmarkStart w:id="109" w:name="_Toc23090"/>
      <w:bookmarkStart w:id="110" w:name="_Toc20872"/>
      <w:bookmarkStart w:id="111" w:name="_Toc12953"/>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低温</w:t>
      </w:r>
      <w:r>
        <w:rPr>
          <w:rFonts w:hint="eastAsia" w:ascii="仿宋_GB2312" w:hAnsi="仿宋_GB2312" w:eastAsia="仿宋_GB2312" w:cs="仿宋_GB2312"/>
          <w:sz w:val="32"/>
          <w:szCs w:val="32"/>
        </w:rPr>
        <w:t>冰冻</w:t>
      </w:r>
      <w:bookmarkEnd w:id="102"/>
      <w:bookmarkEnd w:id="103"/>
      <w:bookmarkEnd w:id="104"/>
      <w:bookmarkEnd w:id="105"/>
      <w:bookmarkEnd w:id="106"/>
      <w:bookmarkEnd w:id="107"/>
      <w:r>
        <w:rPr>
          <w:rFonts w:hint="eastAsia" w:ascii="仿宋_GB2312" w:hAnsi="仿宋_GB2312" w:eastAsia="仿宋_GB2312" w:cs="仿宋_GB2312"/>
          <w:sz w:val="32"/>
          <w:szCs w:val="32"/>
          <w:lang w:val="en-US" w:eastAsia="zh-CN"/>
        </w:rPr>
        <w:t>雨雪</w:t>
      </w:r>
      <w:bookmarkEnd w:id="108"/>
      <w:bookmarkEnd w:id="109"/>
      <w:bookmarkEnd w:id="110"/>
      <w:bookmarkEnd w:id="11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冰冻可能造成电线管网的坍塌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断电；如果未做好相应防冰冻措施可能造成设备损坏，发生安全事故；路面湿滑发生车辆伤害</w:t>
      </w:r>
      <w:r>
        <w:rPr>
          <w:rFonts w:hint="eastAsia" w:ascii="仿宋_GB2312" w:hAnsi="仿宋_GB2312" w:eastAsia="仿宋_GB2312" w:cs="仿宋_GB2312"/>
          <w:sz w:val="32"/>
          <w:szCs w:val="32"/>
          <w:lang w:val="en-US" w:eastAsia="zh-CN"/>
        </w:rPr>
        <w:t>或滑溜摔倒</w:t>
      </w:r>
      <w:r>
        <w:rPr>
          <w:rFonts w:hint="eastAsia" w:ascii="仿宋_GB2312" w:hAnsi="仿宋_GB2312" w:eastAsia="仿宋_GB2312" w:cs="仿宋_GB2312"/>
          <w:sz w:val="32"/>
          <w:szCs w:val="32"/>
        </w:rPr>
        <w:t>等。华容县的冬季无严寒，少降雨。冬季月平均气温多在5℃以上，最冷的1月份月平均温度4.4℃。</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hAnsi="仿宋_GB2312" w:eastAsia="仿宋_GB2312" w:cs="仿宋_GB2312"/>
          <w:sz w:val="32"/>
          <w:szCs w:val="32"/>
        </w:rPr>
      </w:pPr>
      <w:bookmarkStart w:id="112" w:name="_Toc1744"/>
      <w:bookmarkStart w:id="113" w:name="_Toc17556"/>
      <w:bookmarkStart w:id="114" w:name="_Toc4083"/>
      <w:bookmarkStart w:id="115" w:name="_Toc11412"/>
      <w:bookmarkStart w:id="116" w:name="_Toc4931"/>
      <w:bookmarkStart w:id="117" w:name="_Toc4176"/>
      <w:bookmarkStart w:id="118" w:name="_Toc15599"/>
      <w:bookmarkStart w:id="119" w:name="_Toc405"/>
      <w:bookmarkStart w:id="120" w:name="_Toc29063"/>
      <w:bookmarkStart w:id="121" w:name="_Toc6885"/>
      <w:bookmarkStart w:id="122" w:name="_Toc27059"/>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地震灾害</w:t>
      </w:r>
      <w:bookmarkEnd w:id="112"/>
      <w:bookmarkEnd w:id="113"/>
      <w:bookmarkEnd w:id="114"/>
      <w:bookmarkEnd w:id="115"/>
      <w:bookmarkEnd w:id="116"/>
      <w:bookmarkEnd w:id="117"/>
      <w:bookmarkEnd w:id="118"/>
      <w:bookmarkEnd w:id="119"/>
      <w:bookmarkEnd w:id="120"/>
      <w:bookmarkEnd w:id="121"/>
      <w:bookmarkEnd w:id="12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华文仿宋" w:hAnsi="华文仿宋" w:eastAsia="华文仿宋" w:cs="华文仿宋"/>
          <w:bCs w:val="0"/>
          <w:kern w:val="2"/>
          <w:sz w:val="32"/>
          <w:szCs w:val="32"/>
          <w:lang w:val="en-US" w:eastAsia="zh-CN" w:bidi="ar-SA"/>
        </w:rPr>
      </w:pPr>
      <w:r>
        <w:rPr>
          <w:rFonts w:hint="eastAsia" w:ascii="仿宋_GB2312" w:hAnsi="仿宋_GB2312" w:eastAsia="仿宋_GB2312" w:cs="仿宋_GB2312"/>
          <w:sz w:val="32"/>
          <w:szCs w:val="32"/>
        </w:rPr>
        <w:t>建筑物、构筑物的抗震设防，若未按该地区抗震烈度Ⅶ度进行设计和施工，建、构筑物有可能受到地震的破坏，直接造成</w:t>
      </w:r>
      <w:r>
        <w:rPr>
          <w:rFonts w:hint="eastAsia" w:ascii="仿宋_GB2312" w:hAnsi="仿宋_GB2312" w:eastAsia="仿宋_GB2312" w:cs="仿宋_GB2312"/>
          <w:sz w:val="32"/>
          <w:szCs w:val="32"/>
          <w:lang w:val="en-US" w:eastAsia="zh-CN"/>
        </w:rPr>
        <w:t>道路、河床</w:t>
      </w:r>
      <w:r>
        <w:rPr>
          <w:rFonts w:hint="eastAsia" w:ascii="仿宋_GB2312" w:hAnsi="仿宋_GB2312" w:eastAsia="仿宋_GB2312" w:cs="仿宋_GB2312"/>
          <w:sz w:val="32"/>
          <w:szCs w:val="32"/>
        </w:rPr>
        <w:t>损毁及其附属设施的破坏，从而造成</w:t>
      </w:r>
      <w:r>
        <w:rPr>
          <w:rFonts w:hint="eastAsia" w:ascii="仿宋_GB2312" w:hAnsi="仿宋_GB2312" w:eastAsia="仿宋_GB2312" w:cs="仿宋_GB2312"/>
          <w:sz w:val="32"/>
          <w:szCs w:val="32"/>
          <w:lang w:val="en-US" w:eastAsia="zh-CN"/>
        </w:rPr>
        <w:t>交通瘫痪，或者严重的交通</w:t>
      </w:r>
      <w:r>
        <w:rPr>
          <w:rFonts w:hint="eastAsia" w:ascii="仿宋_GB2312" w:hAnsi="仿宋_GB2312" w:eastAsia="仿宋_GB2312" w:cs="仿宋_GB2312"/>
          <w:sz w:val="32"/>
          <w:szCs w:val="32"/>
        </w:rPr>
        <w:t>事故和人员伤亡等事故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发生次生、衍生事故</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123" w:name="_Toc19780"/>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1.2交通事故灾难危险有害因素辨识</w:t>
      </w:r>
      <w:bookmarkEnd w:id="123"/>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华文仿宋" w:hAnsi="华文仿宋" w:eastAsia="华文仿宋" w:cs="华文仿宋"/>
          <w:bCs w:val="0"/>
          <w:kern w:val="2"/>
          <w:sz w:val="32"/>
          <w:szCs w:val="32"/>
          <w:lang w:val="en-US" w:eastAsia="zh-CN" w:bidi="ar-SA"/>
        </w:rPr>
      </w:pPr>
      <w:r>
        <w:rPr>
          <w:rFonts w:hint="eastAsia" w:ascii="华文仿宋" w:hAnsi="华文仿宋" w:eastAsia="华文仿宋" w:cs="华文仿宋"/>
          <w:bCs w:val="0"/>
          <w:kern w:val="2"/>
          <w:sz w:val="32"/>
          <w:szCs w:val="32"/>
          <w:lang w:val="en-US" w:eastAsia="zh-CN" w:bidi="ar-SA"/>
        </w:rPr>
        <w:t>华容县交通运输的主要业务范围：全县道路、水路运输、港口及营运车辆、船舶的突发事件紧急处置工作。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124" w:name="_Toc27362"/>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1.2.1交通事故灾害危险有害因素辨识</w:t>
      </w:r>
      <w:bookmarkEnd w:id="124"/>
    </w:p>
    <w:p>
      <w:pPr>
        <w:pStyle w:val="2"/>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firstLine="640" w:firstLineChars="200"/>
        <w:textAlignment w:val="baseline"/>
        <w:rPr>
          <w:rFonts w:hint="default"/>
          <w:sz w:val="32"/>
          <w:szCs w:val="32"/>
          <w:lang w:val="en-US" w:eastAsia="zh-CN"/>
        </w:rPr>
      </w:pPr>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1.2.1.1交通运输特点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交通运输的运输车辆、船舶运输主要是点多、线长、面广。道路运输途经道路有高速、国省道、县乡道等等级公路或者其他非等级公路，经过多处临水临崖、桥隧、急弯、窄路、轮渡等路段地段；水路运输涉及海洋、内河运输，途径江海、河流，浅滩、急流、暗礁、电站、码头；天气变化大，同一行程可能遭遇雨雾雪等不同天气状况。</w:t>
      </w:r>
    </w:p>
    <w:p>
      <w:pPr>
        <w:pStyle w:val="2"/>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firstLine="640" w:firstLineChars="200"/>
        <w:textAlignment w:val="baseline"/>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1.2.1.2县交通状况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3"/>
        <w:rPr>
          <w:rFonts w:hint="default"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sz w:val="32"/>
          <w:szCs w:val="32"/>
          <w:lang w:val="en-US" w:eastAsia="zh-CN"/>
        </w:rPr>
        <w:t>（一）道路建设方面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目前，全县已建成公路总里程2720.913公里，与相邻省、市、县（区）全部由二级以上公路贯通，县城至乡镇、乡镇与乡镇之间的干线已全部硬化，行政村通畅率达100%，横穿东西、纵贯南北、连通周边、形成高效便捷的道路交通网络，以县城为中心，半小时内到达周边县市（区）、县内各乡镇的“半小时交通圈”目标已实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1、高速公路。我县境内G56杭瑞高速（45.23公里）、S05石华高速（13.5公里）已建成通车，县城设互通口2个，县境内已形成“T”字骨架，基本已实现了所有乡镇三十分钟上高速的目标。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干线公路。我县境内共有三条国道G353、G240、G234，总里程约107公里，根据县委、县政府要求，拟在2020至2035年期间全部升级为一级公路标准。其中2017年启动建设的G353松木桥至石伏工业园公路（容城大道）7.133公里已完工。省道四条，总里程约189公里，其中S217全长约76.592公里，S218全长约46.568公里，S220全长约40.879公里，S502全长约25.045公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3、县乡村道。县乡村道建成里程2366.183公里，其中：县道218.902公里；乡道898.44公里，村道1248.841公里。</w:t>
      </w:r>
    </w:p>
    <w:p>
      <w:pPr>
        <w:pStyle w:val="2"/>
        <w:keepNext w:val="0"/>
        <w:keepLines w:val="0"/>
        <w:pageBreakBefore w:val="0"/>
        <w:widowControl w:val="0"/>
        <w:kinsoku/>
        <w:wordWrap/>
        <w:overflowPunct/>
        <w:topLinePunct w:val="0"/>
        <w:autoSpaceDE/>
        <w:autoSpaceDN/>
        <w:bidi w:val="0"/>
        <w:snapToGrid/>
        <w:spacing w:beforeLines="0" w:afterLines="0" w:line="560" w:lineRule="exact"/>
        <w:rPr>
          <w:rFonts w:hint="default"/>
          <w:lang w:val="en-US" w:eastAsia="zh-CN"/>
        </w:rPr>
      </w:pPr>
      <w:r>
        <w:rPr>
          <w:rFonts w:hint="eastAsia" w:ascii="仿宋_GB2312" w:hAnsi="仿宋_GB2312" w:eastAsia="仿宋_GB2312" w:cs="仿宋_GB2312"/>
          <w:sz w:val="32"/>
          <w:szCs w:val="32"/>
          <w:lang w:val="en-US" w:eastAsia="zh-CN"/>
        </w:rPr>
        <w:t>4、水路公路交通工程，近期本县暂时无水路公路交通工程建设项目，近几年没有发生交通工程突发事故。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仿宋_GB2312" w:cs="仿宋_GB2312"/>
          <w:sz w:val="32"/>
          <w:szCs w:val="32"/>
          <w:lang w:val="en-US" w:eastAsia="zh-CN"/>
        </w:rPr>
      </w:pPr>
      <w:bookmarkStart w:id="125" w:name="_Toc4984"/>
      <w:bookmarkStart w:id="126" w:name="_Toc16771"/>
      <w:bookmarkStart w:id="127" w:name="_Toc4316"/>
      <w:r>
        <w:rPr>
          <w:rFonts w:hint="eastAsia" w:ascii="仿宋_GB2312" w:hAnsi="仿宋_GB2312" w:eastAsia="仿宋_GB2312" w:cs="仿宋_GB2312"/>
          <w:sz w:val="32"/>
          <w:szCs w:val="32"/>
          <w:lang w:val="en-US" w:eastAsia="zh-CN"/>
        </w:rPr>
        <w:t>（二）道路客运</w:t>
      </w:r>
      <w:bookmarkEnd w:id="125"/>
      <w:bookmarkEnd w:id="126"/>
      <w:bookmarkEnd w:id="127"/>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道路客运方面，全县有专业道路旅客运输企业1家，即华泰汽车运输有限公司。该公司经营道路客运班线81条，共有客运班车222台，管理人员157人，从业人员475人，取得“两员”考核合格证10人；最长运行线路是华容至张家界。公交车方面，县城区共有公交线路9条、公交车辆92台，全部由县泰运城市公交有限公司经营。公交车辆中，有纯电动公交车52台，天然气公交车40台。公交线路中，1路至6路公交采取“租赁经营”模式，7路、8路公交采取“公车公营”模式。出租汽车方面，县城区有出租汽车200台，华日公司、宏泰公司各经营100台。</w:t>
      </w:r>
    </w:p>
    <w:p>
      <w:pPr>
        <w:pStyle w:val="2"/>
        <w:keepNext w:val="0"/>
        <w:keepLines w:val="0"/>
        <w:pageBreakBefore w:val="0"/>
        <w:widowControl w:val="0"/>
        <w:numPr>
          <w:ilvl w:val="0"/>
          <w:numId w:val="1"/>
        </w:numPr>
        <w:kinsoku/>
        <w:wordWrap/>
        <w:overflowPunct/>
        <w:topLinePunct w:val="0"/>
        <w:autoSpaceDE/>
        <w:autoSpaceDN/>
        <w:bidi w:val="0"/>
        <w:adjustRightInd w:val="0"/>
        <w:snapToGrid/>
        <w:spacing w:beforeLines="0" w:afterLines="0" w:line="560" w:lineRule="exact"/>
        <w:textAlignment w:val="baseline"/>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道路货运</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hAnsi="仿宋_GB2312" w:eastAsia="仿宋_GB2312" w:cs="仿宋_GB2312"/>
          <w:kern w:val="2"/>
          <w:sz w:val="32"/>
          <w:szCs w:val="32"/>
          <w:lang w:val="en-US" w:eastAsia="zh-CN" w:bidi="ar-SA"/>
        </w:rPr>
        <w:t>道路危险货物运输方面，全县有专业道路危险货物运输企业1家，即华容县安达物流有限公司，该公司共有48台车，驾押从业人员96人，主要运输1类爆炸品、2类压缩气体和液化气体、3类易燃液体；烟花炮竹、天然气、汽油、柴油等介质。运输3类易燃液体半挂车33台、</w:t>
      </w:r>
      <w:r>
        <w:rPr>
          <w:rFonts w:hint="eastAsia" w:ascii="仿宋_GB2312" w:eastAsia="仿宋_GB2312"/>
          <w:sz w:val="32"/>
          <w:szCs w:val="32"/>
        </w:rPr>
        <w:t>中型罐式货车</w:t>
      </w:r>
      <w:r>
        <w:rPr>
          <w:rFonts w:hint="eastAsia" w:ascii="仿宋_GB2312" w:eastAsia="仿宋_GB2312"/>
          <w:sz w:val="32"/>
          <w:szCs w:val="32"/>
          <w:lang w:val="en-US" w:eastAsia="zh-CN"/>
        </w:rPr>
        <w:t>1台；运输2类</w:t>
      </w:r>
      <w:r>
        <w:rPr>
          <w:rFonts w:hint="eastAsia" w:ascii="仿宋_GB2312" w:hAnsi="仿宋_GB2312" w:eastAsia="仿宋_GB2312" w:cs="仿宋_GB2312"/>
          <w:kern w:val="2"/>
          <w:sz w:val="32"/>
          <w:szCs w:val="32"/>
          <w:lang w:val="en-US" w:eastAsia="zh-CN" w:bidi="ar-SA"/>
        </w:rPr>
        <w:t>类压缩气体和液化气体</w:t>
      </w:r>
      <w:r>
        <w:rPr>
          <w:rFonts w:hint="eastAsia" w:ascii="仿宋_GB2312" w:eastAsia="仿宋_GB2312"/>
          <w:sz w:val="32"/>
          <w:szCs w:val="32"/>
        </w:rPr>
        <w:t>半挂车</w:t>
      </w:r>
      <w:r>
        <w:rPr>
          <w:rFonts w:hint="eastAsia" w:ascii="仿宋_GB2312" w:eastAsia="仿宋_GB2312"/>
          <w:sz w:val="32"/>
          <w:szCs w:val="32"/>
          <w:lang w:val="en-US" w:eastAsia="zh-CN"/>
        </w:rPr>
        <w:t>8台；运输1类</w:t>
      </w:r>
      <w:r>
        <w:rPr>
          <w:rFonts w:hint="eastAsia" w:ascii="仿宋_GB2312" w:hAnsi="仿宋_GB2312" w:eastAsia="仿宋_GB2312" w:cs="仿宋_GB2312"/>
          <w:kern w:val="2"/>
          <w:sz w:val="32"/>
          <w:szCs w:val="32"/>
          <w:lang w:val="en-US" w:eastAsia="zh-CN" w:bidi="ar-SA"/>
        </w:rPr>
        <w:t>爆炸品</w:t>
      </w:r>
      <w:r>
        <w:rPr>
          <w:rFonts w:hint="eastAsia" w:ascii="仿宋_GB2312" w:eastAsia="仿宋_GB2312"/>
          <w:sz w:val="32"/>
          <w:szCs w:val="32"/>
        </w:rPr>
        <w:t>中型厢式货车</w:t>
      </w:r>
      <w:r>
        <w:rPr>
          <w:rFonts w:hint="eastAsia" w:ascii="仿宋_GB2312" w:eastAsia="仿宋_GB2312"/>
          <w:sz w:val="32"/>
          <w:szCs w:val="32"/>
          <w:lang w:val="en-US" w:eastAsia="zh-CN"/>
        </w:rPr>
        <w:t>4台、</w:t>
      </w:r>
      <w:r>
        <w:rPr>
          <w:rFonts w:hint="eastAsia" w:ascii="仿宋_GB2312" w:eastAsia="仿宋_GB2312"/>
          <w:sz w:val="32"/>
          <w:szCs w:val="32"/>
        </w:rPr>
        <w:t>轻型</w:t>
      </w:r>
      <w:r>
        <w:rPr>
          <w:rFonts w:hint="eastAsia" w:ascii="仿宋_GB2312" w:eastAsia="仿宋_GB2312"/>
          <w:sz w:val="32"/>
          <w:szCs w:val="32"/>
          <w:lang w:eastAsia="zh-CN"/>
        </w:rPr>
        <w:t>厢式货车</w:t>
      </w:r>
      <w:r>
        <w:rPr>
          <w:rFonts w:hint="eastAsia" w:ascii="仿宋_GB2312" w:eastAsia="仿宋_GB2312"/>
          <w:sz w:val="32"/>
          <w:szCs w:val="32"/>
          <w:lang w:val="en-US" w:eastAsia="zh-CN"/>
        </w:rPr>
        <w:t>1台、</w:t>
      </w:r>
      <w:r>
        <w:rPr>
          <w:rFonts w:hint="eastAsia" w:ascii="仿宋_GB2312" w:eastAsia="仿宋_GB2312"/>
          <w:sz w:val="32"/>
          <w:szCs w:val="32"/>
        </w:rPr>
        <w:t>重型普通货车</w:t>
      </w:r>
      <w:r>
        <w:rPr>
          <w:rFonts w:hint="eastAsia" w:ascii="仿宋_GB2312" w:eastAsia="仿宋_GB2312"/>
          <w:sz w:val="32"/>
          <w:szCs w:val="32"/>
          <w:lang w:val="en-US" w:eastAsia="zh-CN"/>
        </w:rPr>
        <w:t>1台。</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outlineLvl w:val="2"/>
        <w:rPr>
          <w:rFonts w:hint="eastAsia" w:ascii="仿宋_GB2312" w:hAnsi="仿宋_GB2312" w:eastAsia="仿宋_GB2312" w:cs="仿宋_GB2312"/>
          <w:sz w:val="32"/>
          <w:szCs w:val="32"/>
          <w:lang w:val="en-US" w:eastAsia="zh-CN"/>
        </w:rPr>
      </w:pPr>
      <w:bookmarkStart w:id="128" w:name="_Toc26231"/>
      <w:bookmarkStart w:id="129" w:name="_Toc28012"/>
      <w:bookmarkStart w:id="130" w:name="_Toc19217"/>
      <w:r>
        <w:rPr>
          <w:rFonts w:hint="eastAsia" w:ascii="仿宋_GB2312" w:hAnsi="仿宋_GB2312" w:eastAsia="仿宋_GB2312" w:cs="仿宋_GB2312"/>
          <w:sz w:val="32"/>
          <w:szCs w:val="32"/>
          <w:lang w:val="en-US" w:eastAsia="zh-CN"/>
        </w:rPr>
        <w:t>水路运输</w:t>
      </w:r>
      <w:bookmarkEnd w:id="128"/>
      <w:bookmarkEnd w:id="129"/>
      <w:bookmarkEnd w:id="13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sz w:val="32"/>
          <w:szCs w:val="32"/>
          <w:lang w:val="en-US" w:eastAsia="zh-CN"/>
        </w:rPr>
      </w:pPr>
      <w:r>
        <w:rPr>
          <w:rFonts w:hint="eastAsia" w:ascii="仿宋_GB2312" w:hAnsi="仿宋_GB2312" w:eastAsia="仿宋_GB2312" w:cs="仿宋_GB2312"/>
          <w:kern w:val="2"/>
          <w:sz w:val="32"/>
          <w:szCs w:val="32"/>
          <w:lang w:val="en-US" w:eastAsia="zh-CN" w:bidi="ar-SA"/>
        </w:rPr>
        <w:t>1、水路危险货物运输方面，调查时，全县暂时有水路危险货物运输企业0家，该公司共专业船舶0艘。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sz w:val="32"/>
          <w:szCs w:val="32"/>
          <w:lang w:val="en-US" w:eastAsia="zh-CN"/>
        </w:rPr>
      </w:pPr>
      <w:r>
        <w:rPr>
          <w:rFonts w:hint="eastAsia" w:ascii="仿宋_GB2312" w:hAnsi="仿宋_GB2312" w:eastAsia="仿宋_GB2312" w:cs="仿宋_GB2312"/>
          <w:kern w:val="2"/>
          <w:sz w:val="32"/>
          <w:szCs w:val="32"/>
          <w:lang w:val="en-US" w:eastAsia="zh-CN" w:bidi="ar-SA"/>
        </w:rPr>
        <w:t>2、水路普通货物运输方面，调查时，全县暂时有水路普通货物运输企业0家，该公司共有船舶0艘。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轮渡，本县轮渡公司华新汽车轮渡有限公司，30客位客渡船1艘，汽渡船2艘，从业人员数34人，适任证书15本（其中驾驶6人、轮机9人）；主要运行线路两条：华容东山镇江洲至监利市红城乡，航距2000米；华容县鲇鱼须镇至操军镇，航距500米；每天航次分别是：14航次、26航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码头，本县华容港区塔市驿长江作业区一期工程（岳阳塔市驿港物流有限公司）岸线长339米。结构形式分两种，其中一种为：件杂货泊位高桩梁板结构，分类为：件杂货泊位、装卸运输设备：装船吊机；第二种为：散货泊位栈桥式洗深入浅桥式浮码头结构形式，分类为：散货泊位，装卸运输设备：趸船、活动钢引桥、固定砼栈桥。</w:t>
      </w:r>
    </w:p>
    <w:p>
      <w:pPr>
        <w:pStyle w:val="2"/>
        <w:keepNext w:val="0"/>
        <w:keepLines w:val="0"/>
        <w:pageBreakBefore w:val="0"/>
        <w:widowControl w:val="0"/>
        <w:kinsoku/>
        <w:wordWrap/>
        <w:overflowPunct/>
        <w:topLinePunct w:val="0"/>
        <w:autoSpaceDE/>
        <w:autoSpaceDN/>
        <w:bidi w:val="0"/>
        <w:snapToGrid/>
        <w:spacing w:beforeLines="0" w:afterLines="0" w:line="560" w:lineRule="exac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在建码头，湖南华中铁水联运能源基地有限公司，岸线全长482米，结构形式：高桩梁板码头，分类：码头，装卸运输设备：装船机。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131" w:name="_Toc12071"/>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1.2.2</w:t>
      </w:r>
      <w:r>
        <w:rPr>
          <w:rFonts w:hint="eastAsia" w:ascii="楷体_GB2312" w:hAnsi="楷体" w:eastAsia="楷体_GB2312" w:cstheme="majorBidi"/>
          <w:b w:val="0"/>
          <w:bCs/>
          <w:color w:val="000000" w:themeColor="text1"/>
          <w:kern w:val="2"/>
          <w:sz w:val="32"/>
          <w:szCs w:val="32"/>
          <w:lang w:val="zh-CN" w:eastAsia="zh-CN" w:bidi="ar-SA"/>
          <w14:textFill>
            <w14:solidFill>
              <w14:schemeClr w14:val="tx1"/>
            </w14:solidFill>
          </w14:textFill>
        </w:rPr>
        <w:t>交通事故风险辨识与分析</w:t>
      </w:r>
      <w:bookmarkEnd w:id="13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default" w:ascii="仿宋_GB2312" w:hAnsi="仿宋_GB2312" w:eastAsia="仿宋_GB2312" w:cs="仿宋_GB2312"/>
          <w:sz w:val="32"/>
          <w:szCs w:val="32"/>
          <w:lang w:val="en-US" w:eastAsia="zh-CN"/>
        </w:rPr>
      </w:pPr>
      <w:bookmarkStart w:id="132" w:name="_Toc72"/>
      <w:bookmarkStart w:id="133" w:name="_Toc32312"/>
      <w:bookmarkStart w:id="134" w:name="_Toc17783"/>
      <w:r>
        <w:rPr>
          <w:rFonts w:hint="eastAsia" w:ascii="仿宋_GB2312" w:hAnsi="仿宋_GB2312" w:eastAsia="仿宋_GB2312" w:cs="仿宋_GB2312"/>
          <w:sz w:val="32"/>
          <w:szCs w:val="32"/>
          <w:lang w:val="en-US" w:eastAsia="zh-CN"/>
        </w:rPr>
        <w:t>1）道路交通</w:t>
      </w:r>
      <w:bookmarkEnd w:id="132"/>
      <w:bookmarkEnd w:id="133"/>
      <w:bookmarkEnd w:id="13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①县高速公路、国省道、县道等四通八达，往来方便，车流量大，道路交通主要发生道路交通事故，如车辆碰撞、倾翻、火灾、爆炸、坠落、泄漏等。交通事故放生率及伤亡人数历年呈现下降趋势，具体见下表。</w:t>
      </w:r>
    </w:p>
    <w:p>
      <w:pPr>
        <w:keepNext w:val="0"/>
        <w:keepLines w:val="0"/>
        <w:pageBreakBefore w:val="0"/>
        <w:widowControl w:val="0"/>
        <w:kinsoku/>
        <w:wordWrap/>
        <w:overflowPunct/>
        <w:topLinePunct w:val="0"/>
        <w:autoSpaceDE/>
        <w:autoSpaceDN/>
        <w:bidi w:val="0"/>
        <w:adjustRightInd/>
        <w:snapToGrid/>
        <w:spacing w:line="560" w:lineRule="exact"/>
        <w:ind w:firstLine="1124" w:firstLineChars="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28"/>
          <w:szCs w:val="28"/>
          <w:lang w:val="en-US" w:eastAsia="zh-CN"/>
        </w:rPr>
        <w:t>表1-1 华容县2017—2019年近3年交通事故统计见下表：</w:t>
      </w:r>
    </w:p>
    <w:tbl>
      <w:tblPr>
        <w:tblStyle w:val="21"/>
        <w:tblW w:w="503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2532"/>
        <w:gridCol w:w="1888"/>
        <w:gridCol w:w="1754"/>
        <w:gridCol w:w="1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507" w:type="pct"/>
            <w:noWrap w:val="0"/>
            <w:vAlign w:val="center"/>
          </w:tcPr>
          <w:p>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年份</w:t>
            </w:r>
          </w:p>
        </w:tc>
        <w:tc>
          <w:tcPr>
            <w:tcW w:w="1396" w:type="pct"/>
            <w:noWrap w:val="0"/>
            <w:vAlign w:val="center"/>
          </w:tcPr>
          <w:p>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交通事故总数量（个）</w:t>
            </w:r>
          </w:p>
        </w:tc>
        <w:tc>
          <w:tcPr>
            <w:tcW w:w="1041" w:type="pct"/>
            <w:noWrap w:val="0"/>
            <w:vAlign w:val="center"/>
          </w:tcPr>
          <w:p>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伤亡人数（人）</w:t>
            </w:r>
          </w:p>
        </w:tc>
        <w:tc>
          <w:tcPr>
            <w:tcW w:w="967" w:type="pct"/>
            <w:noWrap w:val="0"/>
            <w:vAlign w:val="center"/>
          </w:tcPr>
          <w:p>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经济损失（万）</w:t>
            </w:r>
          </w:p>
        </w:tc>
        <w:tc>
          <w:tcPr>
            <w:tcW w:w="1086" w:type="pct"/>
            <w:noWrap w:val="0"/>
            <w:vAlign w:val="center"/>
          </w:tcPr>
          <w:p>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特重大事故数量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507"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2017</w:t>
            </w:r>
          </w:p>
        </w:tc>
        <w:tc>
          <w:tcPr>
            <w:tcW w:w="1396"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5915</w:t>
            </w:r>
          </w:p>
        </w:tc>
        <w:tc>
          <w:tcPr>
            <w:tcW w:w="1041"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伤2153   亡71</w:t>
            </w:r>
          </w:p>
        </w:tc>
        <w:tc>
          <w:tcPr>
            <w:tcW w:w="967"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120</w:t>
            </w:r>
          </w:p>
        </w:tc>
        <w:tc>
          <w:tcPr>
            <w:tcW w:w="1086"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507"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2018</w:t>
            </w:r>
          </w:p>
        </w:tc>
        <w:tc>
          <w:tcPr>
            <w:tcW w:w="1396"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6210</w:t>
            </w:r>
          </w:p>
        </w:tc>
        <w:tc>
          <w:tcPr>
            <w:tcW w:w="1041"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伤2152   亡62</w:t>
            </w:r>
          </w:p>
        </w:tc>
        <w:tc>
          <w:tcPr>
            <w:tcW w:w="967"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135</w:t>
            </w:r>
          </w:p>
        </w:tc>
        <w:tc>
          <w:tcPr>
            <w:tcW w:w="1086"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507"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2019</w:t>
            </w:r>
          </w:p>
        </w:tc>
        <w:tc>
          <w:tcPr>
            <w:tcW w:w="1396"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5661</w:t>
            </w:r>
          </w:p>
        </w:tc>
        <w:tc>
          <w:tcPr>
            <w:tcW w:w="1041"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伤1525   亡61</w:t>
            </w:r>
          </w:p>
        </w:tc>
        <w:tc>
          <w:tcPr>
            <w:tcW w:w="967"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71</w:t>
            </w:r>
          </w:p>
        </w:tc>
        <w:tc>
          <w:tcPr>
            <w:tcW w:w="1086"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507"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2020</w:t>
            </w:r>
          </w:p>
        </w:tc>
        <w:tc>
          <w:tcPr>
            <w:tcW w:w="1396"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6586</w:t>
            </w:r>
          </w:p>
        </w:tc>
        <w:tc>
          <w:tcPr>
            <w:tcW w:w="1041"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伤2573   亡43</w:t>
            </w:r>
          </w:p>
        </w:tc>
        <w:tc>
          <w:tcPr>
            <w:tcW w:w="967"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w:t>
            </w:r>
          </w:p>
        </w:tc>
        <w:tc>
          <w:tcPr>
            <w:tcW w:w="1086" w:type="pct"/>
            <w:noWrap w:val="0"/>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kern w:val="2"/>
          <w:sz w:val="32"/>
          <w:szCs w:val="32"/>
          <w:lang w:val="en-US" w:eastAsia="zh-CN" w:bidi="ar-SA"/>
        </w:rPr>
      </w:pPr>
      <w:bookmarkStart w:id="135" w:name="_Toc20799"/>
      <w:bookmarkStart w:id="136" w:name="_Toc18723"/>
      <w:bookmarkStart w:id="137" w:name="_Toc22004"/>
      <w:bookmarkStart w:id="138" w:name="_Toc26771"/>
      <w:r>
        <w:rPr>
          <w:rFonts w:hint="eastAsia" w:ascii="仿宋_GB2312" w:hAnsi="仿宋_GB2312" w:eastAsia="仿宋_GB2312" w:cs="仿宋_GB2312"/>
          <w:kern w:val="2"/>
          <w:sz w:val="32"/>
          <w:szCs w:val="32"/>
          <w:lang w:val="en-US" w:eastAsia="zh-CN" w:bidi="ar-SA"/>
        </w:rPr>
        <w:t>②运输危险化学品危险特性及可能造成危害分析</w:t>
      </w:r>
      <w:bookmarkEnd w:id="135"/>
      <w:bookmarkEnd w:id="136"/>
      <w:bookmarkEnd w:id="13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根据危险化学品事故现场救援必须了解和掌握的知识，应该首先了解并掌握危险化学品的危险特性及可能造成的危害。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危险性类别：依据《常用危险化学品的分类及标志》(GB13690-92)，划分物质所属危险性类别。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燃烧爆炸危险性：描述化学品本身固有的，或遇明火、高热、震动、摩擦、撞击以及接触空气和水时所表现出的燃烧爆炸特性。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健康危害：描述危险化学品对人体的危害，主要是急性中毒的表现。职业接触限值采用国家标准《工作场所有害因素职业接触限值》(GBZ21—2007)。分为最高容许浓度(MAC)，时间加权平均容许浓度(PC-TWA)，短时间接触容许浓度(PC-STEL)。标有(皮）的物质，表示该物质可通过完整的皮肤吸收引起全身效应。标有(敏）的物质，表示该物质可能有致敏作用。立即危及生命或健康的浓度，指空气中可以立即威胁生命，或者引起不可逆或迟发性的健康损害，或者妨碍劳动者从危险环境中逃生能力的任何有毒、腐蚀或窒息性物质的浓度。具有爆炸性物质的IDLH值是依据其爆炸下限的10％制定的。急性毒性用半数致死量和半数致死浓度指标表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环境影响：主要描述了物质对生态环境的危害，尤其是对水生生物的危害，以及物质在土壤中的迁移性，在生物中的富集性和生物降解性。另外，对于少数能对臭氧层造成潜在影响的物质，还指出了其臭氧消耗系数。</w:t>
      </w:r>
    </w:p>
    <w:p>
      <w:pPr>
        <w:keepNext w:val="0"/>
        <w:keepLines w:val="0"/>
        <w:pageBreakBefore w:val="0"/>
        <w:kinsoku/>
        <w:wordWrap/>
        <w:overflowPunct/>
        <w:topLinePunct w:val="0"/>
        <w:autoSpaceDE/>
        <w:autoSpaceDN/>
        <w:bidi w:val="0"/>
        <w:adjustRightInd/>
        <w:snapToGrid/>
        <w:spacing w:line="560" w:lineRule="exact"/>
        <w:ind w:firstLine="642"/>
        <w:textAlignment w:val="auto"/>
        <w:outlineLvl w:val="3"/>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表1-2 部分运输危险化学品危险特性及可能造成危害分析</w:t>
      </w:r>
    </w:p>
    <w:tbl>
      <w:tblPr>
        <w:tblStyle w:val="22"/>
        <w:tblW w:w="9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8"/>
        <w:gridCol w:w="5950"/>
        <w:gridCol w:w="1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268" w:type="dxa"/>
          </w:tcPr>
          <w:p>
            <w:pPr>
              <w:jc w:val="center"/>
              <w:rPr>
                <w:rFonts w:hint="default" w:ascii="仿宋_GB2312" w:hAnsi="仿宋_GB2312" w:eastAsia="仿宋_GB2312" w:cs="仿宋_GB2312"/>
                <w:b/>
                <w:bCs/>
                <w:sz w:val="24"/>
                <w:szCs w:val="24"/>
                <w:lang w:val="en-US" w:eastAsia="zh-CN"/>
              </w:rPr>
            </w:pPr>
            <w:bookmarkStart w:id="139" w:name="_Toc20285"/>
            <w:bookmarkStart w:id="140" w:name="_Toc22119"/>
            <w:bookmarkStart w:id="141" w:name="_Toc22356"/>
            <w:bookmarkStart w:id="142" w:name="_Toc29317"/>
            <w:r>
              <w:rPr>
                <w:rFonts w:hint="eastAsia" w:ascii="仿宋_GB2312" w:hAnsi="仿宋_GB2312" w:eastAsia="仿宋_GB2312" w:cs="仿宋_GB2312"/>
                <w:b/>
                <w:bCs/>
                <w:sz w:val="24"/>
                <w:szCs w:val="24"/>
                <w:lang w:val="en-US" w:eastAsia="zh-CN"/>
              </w:rPr>
              <w:t>品名</w:t>
            </w:r>
            <w:bookmarkEnd w:id="139"/>
            <w:bookmarkEnd w:id="140"/>
            <w:bookmarkEnd w:id="141"/>
            <w:bookmarkEnd w:id="142"/>
          </w:p>
        </w:tc>
        <w:tc>
          <w:tcPr>
            <w:tcW w:w="5950" w:type="dxa"/>
          </w:tcPr>
          <w:p>
            <w:pPr>
              <w:jc w:val="center"/>
              <w:rPr>
                <w:rFonts w:hint="default" w:ascii="仿宋_GB2312" w:hAnsi="仿宋_GB2312" w:eastAsia="仿宋_GB2312" w:cs="仿宋_GB2312"/>
                <w:b/>
                <w:bCs/>
                <w:sz w:val="24"/>
                <w:szCs w:val="24"/>
                <w:lang w:val="en-US" w:eastAsia="zh-CN"/>
              </w:rPr>
            </w:pPr>
            <w:bookmarkStart w:id="143" w:name="_Toc24697"/>
            <w:bookmarkStart w:id="144" w:name="_Toc1004"/>
            <w:bookmarkStart w:id="145" w:name="_Toc15186"/>
            <w:bookmarkStart w:id="146" w:name="_Toc26275"/>
            <w:r>
              <w:rPr>
                <w:rFonts w:hint="eastAsia" w:ascii="仿宋_GB2312" w:hAnsi="仿宋_GB2312" w:eastAsia="仿宋_GB2312" w:cs="仿宋_GB2312"/>
                <w:b/>
                <w:bCs/>
                <w:sz w:val="24"/>
                <w:szCs w:val="24"/>
                <w:lang w:val="en-US" w:eastAsia="zh-CN"/>
              </w:rPr>
              <w:t>重要危险特性</w:t>
            </w:r>
            <w:bookmarkEnd w:id="143"/>
            <w:bookmarkEnd w:id="144"/>
            <w:bookmarkEnd w:id="145"/>
            <w:bookmarkEnd w:id="146"/>
          </w:p>
        </w:tc>
        <w:tc>
          <w:tcPr>
            <w:tcW w:w="1960" w:type="dxa"/>
          </w:tcPr>
          <w:p>
            <w:pPr>
              <w:jc w:val="center"/>
              <w:rPr>
                <w:rFonts w:hint="default" w:ascii="仿宋_GB2312" w:hAnsi="仿宋_GB2312" w:eastAsia="仿宋_GB2312" w:cs="仿宋_GB2312"/>
                <w:b/>
                <w:bCs/>
                <w:sz w:val="24"/>
                <w:szCs w:val="24"/>
                <w:lang w:val="en-US" w:eastAsia="zh-CN"/>
              </w:rPr>
            </w:pPr>
            <w:bookmarkStart w:id="147" w:name="_Toc24774"/>
            <w:bookmarkStart w:id="148" w:name="_Toc27449"/>
            <w:bookmarkStart w:id="149" w:name="_Toc23274"/>
            <w:bookmarkStart w:id="150" w:name="_Toc11243"/>
            <w:r>
              <w:rPr>
                <w:rFonts w:hint="eastAsia" w:ascii="仿宋_GB2312" w:hAnsi="仿宋_GB2312" w:eastAsia="仿宋_GB2312" w:cs="仿宋_GB2312"/>
                <w:b/>
                <w:bCs/>
                <w:sz w:val="24"/>
                <w:szCs w:val="24"/>
                <w:lang w:val="en-US" w:eastAsia="zh-CN"/>
              </w:rPr>
              <w:t>可能造成危害</w:t>
            </w:r>
            <w:bookmarkEnd w:id="147"/>
            <w:bookmarkEnd w:id="148"/>
            <w:bookmarkEnd w:id="149"/>
            <w:bookmarkEnd w:id="15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trPr>
        <w:tc>
          <w:tcPr>
            <w:tcW w:w="1268" w:type="dxa"/>
          </w:tcPr>
          <w:p>
            <w:pPr>
              <w:jc w:val="left"/>
              <w:rPr>
                <w:rFonts w:hint="eastAsia" w:ascii="仿宋_GB2312" w:hAnsi="仿宋_GB2312" w:eastAsia="仿宋_GB2312" w:cs="仿宋_GB2312"/>
                <w:sz w:val="24"/>
                <w:szCs w:val="24"/>
                <w:lang w:val="en-US" w:eastAsia="zh-CN"/>
              </w:rPr>
            </w:pPr>
          </w:p>
          <w:p>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烟花爆竹</w:t>
            </w:r>
          </w:p>
        </w:tc>
        <w:tc>
          <w:tcPr>
            <w:tcW w:w="5950" w:type="dxa"/>
          </w:tcPr>
          <w:p>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具有易燃和易爆、二次爆炸、有毒有害性、静电火花危险性的危险特性。空气污染、噪音污染、引起火灾和伤人事故</w:t>
            </w:r>
          </w:p>
        </w:tc>
        <w:tc>
          <w:tcPr>
            <w:tcW w:w="1960" w:type="dxa"/>
          </w:tcPr>
          <w:p>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污染、火灾爆炸的危险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trPr>
        <w:tc>
          <w:tcPr>
            <w:tcW w:w="1268" w:type="dxa"/>
          </w:tcPr>
          <w:p>
            <w:pPr>
              <w:jc w:val="left"/>
              <w:rPr>
                <w:rFonts w:hint="eastAsia" w:ascii="仿宋_GB2312" w:hAnsi="仿宋_GB2312" w:eastAsia="仿宋_GB2312" w:cs="仿宋_GB2312"/>
                <w:sz w:val="24"/>
                <w:szCs w:val="24"/>
                <w:lang w:val="en-US" w:eastAsia="zh-CN"/>
              </w:rPr>
            </w:pPr>
          </w:p>
          <w:p>
            <w:pPr>
              <w:ind w:firstLine="240" w:firstLineChars="1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天然气</w:t>
            </w:r>
          </w:p>
        </w:tc>
        <w:tc>
          <w:tcPr>
            <w:tcW w:w="5950" w:type="dxa"/>
          </w:tcPr>
          <w:p>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无色、无臭气体；是一种可燃气体，遇明火、高温极易燃烧爆炸，其蒸汽遇明火会引着回燃。有爆炸的危险。人体吸入可引起急性中毒、有窒息作用。</w:t>
            </w:r>
          </w:p>
        </w:tc>
        <w:tc>
          <w:tcPr>
            <w:tcW w:w="1960" w:type="dxa"/>
          </w:tcPr>
          <w:p>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火灾爆炸的危险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3" w:hRule="atLeast"/>
        </w:trPr>
        <w:tc>
          <w:tcPr>
            <w:tcW w:w="1268" w:type="dxa"/>
          </w:tcPr>
          <w:p>
            <w:pPr>
              <w:jc w:val="left"/>
              <w:rPr>
                <w:rFonts w:hint="eastAsia" w:ascii="仿宋_GB2312" w:hAnsi="仿宋_GB2312" w:eastAsia="仿宋_GB2312" w:cs="仿宋_GB2312"/>
                <w:sz w:val="24"/>
                <w:szCs w:val="24"/>
                <w:lang w:val="en-US" w:eastAsia="zh-CN"/>
              </w:rPr>
            </w:pPr>
          </w:p>
          <w:p>
            <w:pPr>
              <w:jc w:val="left"/>
              <w:rPr>
                <w:rFonts w:hint="eastAsia" w:ascii="仿宋_GB2312" w:hAnsi="仿宋_GB2312" w:eastAsia="仿宋_GB2312" w:cs="仿宋_GB2312"/>
                <w:sz w:val="24"/>
                <w:szCs w:val="24"/>
                <w:lang w:val="en-US" w:eastAsia="zh-CN"/>
              </w:rPr>
            </w:pPr>
          </w:p>
          <w:p>
            <w:pPr>
              <w:jc w:val="left"/>
              <w:rPr>
                <w:rFonts w:hint="eastAsia" w:ascii="仿宋_GB2312" w:hAnsi="仿宋_GB2312" w:eastAsia="仿宋_GB2312" w:cs="仿宋_GB2312"/>
                <w:sz w:val="24"/>
                <w:szCs w:val="24"/>
                <w:lang w:val="en-US" w:eastAsia="zh-CN"/>
              </w:rPr>
            </w:pPr>
          </w:p>
          <w:p>
            <w:pPr>
              <w:ind w:firstLine="240" w:firstLineChars="10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汽油</w:t>
            </w:r>
          </w:p>
        </w:tc>
        <w:tc>
          <w:tcPr>
            <w:tcW w:w="5950" w:type="dxa"/>
          </w:tcPr>
          <w:p>
            <w:pPr>
              <w:jc w:val="left"/>
              <w:rPr>
                <w:rFonts w:hint="eastAsia" w:ascii="宋体" w:hAnsi="宋体" w:eastAsia="宋体" w:cs="仿宋"/>
                <w:sz w:val="24"/>
                <w:szCs w:val="24"/>
                <w:shd w:val="clear" w:color="auto" w:fill="FFFFFF"/>
                <w:lang w:eastAsia="zh-CN"/>
              </w:rPr>
            </w:pPr>
            <w:r>
              <w:rPr>
                <w:rFonts w:hint="eastAsia" w:ascii="仿宋_GB2312" w:hAnsi="仿宋_GB2312" w:eastAsia="仿宋_GB2312" w:cs="仿宋_GB2312"/>
                <w:sz w:val="24"/>
                <w:szCs w:val="24"/>
                <w:lang w:val="en-US" w:eastAsia="zh-CN"/>
              </w:rPr>
              <w:t>第3.1类闪点易燃液体，危规号31001，UN编码1203，包装类别Ⅱ。易燃、易爆、爆炸极限1.3%—6.0%，有毒液体。对中枢神经系统有麻醉作用。轻度中毒症状有头晕、头痛、恶心、呕吐、步态不稳、共济失调。高浓度吸入出现中毒性脑玻极，意识突然丧失、反射性呼吸停止。</w:t>
            </w:r>
          </w:p>
        </w:tc>
        <w:tc>
          <w:tcPr>
            <w:tcW w:w="1960" w:type="dxa"/>
          </w:tcPr>
          <w:p>
            <w:pPr>
              <w:spacing w:line="520" w:lineRule="exact"/>
              <w:outlineLvl w:val="1"/>
              <w:rPr>
                <w:rFonts w:hint="eastAsia" w:ascii="仿宋_GB2312" w:hAnsi="仿宋_GB2312" w:eastAsia="仿宋_GB2312" w:cs="仿宋_GB2312"/>
                <w:b w:val="0"/>
                <w:bCs w:val="0"/>
                <w:spacing w:val="0"/>
                <w:kern w:val="44"/>
                <w:sz w:val="24"/>
                <w:szCs w:val="24"/>
                <w:vertAlign w:val="baseline"/>
                <w:lang w:val="en-US" w:eastAsia="zh-CN"/>
              </w:rPr>
            </w:pPr>
            <w:bookmarkStart w:id="151" w:name="_Toc16477"/>
            <w:bookmarkStart w:id="152" w:name="_Toc15983"/>
            <w:bookmarkStart w:id="153" w:name="_Toc22824"/>
            <w:r>
              <w:rPr>
                <w:rFonts w:hint="default" w:ascii="仿宋_GB2312" w:hAnsi="仿宋_GB2312" w:eastAsia="仿宋_GB2312" w:cs="仿宋_GB2312"/>
                <w:sz w:val="24"/>
                <w:szCs w:val="24"/>
                <w:lang w:val="en-US" w:eastAsia="zh-CN"/>
              </w:rPr>
              <w:t>燃烧爆炸的危险。</w:t>
            </w:r>
            <w:bookmarkEnd w:id="151"/>
            <w:bookmarkEnd w:id="152"/>
            <w:bookmarkEnd w:id="15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trPr>
        <w:tc>
          <w:tcPr>
            <w:tcW w:w="1268" w:type="dxa"/>
          </w:tcPr>
          <w:p>
            <w:pPr>
              <w:jc w:val="left"/>
              <w:rPr>
                <w:rFonts w:hint="eastAsia" w:ascii="仿宋_GB2312" w:hAnsi="仿宋_GB2312" w:eastAsia="仿宋_GB2312" w:cs="仿宋_GB2312"/>
                <w:sz w:val="24"/>
                <w:szCs w:val="24"/>
                <w:lang w:val="en-US" w:eastAsia="zh-CN"/>
              </w:rPr>
            </w:pPr>
          </w:p>
          <w:p>
            <w:pPr>
              <w:jc w:val="left"/>
              <w:rPr>
                <w:rFonts w:hint="eastAsia" w:ascii="仿宋_GB2312" w:hAnsi="仿宋_GB2312" w:eastAsia="仿宋_GB2312" w:cs="仿宋_GB2312"/>
                <w:sz w:val="24"/>
                <w:szCs w:val="24"/>
                <w:lang w:val="en-US" w:eastAsia="zh-CN"/>
              </w:rPr>
            </w:pPr>
          </w:p>
          <w:p>
            <w:pPr>
              <w:ind w:firstLine="240" w:firstLineChars="10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柴油</w:t>
            </w:r>
          </w:p>
        </w:tc>
        <w:tc>
          <w:tcPr>
            <w:tcW w:w="5950" w:type="dxa"/>
          </w:tcPr>
          <w:p>
            <w:pPr>
              <w:jc w:val="left"/>
              <w:rPr>
                <w:rFonts w:hint="eastAsia" w:ascii="宋体" w:hAnsi="宋体" w:eastAsia="宋体" w:cs="仿宋"/>
                <w:sz w:val="24"/>
                <w:szCs w:val="24"/>
                <w:shd w:val="clear" w:color="auto" w:fill="FFFFFF"/>
              </w:rPr>
            </w:pPr>
            <w:bookmarkStart w:id="154" w:name="_Toc5041"/>
            <w:r>
              <w:rPr>
                <w:rFonts w:hint="eastAsia" w:ascii="仿宋_GB2312" w:hAnsi="仿宋_GB2312" w:eastAsia="仿宋_GB2312" w:cs="仿宋_GB2312"/>
                <w:sz w:val="24"/>
                <w:szCs w:val="24"/>
                <w:lang w:val="en-US" w:eastAsia="zh-CN"/>
              </w:rPr>
              <w:t>第3.3类高闪点液体，危规号：T33502, 褐色稍粘稠油状液体，有一定气味，着火性、流动性、</w:t>
            </w:r>
            <w:r>
              <w:rPr>
                <w:rFonts w:hint="default" w:ascii="仿宋_GB2312" w:hAnsi="仿宋_GB2312" w:eastAsia="仿宋_GB2312" w:cs="仿宋_GB2312"/>
                <w:sz w:val="24"/>
                <w:szCs w:val="24"/>
                <w:lang w:val="en-US" w:eastAsia="zh-CN"/>
              </w:rPr>
              <w:t>皮肤接触可为主要吸收途径，可致急性肾脏损害。柴油可 溶解性</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 xml:space="preserve"> 不溶于水，溶于多数有机溶剂。</w:t>
            </w:r>
            <w:bookmarkEnd w:id="154"/>
          </w:p>
        </w:tc>
        <w:tc>
          <w:tcPr>
            <w:tcW w:w="1960" w:type="dxa"/>
          </w:tcPr>
          <w:p>
            <w:pPr>
              <w:spacing w:line="520" w:lineRule="exact"/>
              <w:outlineLvl w:val="1"/>
              <w:rPr>
                <w:rFonts w:hint="eastAsia" w:ascii="仿宋_GB2312" w:hAnsi="仿宋_GB2312" w:eastAsia="仿宋_GB2312" w:cs="仿宋_GB2312"/>
                <w:b w:val="0"/>
                <w:bCs w:val="0"/>
                <w:spacing w:val="0"/>
                <w:kern w:val="44"/>
                <w:sz w:val="24"/>
                <w:szCs w:val="24"/>
                <w:vertAlign w:val="baseline"/>
                <w:lang w:val="en-US" w:eastAsia="zh-CN"/>
              </w:rPr>
            </w:pPr>
            <w:bookmarkStart w:id="155" w:name="_Toc7987"/>
            <w:bookmarkStart w:id="156" w:name="_Toc3891"/>
            <w:bookmarkStart w:id="157" w:name="_Toc9411"/>
            <w:r>
              <w:rPr>
                <w:rFonts w:hint="default" w:ascii="仿宋_GB2312" w:hAnsi="仿宋_GB2312" w:eastAsia="仿宋_GB2312" w:cs="仿宋_GB2312"/>
                <w:sz w:val="24"/>
                <w:szCs w:val="24"/>
                <w:lang w:val="en-US" w:eastAsia="zh-CN"/>
              </w:rPr>
              <w:t>燃烧爆炸的危险。</w:t>
            </w:r>
            <w:bookmarkEnd w:id="155"/>
            <w:bookmarkEnd w:id="156"/>
            <w:bookmarkEnd w:id="157"/>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仿宋_GB2312" w:cs="仿宋_GB2312"/>
          <w:sz w:val="32"/>
          <w:szCs w:val="32"/>
          <w:lang w:val="en-US" w:eastAsia="zh-CN"/>
        </w:rPr>
      </w:pPr>
      <w:bookmarkStart w:id="158" w:name="_Toc6915"/>
      <w:bookmarkStart w:id="159" w:name="_Toc13854"/>
      <w:r>
        <w:rPr>
          <w:rFonts w:hint="eastAsia" w:ascii="仿宋_GB2312" w:hAnsi="仿宋_GB2312" w:eastAsia="仿宋_GB2312" w:cs="仿宋_GB2312"/>
          <w:sz w:val="32"/>
          <w:szCs w:val="32"/>
          <w:lang w:val="en-US" w:eastAsia="zh-CN"/>
        </w:rPr>
        <w:t>2）水上交通</w:t>
      </w:r>
      <w:bookmarkEnd w:id="138"/>
      <w:bookmarkEnd w:id="158"/>
      <w:bookmarkEnd w:id="15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水上交通事故统计办法》水上交通事故共分为10类：（1）碰撞事故；（2）搁浅事故；（3）触礁事故；（4）触碰事故；（5）浪损事故；（6）火灾、爆炸事故；（7）风灾事故；（8）自沉事故；（9）操作性污染事故；（10）其他引起人员伤亡、直接经济损失或者水域环境污染的水上交通事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容县境内水域有华容河和藕池河2条季节性通航河流，共167公里（华容河69公里，藕池河98公里），通航时间一般为每年5月至10月。共有桥梁15座。其中，华容河8座；藕池河7座。共有跨江电缆39处、水下电缆2处。现有渡口45处，渡口多为自然坡岸，部分渡口修建了水泥简易码头。丰水期，有少量2000吨级砂石船进入内河水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自2014年至今华容县未发生过水上交通事故。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3）水路公路交通工程建设、码头、轮渡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交通工程建设事故依据《企业职工伤亡事故分类标准》事故类别主要有：车辆伤害、坍塌、起重伤害、触电、火灾、高处坠落、物体打击、机械伤害等。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至今华容县未发生过水路公路交通工程建设、码头、轮渡事故。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4）交通检维修作业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检维修作业时，使用电，导致触电伤人；使用风炮等设备拿捏不牢、气压过高，飞溅伤人、物体打击伤害；钳工作业导致敲击伤人、物体打击伤害；皮带、齿轮等旋转部件造成皮带伤人、啮合伤人；搬运物件造成扭伤、砸伤、腰肌受损；进入受限空间作业造成人员中毒窒息事件；登高作业造成高处坠落；违规动火作业造成火灾及人员伤害；特种作业造成设备损坏、人员伤害等。</w:t>
      </w:r>
    </w:p>
    <w:p>
      <w:pPr>
        <w:pStyle w:val="2"/>
        <w:ind w:firstLine="1968" w:firstLineChars="70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表1-3  装卸运输设备致险因素分析表</w:t>
      </w:r>
    </w:p>
    <w:tbl>
      <w:tblPr>
        <w:tblStyle w:val="22"/>
        <w:tblW w:w="8918"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1235"/>
        <w:gridCol w:w="1947"/>
        <w:gridCol w:w="1760"/>
        <w:gridCol w:w="1365"/>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45" w:type="dxa"/>
            <w:vMerge w:val="restart"/>
            <w:vAlign w:val="center"/>
          </w:tcPr>
          <w:p>
            <w:pPr>
              <w:jc w:val="center"/>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作业单元</w:t>
            </w:r>
          </w:p>
        </w:tc>
        <w:tc>
          <w:tcPr>
            <w:tcW w:w="1235" w:type="dxa"/>
            <w:vMerge w:val="restart"/>
            <w:vAlign w:val="center"/>
          </w:tcPr>
          <w:p>
            <w:pPr>
              <w:jc w:val="center"/>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典型风险事件</w:t>
            </w:r>
          </w:p>
        </w:tc>
        <w:tc>
          <w:tcPr>
            <w:tcW w:w="6938" w:type="dxa"/>
            <w:gridSpan w:val="4"/>
          </w:tcPr>
          <w:p>
            <w:pPr>
              <w:jc w:val="center"/>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致险因素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45" w:type="dxa"/>
            <w:vMerge w:val="continue"/>
          </w:tcPr>
          <w:p>
            <w:pPr>
              <w:jc w:val="center"/>
              <w:rPr>
                <w:rFonts w:hint="eastAsia" w:ascii="仿宋_GB2312" w:hAnsi="仿宋_GB2312" w:eastAsia="仿宋_GB2312" w:cs="仿宋_GB2312"/>
                <w:b/>
                <w:bCs/>
                <w:sz w:val="24"/>
                <w:szCs w:val="24"/>
                <w:lang w:val="en-US" w:eastAsia="zh-CN"/>
              </w:rPr>
            </w:pPr>
          </w:p>
        </w:tc>
        <w:tc>
          <w:tcPr>
            <w:tcW w:w="1235" w:type="dxa"/>
            <w:vMerge w:val="continue"/>
          </w:tcPr>
          <w:p>
            <w:pPr>
              <w:jc w:val="center"/>
              <w:rPr>
                <w:rFonts w:hint="eastAsia" w:ascii="仿宋_GB2312" w:hAnsi="仿宋_GB2312" w:eastAsia="仿宋_GB2312" w:cs="仿宋_GB2312"/>
                <w:b/>
                <w:bCs/>
                <w:sz w:val="24"/>
                <w:szCs w:val="24"/>
                <w:lang w:val="en-US" w:eastAsia="zh-CN"/>
              </w:rPr>
            </w:pPr>
          </w:p>
        </w:tc>
        <w:tc>
          <w:tcPr>
            <w:tcW w:w="1947" w:type="dxa"/>
          </w:tcPr>
          <w:p>
            <w:pPr>
              <w:jc w:val="center"/>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人的因素</w:t>
            </w:r>
          </w:p>
        </w:tc>
        <w:tc>
          <w:tcPr>
            <w:tcW w:w="1760" w:type="dxa"/>
          </w:tcPr>
          <w:p>
            <w:pPr>
              <w:jc w:val="center"/>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物的因素</w:t>
            </w:r>
          </w:p>
        </w:tc>
        <w:tc>
          <w:tcPr>
            <w:tcW w:w="1365" w:type="dxa"/>
          </w:tcPr>
          <w:p>
            <w:pPr>
              <w:jc w:val="center"/>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环境因素</w:t>
            </w:r>
          </w:p>
        </w:tc>
        <w:tc>
          <w:tcPr>
            <w:tcW w:w="1866" w:type="dxa"/>
          </w:tcPr>
          <w:p>
            <w:pPr>
              <w:jc w:val="center"/>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管理因素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745" w:type="dxa"/>
            <w:vMerge w:val="restart"/>
          </w:tcPr>
          <w:p>
            <w:pPr>
              <w:jc w:val="center"/>
              <w:rPr>
                <w:rFonts w:hint="eastAsia"/>
                <w:lang w:val="en-US" w:eastAsia="zh-CN"/>
              </w:rPr>
            </w:pPr>
          </w:p>
          <w:p>
            <w:pPr>
              <w:pStyle w:val="2"/>
              <w:rPr>
                <w:rFonts w:hint="eastAsia" w:ascii="仿宋_GB2312" w:hAnsi="仿宋_GB2312" w:eastAsia="仿宋_GB2312" w:cs="仿宋_GB2312"/>
                <w:sz w:val="24"/>
                <w:szCs w:val="24"/>
                <w:lang w:val="en-US" w:eastAsia="zh-CN"/>
              </w:rPr>
            </w:pPr>
          </w:p>
          <w:p>
            <w:pPr>
              <w:pStyle w:val="2"/>
              <w:rPr>
                <w:rFonts w:hint="eastAsia" w:ascii="仿宋_GB2312" w:hAnsi="仿宋_GB2312" w:eastAsia="仿宋_GB2312" w:cs="仿宋_GB2312"/>
                <w:sz w:val="24"/>
                <w:szCs w:val="24"/>
                <w:lang w:val="en-US" w:eastAsia="zh-CN"/>
              </w:rPr>
            </w:pPr>
          </w:p>
          <w:p>
            <w:pPr>
              <w:pStyle w:val="2"/>
              <w:rPr>
                <w:rFonts w:hint="eastAsia" w:ascii="仿宋_GB2312" w:hAnsi="仿宋_GB2312" w:eastAsia="仿宋_GB2312" w:cs="仿宋_GB2312"/>
                <w:sz w:val="24"/>
                <w:szCs w:val="24"/>
                <w:lang w:val="en-US" w:eastAsia="zh-CN"/>
              </w:rPr>
            </w:pPr>
          </w:p>
          <w:p>
            <w:pPr>
              <w:pStyle w:val="2"/>
              <w:rPr>
                <w:rFonts w:hint="eastAsia" w:ascii="仿宋_GB2312" w:hAnsi="仿宋_GB2312" w:eastAsia="仿宋_GB2312" w:cs="仿宋_GB2312"/>
                <w:sz w:val="24"/>
                <w:szCs w:val="24"/>
                <w:lang w:val="en-US" w:eastAsia="zh-CN"/>
              </w:rPr>
            </w:pPr>
          </w:p>
          <w:p>
            <w:pPr>
              <w:pStyle w:val="2"/>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2"/>
                <w:szCs w:val="22"/>
                <w:lang w:val="en-US" w:eastAsia="zh-CN"/>
              </w:rPr>
              <w:t>装卸</w:t>
            </w:r>
          </w:p>
          <w:p>
            <w:pPr>
              <w:pStyle w:val="2"/>
              <w:ind w:left="0" w:leftChars="0" w:firstLine="0" w:firstLineChars="0"/>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运输</w:t>
            </w:r>
          </w:p>
          <w:p>
            <w:pPr>
              <w:pStyle w:val="2"/>
              <w:ind w:left="0" w:leftChars="0" w:firstLine="0" w:firstLineChars="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2"/>
                <w:szCs w:val="22"/>
                <w:lang w:val="en-US" w:eastAsia="zh-CN"/>
              </w:rPr>
              <w:t>设备</w:t>
            </w:r>
          </w:p>
          <w:p>
            <w:pPr>
              <w:pStyle w:val="2"/>
              <w:rPr>
                <w:rFonts w:hint="eastAsia" w:ascii="仿宋_GB2312" w:hAnsi="仿宋_GB2312" w:eastAsia="仿宋_GB2312" w:cs="仿宋_GB2312"/>
                <w:sz w:val="24"/>
                <w:szCs w:val="24"/>
                <w:lang w:val="en-US" w:eastAsia="zh-CN"/>
              </w:rPr>
            </w:pPr>
          </w:p>
        </w:tc>
        <w:tc>
          <w:tcPr>
            <w:tcW w:w="1235" w:type="dxa"/>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坍塌</w:t>
            </w:r>
          </w:p>
        </w:tc>
        <w:tc>
          <w:tcPr>
            <w:tcW w:w="1947" w:type="dxa"/>
            <w:vAlign w:val="center"/>
          </w:tcPr>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安装人员未按方案执行</w:t>
            </w:r>
          </w:p>
        </w:tc>
        <w:tc>
          <w:tcPr>
            <w:tcW w:w="1760" w:type="dxa"/>
            <w:vAlign w:val="center"/>
          </w:tcPr>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材料不符合要求，架设不牢固</w:t>
            </w:r>
          </w:p>
        </w:tc>
        <w:tc>
          <w:tcPr>
            <w:tcW w:w="1365" w:type="dxa"/>
            <w:vAlign w:val="center"/>
          </w:tcPr>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汛期水流建过快，流量过大</w:t>
            </w:r>
          </w:p>
        </w:tc>
        <w:tc>
          <w:tcPr>
            <w:tcW w:w="1866" w:type="dxa"/>
            <w:vAlign w:val="center"/>
          </w:tcPr>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违章指挥或指挥失误</w:t>
            </w: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违章操作或误操作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6" w:hRule="atLeast"/>
        </w:trPr>
        <w:tc>
          <w:tcPr>
            <w:tcW w:w="745" w:type="dxa"/>
            <w:vMerge w:val="continue"/>
          </w:tcPr>
          <w:p>
            <w:pPr>
              <w:jc w:val="center"/>
              <w:rPr>
                <w:rFonts w:hint="eastAsia" w:ascii="仿宋_GB2312" w:hAnsi="仿宋_GB2312" w:eastAsia="仿宋_GB2312" w:cs="仿宋_GB2312"/>
                <w:sz w:val="24"/>
                <w:szCs w:val="24"/>
                <w:lang w:val="en-US" w:eastAsia="zh-CN"/>
              </w:rPr>
            </w:pPr>
          </w:p>
        </w:tc>
        <w:tc>
          <w:tcPr>
            <w:tcW w:w="1235"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起重伤害</w:t>
            </w:r>
          </w:p>
        </w:tc>
        <w:tc>
          <w:tcPr>
            <w:tcW w:w="1947"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操作人未持证上岗或未接受安全教育及交底</w:t>
            </w:r>
          </w:p>
        </w:tc>
        <w:tc>
          <w:tcPr>
            <w:tcW w:w="1760"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240" w:lineRule="exact"/>
              <w:jc w:val="center"/>
              <w:textAlignment w:val="baseline"/>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起重设备安全附件缺失，钢丝绳断股，超负荷，吊装符合要求；</w:t>
            </w:r>
            <w:r>
              <w:rPr>
                <w:rFonts w:hint="eastAsia" w:ascii="仿宋_GB2312" w:hAnsi="仿宋_GB2312" w:eastAsia="仿宋_GB2312" w:cs="仿宋_GB2312"/>
                <w:sz w:val="24"/>
                <w:szCs w:val="24"/>
                <w:lang w:val="en-US" w:eastAsia="zh-CN"/>
              </w:rPr>
              <w:t>汽车式起重机支撑不稳；吊点不牢</w:t>
            </w:r>
          </w:p>
        </w:tc>
        <w:tc>
          <w:tcPr>
            <w:tcW w:w="1365"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夜间施工照明不满足作业要求</w:t>
            </w:r>
          </w:p>
        </w:tc>
        <w:tc>
          <w:tcPr>
            <w:tcW w:w="1866"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240" w:lineRule="exact"/>
              <w:ind w:firstLine="480" w:firstLineChars="200"/>
              <w:jc w:val="center"/>
              <w:textAlignment w:val="baseline"/>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1、违章操作或误操作</w:t>
            </w: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jc w:val="center"/>
              <w:textAlignment w:val="baseline"/>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2.违章指挥或指挥失误</w:t>
            </w: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jc w:val="center"/>
              <w:textAlignment w:val="baseline"/>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3.起重设备验收、检查不到位</w:t>
            </w: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jc w:val="center"/>
              <w:textAlignment w:val="baseline"/>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4、设备旋转半径下停留作业或未保证安全降离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trPr>
        <w:tc>
          <w:tcPr>
            <w:tcW w:w="745" w:type="dxa"/>
            <w:vMerge w:val="continue"/>
          </w:tcPr>
          <w:p>
            <w:pPr>
              <w:jc w:val="center"/>
              <w:rPr>
                <w:rFonts w:hint="eastAsia" w:ascii="仿宋_GB2312" w:hAnsi="仿宋_GB2312" w:eastAsia="仿宋_GB2312" w:cs="仿宋_GB2312"/>
                <w:sz w:val="24"/>
                <w:szCs w:val="24"/>
                <w:lang w:val="en-US" w:eastAsia="zh-CN"/>
              </w:rPr>
            </w:pPr>
          </w:p>
        </w:tc>
        <w:tc>
          <w:tcPr>
            <w:tcW w:w="1235" w:type="dxa"/>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物体打击</w:t>
            </w:r>
          </w:p>
        </w:tc>
        <w:tc>
          <w:tcPr>
            <w:tcW w:w="1947" w:type="dxa"/>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作业人员未佩戴个人防护用品</w:t>
            </w:r>
          </w:p>
        </w:tc>
        <w:tc>
          <w:tcPr>
            <w:tcW w:w="1760" w:type="dxa"/>
            <w:vAlign w:val="center"/>
          </w:tcPr>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1、未设置安全防护或损坏</w:t>
            </w: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2、施工机具设备未固定或未验收</w:t>
            </w: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3使用材料不合要求</w:t>
            </w:r>
          </w:p>
        </w:tc>
        <w:tc>
          <w:tcPr>
            <w:tcW w:w="1365" w:type="dxa"/>
            <w:vAlign w:val="center"/>
          </w:tcPr>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1夜间施工照明不满足作业要求</w:t>
            </w: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2作业场地狭窄，杂乱，不平</w:t>
            </w: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3警示标志缺失</w:t>
            </w:r>
          </w:p>
        </w:tc>
        <w:tc>
          <w:tcPr>
            <w:tcW w:w="1866" w:type="dxa"/>
            <w:vAlign w:val="center"/>
          </w:tcPr>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1违章操作或误操作；</w:t>
            </w: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2违章指挥或指挥失误；</w:t>
            </w: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3施工作业程序不当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trPr>
        <w:tc>
          <w:tcPr>
            <w:tcW w:w="745" w:type="dxa"/>
            <w:vMerge w:val="continue"/>
          </w:tcPr>
          <w:p>
            <w:pPr>
              <w:jc w:val="center"/>
              <w:rPr>
                <w:rFonts w:hint="eastAsia" w:ascii="仿宋_GB2312" w:hAnsi="仿宋_GB2312" w:eastAsia="仿宋_GB2312" w:cs="仿宋_GB2312"/>
                <w:sz w:val="24"/>
                <w:szCs w:val="24"/>
                <w:lang w:val="en-US" w:eastAsia="zh-CN"/>
              </w:rPr>
            </w:pPr>
          </w:p>
        </w:tc>
        <w:tc>
          <w:tcPr>
            <w:tcW w:w="1235" w:type="dxa"/>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高处坠落</w:t>
            </w:r>
          </w:p>
        </w:tc>
        <w:tc>
          <w:tcPr>
            <w:tcW w:w="1947" w:type="dxa"/>
            <w:vAlign w:val="center"/>
          </w:tcPr>
          <w:p>
            <w:pPr>
              <w:pStyle w:val="2"/>
              <w:keepNext w:val="0"/>
              <w:keepLines w:val="0"/>
              <w:pageBreakBefore w:val="0"/>
              <w:widowControl w:val="0"/>
              <w:numPr>
                <w:ilvl w:val="0"/>
                <w:numId w:val="3"/>
              </w:numPr>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作业人员健康状况不满足高空作业要求</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240" w:lineRule="exact"/>
              <w:ind w:left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2、作业人员未系安全带</w:t>
            </w: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3、操作人员未持证上岗或未接受教育培训</w:t>
            </w:r>
          </w:p>
        </w:tc>
        <w:tc>
          <w:tcPr>
            <w:tcW w:w="1760" w:type="dxa"/>
            <w:vAlign w:val="center"/>
          </w:tcPr>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1、施工平台不符合要求</w:t>
            </w: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2安全设施缺失或损坏</w:t>
            </w: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3未设置警示标志</w:t>
            </w:r>
          </w:p>
        </w:tc>
        <w:tc>
          <w:tcPr>
            <w:tcW w:w="1365" w:type="dxa"/>
            <w:vAlign w:val="center"/>
          </w:tcPr>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警示标志缺失</w:t>
            </w:r>
          </w:p>
        </w:tc>
        <w:tc>
          <w:tcPr>
            <w:tcW w:w="1866" w:type="dxa"/>
            <w:vAlign w:val="center"/>
          </w:tcPr>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违章操作或误操作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745" w:type="dxa"/>
            <w:vMerge w:val="continue"/>
          </w:tcPr>
          <w:p>
            <w:pPr>
              <w:jc w:val="center"/>
              <w:rPr>
                <w:rFonts w:hint="eastAsia" w:ascii="仿宋_GB2312" w:hAnsi="仿宋_GB2312" w:eastAsia="仿宋_GB2312" w:cs="仿宋_GB2312"/>
                <w:sz w:val="24"/>
                <w:szCs w:val="24"/>
                <w:lang w:val="en-US" w:eastAsia="zh-CN"/>
              </w:rPr>
            </w:pPr>
          </w:p>
        </w:tc>
        <w:tc>
          <w:tcPr>
            <w:tcW w:w="1235" w:type="dxa"/>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淹溺</w:t>
            </w:r>
          </w:p>
        </w:tc>
        <w:tc>
          <w:tcPr>
            <w:tcW w:w="1947"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240" w:lineRule="exact"/>
              <w:ind w:left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1作业人员未接受安全教育</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240" w:lineRule="exact"/>
              <w:ind w:left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2个人安全防护用品不到位</w:t>
            </w:r>
          </w:p>
        </w:tc>
        <w:tc>
          <w:tcPr>
            <w:tcW w:w="1760" w:type="dxa"/>
            <w:vAlign w:val="center"/>
          </w:tcPr>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1未设置安全防护或损坏</w:t>
            </w: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2未设置警示标志</w:t>
            </w:r>
          </w:p>
        </w:tc>
        <w:tc>
          <w:tcPr>
            <w:tcW w:w="1365" w:type="dxa"/>
            <w:vAlign w:val="center"/>
          </w:tcPr>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夜间施工照明不满足作业要求</w:t>
            </w:r>
          </w:p>
        </w:tc>
        <w:tc>
          <w:tcPr>
            <w:tcW w:w="1866"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240" w:lineRule="exact"/>
              <w:ind w:left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1违章操作或误操作</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240" w:lineRule="exact"/>
              <w:ind w:leftChars="0"/>
              <w:jc w:val="center"/>
              <w:textAlignment w:val="baseline"/>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2违章指挥或指挥失误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745" w:type="dxa"/>
            <w:vMerge w:val="continue"/>
          </w:tcPr>
          <w:p>
            <w:pPr>
              <w:jc w:val="center"/>
              <w:rPr>
                <w:rFonts w:hint="eastAsia" w:ascii="仿宋_GB2312" w:hAnsi="仿宋_GB2312" w:eastAsia="仿宋_GB2312" w:cs="仿宋_GB2312"/>
                <w:sz w:val="24"/>
                <w:szCs w:val="24"/>
                <w:lang w:val="en-US" w:eastAsia="zh-CN"/>
              </w:rPr>
            </w:pPr>
          </w:p>
        </w:tc>
        <w:tc>
          <w:tcPr>
            <w:tcW w:w="1235" w:type="dxa"/>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触电</w:t>
            </w:r>
          </w:p>
        </w:tc>
        <w:tc>
          <w:tcPr>
            <w:tcW w:w="1947"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240" w:lineRule="exact"/>
              <w:ind w:left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1操作人员未持证上岗或未接受安全教育及交底</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240" w:lineRule="exact"/>
              <w:ind w:left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2、电工未进行通视、检修，维护</w:t>
            </w:r>
          </w:p>
        </w:tc>
        <w:tc>
          <w:tcPr>
            <w:tcW w:w="1760" w:type="dxa"/>
            <w:vAlign w:val="center"/>
          </w:tcPr>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1线路老化、破损，接头处理不符合要求</w:t>
            </w: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2、未配置标准配电箱</w:t>
            </w:r>
          </w:p>
        </w:tc>
        <w:tc>
          <w:tcPr>
            <w:tcW w:w="1365" w:type="dxa"/>
            <w:vAlign w:val="center"/>
          </w:tcPr>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p>
          <w:p>
            <w:pPr>
              <w:pStyle w:val="2"/>
              <w:keepNext w:val="0"/>
              <w:keepLines w:val="0"/>
              <w:pageBreakBefore w:val="0"/>
              <w:widowControl w:val="0"/>
              <w:kinsoku/>
              <w:wordWrap/>
              <w:overflowPunct/>
              <w:topLinePunct w:val="0"/>
              <w:autoSpaceDE/>
              <w:autoSpaceDN/>
              <w:bidi w:val="0"/>
              <w:adjustRightInd w:val="0"/>
              <w:snapToGrid/>
              <w:spacing w:beforeLines="0" w:afterLines="0" w:line="240" w:lineRule="exact"/>
              <w:ind w:left="0" w:leftChars="0" w:firstLine="0" w:firstLine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作业场地环境不良</w:t>
            </w:r>
          </w:p>
        </w:tc>
        <w:tc>
          <w:tcPr>
            <w:tcW w:w="1866" w:type="dxa"/>
            <w:vAlign w:val="center"/>
          </w:tcPr>
          <w:p>
            <w:pPr>
              <w:pStyle w:val="2"/>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240" w:lineRule="exact"/>
              <w:ind w:leftChars="0"/>
              <w:jc w:val="center"/>
              <w:textAlignment w:val="baseline"/>
              <w:rPr>
                <w:rFonts w:hint="eastAsia" w:ascii="仿宋_GB2312" w:hAnsi="仿宋_GB2312" w:eastAsia="仿宋_GB2312" w:cs="仿宋_GB2312"/>
                <w:kern w:val="2"/>
                <w:sz w:val="24"/>
                <w:szCs w:val="24"/>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240" w:lineRule="exact"/>
              <w:ind w:leftChars="0"/>
              <w:jc w:val="center"/>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违章操作或误操作</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160" w:name="_Toc3879"/>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1.2.3交通运输输送过程存在的危险有害因素辨识</w:t>
      </w:r>
      <w:bookmarkEnd w:id="16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161" w:name="_Toc1040"/>
      <w:bookmarkStart w:id="162" w:name="_Toc3680"/>
      <w:bookmarkStart w:id="163" w:name="_Toc14864"/>
      <w:bookmarkStart w:id="164" w:name="_Toc25710"/>
      <w:bookmarkStart w:id="165" w:name="_Toc5517"/>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1.2.3.1交通运输确定辨识范围</w:t>
      </w:r>
      <w:bookmarkEnd w:id="161"/>
      <w:bookmarkEnd w:id="162"/>
      <w:bookmarkEnd w:id="163"/>
      <w:bookmarkEnd w:id="164"/>
      <w:bookmarkEnd w:id="16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交通运输（道路运输、水路运输）风险辨识依据《中华人民共和国道路运输条例》《水路运输安全管理条例》《道路运输从业人员管理规定》《湖南省交通运输厅关于印发〈湖南省交通运输突发事件综合应急预案〉等9项突发事件应急预案的通知》《危险货物道路运输企业运输事故应急预案编制要求》JTT 911-2014、《生产经营单位生产安全事故应急预案编制导则》GB/T29639-2020等规定，根据本领域安全生产风险管理实际，确定风险辨识范围。交通运输辨识范围主要为装载、装卸、进出场所（场站）、运输途中、维修保养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166" w:name="_Toc32164"/>
      <w:bookmarkStart w:id="167" w:name="_Toc5553"/>
      <w:bookmarkStart w:id="168" w:name="_Toc29373"/>
      <w:bookmarkStart w:id="169" w:name="_Toc22184"/>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1.2.3.2 交通运输作业单元</w:t>
      </w:r>
      <w:bookmarkEnd w:id="166"/>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划分</w:t>
      </w:r>
      <w:bookmarkEnd w:id="167"/>
      <w:bookmarkEnd w:id="168"/>
      <w:bookmarkEnd w:id="16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交通运输应按照“独立性”原则，在风险辨识范围内划分作业单元，并建立作业单元清单。作业单元参见表 1。</w:t>
      </w:r>
    </w:p>
    <w:p>
      <w:pPr>
        <w:keepNext w:val="0"/>
        <w:keepLines w:val="0"/>
        <w:pageBreakBefore w:val="0"/>
        <w:widowControl w:val="0"/>
        <w:kinsoku/>
        <w:wordWrap/>
        <w:overflowPunct/>
        <w:topLinePunct w:val="0"/>
        <w:autoSpaceDE/>
        <w:autoSpaceDN/>
        <w:bidi w:val="0"/>
        <w:adjustRightInd/>
        <w:snapToGrid/>
        <w:spacing w:line="560" w:lineRule="exact"/>
        <w:ind w:firstLine="2560" w:firstLineChars="8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 1  作业单元</w:t>
      </w:r>
    </w:p>
    <w:tbl>
      <w:tblPr>
        <w:tblStyle w:val="33"/>
        <w:tblpPr w:leftFromText="180" w:rightFromText="180" w:vertAnchor="text" w:horzAnchor="page" w:tblpX="1661" w:tblpY="112"/>
        <w:tblOverlap w:val="never"/>
        <w:tblW w:w="875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9"/>
        <w:gridCol w:w="639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 w:hRule="atLeast"/>
        </w:trPr>
        <w:tc>
          <w:tcPr>
            <w:tcW w:w="2359" w:type="dxa"/>
            <w:vAlign w:val="top"/>
          </w:tcPr>
          <w:p>
            <w:pPr>
              <w:spacing w:line="520" w:lineRule="exact"/>
              <w:ind w:firstLine="241" w:firstLineChars="100"/>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风险辨识范围</w:t>
            </w:r>
          </w:p>
        </w:tc>
        <w:tc>
          <w:tcPr>
            <w:tcW w:w="6394" w:type="dxa"/>
            <w:vAlign w:val="top"/>
          </w:tcPr>
          <w:p>
            <w:pPr>
              <w:spacing w:line="520" w:lineRule="exact"/>
              <w:ind w:firstLine="482" w:firstLineChars="200"/>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作业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 w:hRule="atLeast"/>
        </w:trPr>
        <w:tc>
          <w:tcPr>
            <w:tcW w:w="2359" w:type="dxa"/>
            <w:vAlign w:val="center"/>
          </w:tcPr>
          <w:p>
            <w:pPr>
              <w:spacing w:line="520" w:lineRule="exact"/>
              <w:ind w:firstLine="480" w:firstLineChars="2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运输环境单元</w:t>
            </w:r>
          </w:p>
        </w:tc>
        <w:tc>
          <w:tcPr>
            <w:tcW w:w="6394" w:type="dxa"/>
            <w:vAlign w:val="center"/>
          </w:tcPr>
          <w:p>
            <w:pPr>
              <w:spacing w:line="5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位置环境、运输（道路或水路、气候）环境影响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 w:hRule="atLeast"/>
        </w:trPr>
        <w:tc>
          <w:tcPr>
            <w:tcW w:w="2359" w:type="dxa"/>
            <w:vAlign w:val="center"/>
          </w:tcPr>
          <w:p>
            <w:pPr>
              <w:spacing w:line="520" w:lineRule="exact"/>
              <w:ind w:firstLine="480" w:firstLineChars="20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出入场站（场所）</w:t>
            </w:r>
          </w:p>
        </w:tc>
        <w:tc>
          <w:tcPr>
            <w:tcW w:w="6394" w:type="dxa"/>
            <w:vAlign w:val="center"/>
          </w:tcPr>
          <w:p>
            <w:pPr>
              <w:spacing w:line="520" w:lineRule="exac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场站装载、配载、停靠、报班、安检等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359" w:type="dxa"/>
            <w:vAlign w:val="center"/>
          </w:tcPr>
          <w:p>
            <w:pPr>
              <w:spacing w:line="5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装卸单元</w:t>
            </w:r>
          </w:p>
        </w:tc>
        <w:tc>
          <w:tcPr>
            <w:tcW w:w="6394" w:type="dxa"/>
            <w:vAlign w:val="center"/>
          </w:tcPr>
          <w:p>
            <w:pPr>
              <w:spacing w:line="5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装卸人员、消防设施、防静电、防护用品、码头装卸设备等。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359" w:type="dxa"/>
            <w:vAlign w:val="center"/>
          </w:tcPr>
          <w:p>
            <w:pPr>
              <w:spacing w:line="5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运输单元</w:t>
            </w:r>
          </w:p>
        </w:tc>
        <w:tc>
          <w:tcPr>
            <w:tcW w:w="6394" w:type="dxa"/>
            <w:vAlign w:val="center"/>
          </w:tcPr>
          <w:p>
            <w:pPr>
              <w:spacing w:line="5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车辆船舶例检、运单、进出场地、停泊或锚地、导航、监控等。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359" w:type="dxa"/>
            <w:vAlign w:val="center"/>
          </w:tcPr>
          <w:p>
            <w:pPr>
              <w:spacing w:line="5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运输途中</w:t>
            </w:r>
          </w:p>
        </w:tc>
        <w:tc>
          <w:tcPr>
            <w:tcW w:w="6394" w:type="dxa"/>
            <w:vAlign w:val="center"/>
          </w:tcPr>
          <w:p>
            <w:pPr>
              <w:spacing w:line="5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从业人员行为、车辆船舶安全状况、通行条件、外界影响等。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 w:hRule="atLeast"/>
        </w:trPr>
        <w:tc>
          <w:tcPr>
            <w:tcW w:w="2359" w:type="dxa"/>
            <w:vAlign w:val="center"/>
          </w:tcPr>
          <w:p>
            <w:pPr>
              <w:spacing w:line="520" w:lineRule="exact"/>
              <w:ind w:firstLine="480" w:firstLineChars="2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维修清洗单元</w:t>
            </w:r>
          </w:p>
        </w:tc>
        <w:tc>
          <w:tcPr>
            <w:tcW w:w="6394" w:type="dxa"/>
            <w:vAlign w:val="center"/>
          </w:tcPr>
          <w:p>
            <w:pPr>
              <w:spacing w:line="5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机械设备、消防设施、维修作业、作业环境等。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 w:hRule="atLeast"/>
        </w:trPr>
        <w:tc>
          <w:tcPr>
            <w:tcW w:w="2359" w:type="dxa"/>
            <w:vAlign w:val="center"/>
          </w:tcPr>
          <w:p>
            <w:pPr>
              <w:spacing w:line="520" w:lineRule="exact"/>
              <w:ind w:firstLine="480" w:firstLineChars="2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职业卫生单元</w:t>
            </w:r>
          </w:p>
        </w:tc>
        <w:tc>
          <w:tcPr>
            <w:tcW w:w="6394" w:type="dxa"/>
            <w:vAlign w:val="center"/>
          </w:tcPr>
          <w:p>
            <w:pPr>
              <w:spacing w:line="5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从业人员健康影响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 w:hRule="atLeast"/>
        </w:trPr>
        <w:tc>
          <w:tcPr>
            <w:tcW w:w="2359" w:type="dxa"/>
            <w:vAlign w:val="center"/>
          </w:tcPr>
          <w:p>
            <w:pPr>
              <w:spacing w:line="520" w:lineRule="exact"/>
              <w:jc w:val="center"/>
              <w:rPr>
                <w:rFonts w:hint="eastAsia" w:ascii="仿宋_GB2312" w:hAnsi="仿宋_GB2312" w:eastAsia="仿宋_GB2312" w:cs="仿宋_GB2312"/>
                <w:sz w:val="24"/>
                <w:szCs w:val="24"/>
                <w:lang w:val="en-US" w:eastAsia="zh-CN"/>
              </w:rPr>
            </w:pPr>
            <w:bookmarkStart w:id="170" w:name="_Toc13091"/>
            <w:r>
              <w:rPr>
                <w:rFonts w:hint="eastAsia" w:ascii="仿宋_GB2312" w:hAnsi="仿宋_GB2312" w:eastAsia="仿宋_GB2312" w:cs="仿宋_GB2312"/>
                <w:sz w:val="24"/>
                <w:szCs w:val="24"/>
                <w:lang w:val="en-US" w:eastAsia="zh-CN"/>
              </w:rPr>
              <w:t>进入密闭空间</w:t>
            </w:r>
          </w:p>
          <w:p>
            <w:pPr>
              <w:spacing w:line="520" w:lineRule="exac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登高作业</w:t>
            </w:r>
          </w:p>
        </w:tc>
        <w:tc>
          <w:tcPr>
            <w:tcW w:w="6394" w:type="dxa"/>
            <w:vAlign w:val="center"/>
          </w:tcPr>
          <w:p>
            <w:pPr>
              <w:spacing w:line="520" w:lineRule="exac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造成窒息、中毒，人员伤亡事件等</w:t>
            </w:r>
          </w:p>
        </w:tc>
      </w:tr>
    </w:tbl>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171" w:name="_Toc15657"/>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1.2.4 确定事故风险事件</w:t>
      </w:r>
      <w:bookmarkEnd w:id="170"/>
      <w:bookmarkEnd w:id="17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道路运输行业根据本县各作业单元安全生产风险管理实际，结合行业领域典型事故案例，确定风险事件，如：车辆伤害、泄漏、高处坠落、火灾、爆炸、中毒、窒息、灼伤等道路交通事故。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水路运输行业根据本县各作业单元安全生产风险管理实际，结合行业领域典型事故案例，确定风险事件，如碰撞事故、搁浅事故、触礁事故、触碰事故、浪损事故、火灾、爆炸事故、风灾事故、自沉事故、操作性污染事故、其他引起人员伤亡、直接经济损失或者水域环境污染等水上交通事故。</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lang w:val="en-US" w:eastAsia="zh-CN"/>
        </w:rPr>
      </w:pPr>
      <w:r>
        <w:rPr>
          <w:rFonts w:hint="eastAsia" w:ascii="仿宋_GB2312" w:hAnsi="仿宋_GB2312" w:eastAsia="仿宋_GB2312" w:cs="仿宋_GB2312"/>
          <w:sz w:val="32"/>
          <w:szCs w:val="32"/>
          <w:lang w:val="en-US" w:eastAsia="zh-CN"/>
        </w:rPr>
        <w:t>交通工程建设、码头主要有：车辆伤害、坍塌、起重伤害、触电、火灾、高处坠落、物体打击、机械伤害等。</w:t>
      </w:r>
    </w:p>
    <w:p>
      <w:pPr>
        <w:pStyle w:val="2"/>
        <w:keepNext w:val="0"/>
        <w:keepLines w:val="0"/>
        <w:pageBreakBefore w:val="0"/>
        <w:widowControl w:val="0"/>
        <w:kinsoku/>
        <w:wordWrap/>
        <w:overflowPunct/>
        <w:topLinePunct w:val="0"/>
        <w:autoSpaceDE/>
        <w:autoSpaceDN/>
        <w:bidi w:val="0"/>
        <w:snapToGrid/>
        <w:spacing w:beforeLines="0" w:afterLines="0" w:line="560" w:lineRule="exact"/>
        <w:jc w:val="both"/>
        <w:rPr>
          <w:rFonts w:hint="eastAsia"/>
          <w:sz w:val="32"/>
          <w:szCs w:val="32"/>
          <w:lang w:val="en-US" w:eastAsia="zh-CN"/>
        </w:rPr>
      </w:pPr>
      <w:r>
        <w:rPr>
          <w:rFonts w:hint="eastAsia" w:ascii="仿宋_GB2312" w:hAnsi="仿宋_GB2312" w:eastAsia="仿宋_GB2312" w:cs="仿宋_GB2312"/>
          <w:sz w:val="32"/>
          <w:szCs w:val="32"/>
          <w:lang w:val="en-US" w:eastAsia="zh-CN"/>
        </w:rPr>
        <w:t>以上发生事故，都属于突发事件的事故灾难方面。风险事件参照《企业职工伤亡事故分类》(GB 6441- 1986)，并结合本县交通运输安全生产实际确定。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172" w:name="_Toc564"/>
      <w:bookmarkStart w:id="173" w:name="_Toc22541"/>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1.2.5分析致险因素</w:t>
      </w:r>
      <w:bookmarkEnd w:id="172"/>
      <w:bookmarkEnd w:id="173"/>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val="en-US" w:eastAsia="zh-CN"/>
        </w:rPr>
      </w:pPr>
      <w:bookmarkStart w:id="174" w:name="_Toc26749"/>
      <w:r>
        <w:rPr>
          <w:rFonts w:hint="eastAsia" w:ascii="仿宋_GB2312" w:hAnsi="仿宋_GB2312" w:eastAsia="仿宋_GB2312" w:cs="仿宋_GB2312"/>
          <w:sz w:val="32"/>
          <w:szCs w:val="32"/>
          <w:lang w:val="en-US" w:eastAsia="zh-CN"/>
        </w:rPr>
        <w:t>交通运输行业针对确定的风险事件，结合本行业领域安全生产实际，参照《生产过程危险和有害因素分类与代码》(GB/T13861-2022) 危险有害因素是指可对人造成伤亡、影响人的身体健康甚至导致疾病的因素进行致险因素分析。生产过程中的致险因素一般包含以下方面：</w:t>
      </w:r>
      <w:bookmarkEnd w:id="174"/>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val="en-US" w:eastAsia="zh-CN"/>
        </w:rPr>
      </w:pPr>
      <w:bookmarkStart w:id="175" w:name="_Toc25540"/>
      <w:r>
        <w:rPr>
          <w:rFonts w:hint="eastAsia" w:ascii="仿宋_GB2312" w:hAnsi="仿宋_GB2312" w:eastAsia="仿宋_GB2312" w:cs="仿宋_GB2312"/>
          <w:sz w:val="32"/>
          <w:szCs w:val="32"/>
          <w:lang w:val="en-US" w:eastAsia="zh-CN"/>
        </w:rPr>
        <w:t>——人的因素：从业人员心理、生理危险和有害因素；行为性危险和有害因素；</w:t>
      </w:r>
      <w:bookmarkEnd w:id="175"/>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——物（设施设备）的因素：物理性危险和有害因素；化学性危险和有害因素；生物性危险和有害因素；</w:t>
      </w:r>
    </w:p>
    <w:p>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——环境因素：室外作业不良，交通环境的安全性，以及环境对道路运输作业的影响；</w:t>
      </w:r>
    </w:p>
    <w:p>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——管理因素：安全生产的管理机构、管理制度及操作规程的合规和完备性。</w:t>
      </w:r>
    </w:p>
    <w:p>
      <w:pPr>
        <w:keepNext w:val="0"/>
        <w:keepLines w:val="0"/>
        <w:pageBreakBefore w:val="0"/>
        <w:kinsoku/>
        <w:wordWrap/>
        <w:overflowPunct/>
        <w:topLinePunct w:val="0"/>
        <w:autoSpaceDE/>
        <w:autoSpaceDN/>
        <w:bidi w:val="0"/>
        <w:adjustRightInd/>
        <w:snapToGrid/>
        <w:spacing w:line="560" w:lineRule="exact"/>
        <w:ind w:left="0" w:firstLine="640" w:firstLineChars="200"/>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176" w:name="_Toc14042"/>
      <w:bookmarkStart w:id="177" w:name="_Toc29051"/>
      <w:bookmarkStart w:id="178" w:name="_Toc11649"/>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1.2.5.1人的因素</w:t>
      </w:r>
      <w:bookmarkEnd w:id="176"/>
      <w:bookmarkEnd w:id="177"/>
      <w:bookmarkEnd w:id="178"/>
    </w:p>
    <w:p>
      <w:pPr>
        <w:keepNext w:val="0"/>
        <w:keepLines w:val="0"/>
        <w:pageBreakBefore w:val="0"/>
        <w:kinsoku/>
        <w:wordWrap/>
        <w:overflowPunct/>
        <w:topLinePunct w:val="0"/>
        <w:autoSpaceDE/>
        <w:autoSpaceDN/>
        <w:bidi w:val="0"/>
        <w:adjustRightInd/>
        <w:snapToGrid/>
        <w:spacing w:line="560" w:lineRule="exact"/>
        <w:ind w:left="0" w:firstLine="640" w:firstLineChars="200"/>
        <w:textAlignment w:val="auto"/>
        <w:outlineLvl w:val="0"/>
        <w:rPr>
          <w:rFonts w:hint="eastAsia" w:ascii="仿宋_GB2312" w:hAnsi="仿宋_GB2312" w:eastAsia="仿宋_GB2312" w:cs="仿宋_GB2312"/>
          <w:kern w:val="0"/>
          <w:sz w:val="32"/>
          <w:szCs w:val="32"/>
          <w:lang w:val="en-US" w:eastAsia="zh-CN" w:bidi="ar-SA"/>
        </w:rPr>
      </w:pPr>
      <w:bookmarkStart w:id="179" w:name="_Toc6003"/>
      <w:bookmarkStart w:id="180" w:name="_Toc0"/>
      <w:bookmarkStart w:id="181" w:name="_Toc31730"/>
      <w:bookmarkStart w:id="182" w:name="_Toc6977"/>
      <w:bookmarkStart w:id="183" w:name="_Toc6743"/>
      <w:bookmarkStart w:id="184" w:name="_Toc15820"/>
      <w:bookmarkStart w:id="185" w:name="_Toc3612"/>
      <w:bookmarkStart w:id="186" w:name="_Toc7717"/>
      <w:r>
        <w:rPr>
          <w:rFonts w:hint="eastAsia" w:ascii="仿宋_GB2312" w:hAnsi="仿宋_GB2312" w:eastAsia="仿宋_GB2312" w:cs="仿宋_GB2312"/>
          <w:kern w:val="0"/>
          <w:sz w:val="32"/>
          <w:szCs w:val="32"/>
          <w:lang w:val="en-US" w:eastAsia="zh-CN" w:bidi="ar-SA"/>
        </w:rPr>
        <w:t>1）从业人员心理、生理危险和有害因素</w:t>
      </w:r>
      <w:bookmarkEnd w:id="179"/>
      <w:bookmarkEnd w:id="180"/>
      <w:bookmarkEnd w:id="181"/>
      <w:bookmarkEnd w:id="182"/>
      <w:bookmarkEnd w:id="183"/>
      <w:bookmarkEnd w:id="184"/>
      <w:bookmarkEnd w:id="185"/>
      <w:bookmarkEnd w:id="186"/>
    </w:p>
    <w:p>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1、从业人</w:t>
      </w:r>
      <w:r>
        <w:rPr>
          <w:rFonts w:hint="eastAsia" w:ascii="仿宋_GB2312" w:hAnsi="仿宋_GB2312" w:eastAsia="仿宋_GB2312" w:cs="仿宋_GB2312"/>
          <w:bCs/>
          <w:sz w:val="32"/>
          <w:szCs w:val="32"/>
        </w:rPr>
        <w:t>员因过于自信、麻痹大意、心存侥幸、逞强、急躁、逆反等异常心理，导致不能正确认识和判断客观事物，容易导致交通事故的发生。</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2、从业人员负荷超限：包括体力负荷超限（劳动强度、劳动时间延长引起疲劳、劳损、伤害等超限）、听力负荷超限、视力负荷超限；健康状况异常；</w:t>
      </w:r>
      <w:r>
        <w:rPr>
          <w:rFonts w:hint="default" w:ascii="仿宋_GB2312" w:hAnsi="仿宋_GB2312" w:eastAsia="仿宋_GB2312" w:cs="仿宋_GB2312"/>
          <w:kern w:val="0"/>
          <w:sz w:val="32"/>
          <w:szCs w:val="32"/>
          <w:lang w:val="en-US" w:eastAsia="zh-CN" w:bidi="ar-SA"/>
        </w:rPr>
        <w:t>从事禁忌作业</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心理异常</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情绪异常</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冒险心理</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过度紧张</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其他心理异常</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辨识功能缺陷</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感知延迟</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辨识错误</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其他辨识功能缺陷</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其他心理</w:t>
      </w:r>
      <w:r>
        <w:rPr>
          <w:rFonts w:hint="eastAsia" w:ascii="仿宋_GB2312" w:hAnsi="仿宋_GB2312" w:eastAsia="仿宋_GB2312" w:cs="仿宋_GB2312"/>
          <w:kern w:val="0"/>
          <w:sz w:val="32"/>
          <w:szCs w:val="32"/>
          <w:lang w:val="en-US" w:eastAsia="zh-CN" w:bidi="ar-SA"/>
        </w:rPr>
        <w:t>（包括泄愤心理）</w:t>
      </w:r>
      <w:r>
        <w:rPr>
          <w:rFonts w:hint="default" w:ascii="仿宋_GB2312" w:hAnsi="仿宋_GB2312" w:eastAsia="仿宋_GB2312" w:cs="仿宋_GB2312"/>
          <w:kern w:val="0"/>
          <w:sz w:val="32"/>
          <w:szCs w:val="32"/>
          <w:lang w:val="en-US" w:eastAsia="zh-CN" w:bidi="ar-SA"/>
        </w:rPr>
        <w:t>、生理性危险和有害因素</w:t>
      </w:r>
      <w:r>
        <w:rPr>
          <w:rFonts w:hint="eastAsia" w:ascii="仿宋_GB2312" w:hAnsi="仿宋_GB2312" w:eastAsia="仿宋_GB2312" w:cs="仿宋_GB2312"/>
          <w:kern w:val="0"/>
          <w:sz w:val="32"/>
          <w:szCs w:val="32"/>
          <w:lang w:val="en-US" w:eastAsia="zh-CN" w:bidi="ar-SA"/>
        </w:rPr>
        <w:t>。</w:t>
      </w:r>
      <w:r>
        <w:rPr>
          <w:rFonts w:hint="eastAsia" w:ascii="仿宋_GB2312" w:hAnsi="仿宋_GB2312" w:eastAsia="仿宋_GB2312" w:cs="仿宋_GB2312"/>
          <w:bCs/>
          <w:sz w:val="32"/>
          <w:szCs w:val="32"/>
          <w:lang w:val="en-US" w:eastAsia="zh-CN"/>
        </w:rPr>
        <w:t>从业人员</w:t>
      </w:r>
      <w:r>
        <w:rPr>
          <w:rFonts w:hint="eastAsia" w:ascii="仿宋_GB2312" w:hAnsi="仿宋_GB2312" w:eastAsia="仿宋_GB2312" w:cs="仿宋_GB2312"/>
          <w:bCs/>
          <w:sz w:val="32"/>
          <w:szCs w:val="32"/>
        </w:rPr>
        <w:t>因疲劳、药物不良反应、疾病、饮酒等生理异常造成的观察和判断能力减弱，对</w:t>
      </w:r>
      <w:r>
        <w:rPr>
          <w:rFonts w:hint="eastAsia" w:ascii="仿宋_GB2312" w:hAnsi="仿宋_GB2312" w:eastAsia="仿宋_GB2312" w:cs="仿宋_GB2312"/>
          <w:bCs/>
          <w:sz w:val="32"/>
          <w:szCs w:val="32"/>
          <w:lang w:val="en-US" w:eastAsia="zh-CN"/>
        </w:rPr>
        <w:t>设备设施</w:t>
      </w:r>
      <w:r>
        <w:rPr>
          <w:rFonts w:hint="eastAsia" w:ascii="仿宋_GB2312" w:hAnsi="仿宋_GB2312" w:eastAsia="仿宋_GB2312" w:cs="仿宋_GB2312"/>
          <w:bCs/>
          <w:sz w:val="32"/>
          <w:szCs w:val="32"/>
        </w:rPr>
        <w:t>失去控制能力导致的交通事故；或者对</w:t>
      </w:r>
      <w:r>
        <w:rPr>
          <w:rFonts w:hint="eastAsia" w:ascii="仿宋_GB2312" w:hAnsi="仿宋_GB2312" w:eastAsia="仿宋_GB2312" w:cs="仿宋_GB2312"/>
          <w:bCs/>
          <w:sz w:val="32"/>
          <w:szCs w:val="32"/>
          <w:lang w:val="en-US" w:eastAsia="zh-CN"/>
        </w:rPr>
        <w:t>货物</w:t>
      </w:r>
      <w:r>
        <w:rPr>
          <w:rFonts w:hint="eastAsia" w:ascii="仿宋_GB2312" w:hAnsi="仿宋_GB2312" w:eastAsia="仿宋_GB2312" w:cs="仿宋_GB2312"/>
          <w:bCs/>
          <w:sz w:val="32"/>
          <w:szCs w:val="32"/>
        </w:rPr>
        <w:t>包装、装卸不合规而失控导致环境污染事件。</w:t>
      </w:r>
    </w:p>
    <w:p>
      <w:pPr>
        <w:pStyle w:val="1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rightChars="0" w:firstLine="640" w:firstLineChars="200"/>
        <w:jc w:val="both"/>
        <w:textAlignment w:val="auto"/>
        <w:rPr>
          <w:rFonts w:hint="default" w:ascii="仿宋_GB2312" w:hAnsi="仿宋_GB2312" w:eastAsia="仿宋_GB2312" w:cs="仿宋_GB2312"/>
          <w:kern w:val="0"/>
          <w:sz w:val="32"/>
          <w:szCs w:val="32"/>
          <w:lang w:val="en-US" w:eastAsia="zh-CN" w:bidi="ar-SA"/>
        </w:rPr>
      </w:pPr>
      <w:bookmarkStart w:id="187" w:name="_Toc16526"/>
      <w:bookmarkStart w:id="188" w:name="_Toc22884"/>
      <w:bookmarkStart w:id="189" w:name="_Toc26711"/>
      <w:bookmarkStart w:id="190" w:name="_Toc3200"/>
      <w:r>
        <w:rPr>
          <w:rFonts w:hint="eastAsia" w:ascii="仿宋_GB2312" w:hAnsi="仿宋_GB2312" w:eastAsia="仿宋_GB2312" w:cs="仿宋_GB2312"/>
          <w:kern w:val="0"/>
          <w:sz w:val="32"/>
          <w:szCs w:val="32"/>
          <w:lang w:val="en-US" w:eastAsia="zh-CN" w:bidi="ar-SA"/>
        </w:rPr>
        <w:t>2）</w:t>
      </w:r>
      <w:r>
        <w:rPr>
          <w:rFonts w:hint="default" w:ascii="仿宋_GB2312" w:hAnsi="仿宋_GB2312" w:eastAsia="仿宋_GB2312" w:cs="仿宋_GB2312"/>
          <w:kern w:val="0"/>
          <w:sz w:val="32"/>
          <w:szCs w:val="32"/>
          <w:lang w:val="en-US" w:eastAsia="zh-CN" w:bidi="ar-SA"/>
        </w:rPr>
        <w:t>行为性危险和有害因素</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指挥错误</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指挥失误</w:t>
      </w:r>
      <w:r>
        <w:rPr>
          <w:rFonts w:hint="eastAsia" w:ascii="仿宋_GB2312" w:hAnsi="仿宋_GB2312" w:eastAsia="仿宋_GB2312" w:cs="仿宋_GB2312"/>
          <w:kern w:val="0"/>
          <w:sz w:val="32"/>
          <w:szCs w:val="32"/>
          <w:lang w:val="en-US" w:eastAsia="zh-CN" w:bidi="ar-SA"/>
        </w:rPr>
        <w:t>（包括所有人员指挥失误）、</w:t>
      </w:r>
      <w:r>
        <w:rPr>
          <w:rFonts w:hint="default" w:ascii="仿宋_GB2312" w:hAnsi="仿宋_GB2312" w:eastAsia="仿宋_GB2312" w:cs="仿宋_GB2312"/>
          <w:kern w:val="0"/>
          <w:sz w:val="32"/>
          <w:szCs w:val="32"/>
          <w:lang w:val="en-US" w:eastAsia="zh-CN" w:bidi="ar-SA"/>
        </w:rPr>
        <w:t>违章指挥</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其他指挥错误</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操作错误</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误操作</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违章作业</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其他操作错误</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监护失误</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其他行为性危险和有害因素</w:t>
      </w:r>
      <w:r>
        <w:rPr>
          <w:rFonts w:hint="eastAsia" w:ascii="仿宋_GB2312" w:hAnsi="仿宋_GB2312" w:eastAsia="仿宋_GB2312" w:cs="仿宋_GB2312"/>
          <w:kern w:val="0"/>
          <w:sz w:val="32"/>
          <w:szCs w:val="32"/>
          <w:lang w:val="en-US" w:eastAsia="zh-CN" w:bidi="ar-SA"/>
        </w:rPr>
        <w:t>（包括脱岗等违反劳动纪律行为）。交通行业具体表现：</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A）</w:t>
      </w:r>
      <w:r>
        <w:rPr>
          <w:rFonts w:hint="eastAsia" w:ascii="仿宋_GB2312" w:hAnsi="仿宋_GB2312" w:eastAsia="仿宋_GB2312" w:cs="仿宋_GB2312"/>
          <w:bCs/>
          <w:sz w:val="32"/>
          <w:szCs w:val="32"/>
        </w:rPr>
        <w:t>开带</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病</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设备设施、工具</w:t>
      </w:r>
      <w:r>
        <w:rPr>
          <w:rFonts w:hint="eastAsia" w:ascii="仿宋_GB2312" w:hAnsi="仿宋_GB2312" w:eastAsia="仿宋_GB2312" w:cs="仿宋_GB2312"/>
          <w:bCs/>
          <w:sz w:val="32"/>
          <w:szCs w:val="32"/>
        </w:rPr>
        <w:t>和未经检验</w:t>
      </w:r>
      <w:r>
        <w:rPr>
          <w:rFonts w:hint="eastAsia" w:ascii="仿宋_GB2312" w:hAnsi="仿宋_GB2312" w:eastAsia="仿宋_GB2312" w:cs="仿宋_GB2312"/>
          <w:bCs/>
          <w:sz w:val="32"/>
          <w:szCs w:val="32"/>
          <w:lang w:val="en-US" w:eastAsia="zh-CN"/>
        </w:rPr>
        <w:t>设备作业</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使用相关证件、适航证书等文书不齐全、有效，违章操作、误操作等</w:t>
      </w:r>
      <w:r>
        <w:rPr>
          <w:rFonts w:hint="eastAsia" w:ascii="仿宋_GB2312" w:hAnsi="仿宋_GB2312" w:eastAsia="仿宋_GB2312" w:cs="仿宋_GB2312"/>
          <w:bCs/>
          <w:sz w:val="32"/>
          <w:szCs w:val="32"/>
        </w:rPr>
        <w:t>影响安全性能，容易导致交通事故。</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bCs/>
          <w:sz w:val="32"/>
          <w:szCs w:val="32"/>
        </w:rPr>
        <w:t>超员、超速、</w:t>
      </w:r>
      <w:r>
        <w:rPr>
          <w:rFonts w:hint="eastAsia" w:ascii="仿宋_GB2312" w:hAnsi="仿宋_GB2312" w:eastAsia="仿宋_GB2312" w:cs="仿宋_GB2312"/>
          <w:bCs/>
          <w:sz w:val="32"/>
          <w:szCs w:val="32"/>
          <w:lang w:val="en-US" w:eastAsia="zh-CN"/>
        </w:rPr>
        <w:t>作业</w:t>
      </w:r>
      <w:r>
        <w:rPr>
          <w:rFonts w:hint="eastAsia" w:ascii="仿宋_GB2312" w:hAnsi="仿宋_GB2312" w:eastAsia="仿宋_GB2312" w:cs="仿宋_GB2312"/>
          <w:bCs/>
          <w:sz w:val="32"/>
          <w:szCs w:val="32"/>
        </w:rPr>
        <w:t>过程中</w:t>
      </w:r>
      <w:r>
        <w:rPr>
          <w:rFonts w:hint="eastAsia" w:ascii="仿宋_GB2312" w:hAnsi="仿宋_GB2312" w:eastAsia="仿宋_GB2312" w:cs="仿宋_GB2312"/>
          <w:bCs/>
          <w:sz w:val="32"/>
          <w:szCs w:val="32"/>
          <w:lang w:val="en-US" w:eastAsia="zh-CN"/>
        </w:rPr>
        <w:t>分心</w:t>
      </w:r>
      <w:r>
        <w:rPr>
          <w:rFonts w:hint="eastAsia" w:ascii="仿宋_GB2312" w:hAnsi="仿宋_GB2312" w:eastAsia="仿宋_GB2312" w:cs="仿宋_GB2312"/>
          <w:bCs/>
          <w:sz w:val="32"/>
          <w:szCs w:val="32"/>
        </w:rPr>
        <w:t>，私改</w:t>
      </w:r>
      <w:r>
        <w:rPr>
          <w:rFonts w:hint="eastAsia" w:ascii="仿宋_GB2312" w:hAnsi="仿宋_GB2312" w:eastAsia="仿宋_GB2312" w:cs="仿宋_GB2312"/>
          <w:bCs/>
          <w:sz w:val="32"/>
          <w:szCs w:val="32"/>
          <w:lang w:val="en-US" w:eastAsia="zh-CN"/>
        </w:rPr>
        <w:t>工作计划</w:t>
      </w:r>
      <w:r>
        <w:rPr>
          <w:rFonts w:hint="eastAsia" w:ascii="仿宋_GB2312" w:hAnsi="仿宋_GB2312" w:eastAsia="仿宋_GB2312" w:cs="仿宋_GB2312"/>
          <w:bCs/>
          <w:sz w:val="32"/>
          <w:szCs w:val="32"/>
        </w:rPr>
        <w:t>，违反</w:t>
      </w:r>
      <w:r>
        <w:rPr>
          <w:rFonts w:hint="eastAsia" w:ascii="仿宋_GB2312" w:hAnsi="仿宋_GB2312" w:eastAsia="仿宋_GB2312" w:cs="仿宋_GB2312"/>
          <w:bCs/>
          <w:sz w:val="32"/>
          <w:szCs w:val="32"/>
          <w:lang w:val="en-US" w:eastAsia="zh-CN"/>
        </w:rPr>
        <w:t>标准、</w:t>
      </w:r>
      <w:r>
        <w:rPr>
          <w:rFonts w:hint="eastAsia" w:ascii="仿宋_GB2312" w:hAnsi="仿宋_GB2312" w:eastAsia="仿宋_GB2312" w:cs="仿宋_GB2312"/>
          <w:bCs/>
          <w:sz w:val="32"/>
          <w:szCs w:val="32"/>
        </w:rPr>
        <w:t>规则</w:t>
      </w:r>
      <w:r>
        <w:rPr>
          <w:rFonts w:hint="eastAsia" w:ascii="仿宋_GB2312" w:hAnsi="仿宋_GB2312" w:eastAsia="仿宋_GB2312" w:cs="仿宋_GB2312"/>
          <w:bCs/>
          <w:sz w:val="32"/>
          <w:szCs w:val="32"/>
          <w:lang w:val="en-US" w:eastAsia="zh-CN"/>
        </w:rPr>
        <w:t>作业</w:t>
      </w:r>
      <w:r>
        <w:rPr>
          <w:rFonts w:hint="eastAsia" w:ascii="仿宋_GB2312" w:hAnsi="仿宋_GB2312" w:eastAsia="仿宋_GB2312" w:cs="仿宋_GB2312"/>
          <w:bCs/>
          <w:sz w:val="32"/>
          <w:szCs w:val="32"/>
        </w:rPr>
        <w:t>等违规行为</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人员配备等人员不符合标准；船员适任证书等证件不齐，指挥失误等</w:t>
      </w:r>
      <w:r>
        <w:rPr>
          <w:rFonts w:hint="eastAsia" w:ascii="仿宋_GB2312" w:hAnsi="仿宋_GB2312" w:eastAsia="仿宋_GB2312" w:cs="仿宋_GB2312"/>
          <w:bCs/>
          <w:sz w:val="32"/>
          <w:szCs w:val="32"/>
        </w:rPr>
        <w:t>增加发生事故的可能性，加重事故的后果，容易诱发群死群伤事故。</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0"/>
        <w:rPr>
          <w:rFonts w:ascii="仿宋_GB2312" w:hAnsi="仿宋_GB2312" w:eastAsia="仿宋_GB2312" w:cs="仿宋_GB2312"/>
          <w:sz w:val="32"/>
          <w:szCs w:val="32"/>
        </w:rPr>
      </w:pPr>
      <w:bookmarkStart w:id="191" w:name="_Toc11223"/>
      <w:bookmarkStart w:id="192" w:name="_Toc9330"/>
      <w:bookmarkStart w:id="193" w:name="_Toc13952"/>
      <w:bookmarkStart w:id="194" w:name="_Toc30816"/>
      <w:bookmarkStart w:id="195" w:name="_Toc22705"/>
      <w:bookmarkStart w:id="196" w:name="_Toc3119"/>
      <w:r>
        <w:rPr>
          <w:rFonts w:hint="eastAsia" w:ascii="仿宋_GB2312" w:hAnsi="仿宋_GB2312" w:eastAsia="仿宋_GB2312" w:cs="仿宋_GB2312"/>
          <w:bCs/>
          <w:sz w:val="32"/>
          <w:szCs w:val="32"/>
          <w:lang w:val="en-US" w:eastAsia="zh-CN"/>
        </w:rPr>
        <w:t>C）作业人员（</w:t>
      </w:r>
      <w:r>
        <w:rPr>
          <w:rFonts w:hint="eastAsia" w:ascii="仿宋_GB2312" w:hAnsi="仿宋_GB2312" w:eastAsia="仿宋_GB2312" w:cs="仿宋_GB2312"/>
          <w:bCs/>
          <w:sz w:val="32"/>
          <w:szCs w:val="32"/>
        </w:rPr>
        <w:t>押运员</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船员、施工员）</w:t>
      </w:r>
      <w:r>
        <w:rPr>
          <w:rFonts w:hint="eastAsia" w:ascii="仿宋_GB2312" w:hAnsi="仿宋_GB2312" w:eastAsia="仿宋_GB2312" w:cs="仿宋_GB2312"/>
          <w:bCs/>
          <w:sz w:val="32"/>
          <w:szCs w:val="32"/>
        </w:rPr>
        <w:t>的行为</w:t>
      </w:r>
      <w:bookmarkEnd w:id="191"/>
      <w:bookmarkEnd w:id="192"/>
      <w:bookmarkEnd w:id="193"/>
      <w:bookmarkEnd w:id="194"/>
      <w:bookmarkEnd w:id="195"/>
      <w:bookmarkEnd w:id="196"/>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做出影响正常</w:t>
      </w:r>
      <w:r>
        <w:rPr>
          <w:rFonts w:hint="eastAsia" w:ascii="仿宋_GB2312" w:hAnsi="仿宋_GB2312" w:eastAsia="仿宋_GB2312" w:cs="仿宋_GB2312"/>
          <w:bCs/>
          <w:sz w:val="32"/>
          <w:szCs w:val="32"/>
          <w:lang w:val="en-US" w:eastAsia="zh-CN"/>
        </w:rPr>
        <w:t>作业（</w:t>
      </w:r>
      <w:r>
        <w:rPr>
          <w:rFonts w:hint="eastAsia" w:ascii="仿宋_GB2312" w:hAnsi="仿宋_GB2312" w:eastAsia="仿宋_GB2312" w:cs="仿宋_GB2312"/>
          <w:bCs/>
          <w:sz w:val="32"/>
          <w:szCs w:val="32"/>
        </w:rPr>
        <w:t>驾驶</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的行为，可能导致事故发生。未及时纠正</w:t>
      </w:r>
      <w:r>
        <w:rPr>
          <w:rFonts w:hint="eastAsia" w:ascii="仿宋_GB2312" w:hAnsi="仿宋_GB2312" w:eastAsia="仿宋_GB2312" w:cs="仿宋_GB2312"/>
          <w:bCs/>
          <w:sz w:val="32"/>
          <w:szCs w:val="32"/>
          <w:lang w:val="en-US" w:eastAsia="zh-CN"/>
        </w:rPr>
        <w:t>从业人员</w:t>
      </w:r>
      <w:r>
        <w:rPr>
          <w:rFonts w:hint="eastAsia" w:ascii="仿宋_GB2312" w:hAnsi="仿宋_GB2312" w:eastAsia="仿宋_GB2312" w:cs="仿宋_GB2312"/>
          <w:bCs/>
          <w:sz w:val="32"/>
          <w:szCs w:val="32"/>
        </w:rPr>
        <w:t>违规操作的行为，可能导致事故发生。</w:t>
      </w:r>
      <w:r>
        <w:rPr>
          <w:rFonts w:hint="eastAsia" w:ascii="仿宋_GB2312" w:hAnsi="仿宋_GB2312" w:eastAsia="仿宋_GB2312" w:cs="仿宋_GB2312"/>
          <w:bCs/>
          <w:sz w:val="32"/>
          <w:szCs w:val="32"/>
          <w:lang w:val="en-US" w:eastAsia="zh-CN"/>
        </w:rPr>
        <w:t>观察瞭望失职，不能及时正确指引。</w:t>
      </w:r>
      <w:r>
        <w:rPr>
          <w:rFonts w:hint="eastAsia" w:ascii="仿宋_GB2312" w:hAnsi="仿宋_GB2312" w:eastAsia="仿宋_GB2312" w:cs="仿宋_GB2312"/>
          <w:bCs/>
          <w:sz w:val="32"/>
          <w:szCs w:val="32"/>
        </w:rPr>
        <w:t>发生突发状况，应急处置不当，可能导致事故后果扩大。</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ascii="仿宋_GB2312" w:hAnsi="仿宋_GB2312" w:eastAsia="仿宋_GB2312" w:cs="仿宋_GB2312"/>
          <w:bCs/>
          <w:sz w:val="32"/>
          <w:szCs w:val="32"/>
        </w:rPr>
      </w:pPr>
      <w:bookmarkStart w:id="197" w:name="_Toc32440"/>
      <w:bookmarkStart w:id="198" w:name="_Toc6157"/>
      <w:bookmarkStart w:id="199" w:name="_Toc14447"/>
      <w:bookmarkStart w:id="200" w:name="_Toc13870"/>
      <w:bookmarkStart w:id="201" w:name="_Toc3943"/>
      <w:bookmarkStart w:id="202" w:name="_Toc10742"/>
      <w:r>
        <w:rPr>
          <w:rFonts w:hint="eastAsia" w:ascii="仿宋_GB2312" w:hAnsi="仿宋_GB2312" w:eastAsia="仿宋_GB2312" w:cs="仿宋_GB2312"/>
          <w:bCs/>
          <w:sz w:val="32"/>
          <w:szCs w:val="32"/>
          <w:lang w:val="en-US" w:eastAsia="zh-CN"/>
        </w:rPr>
        <w:t>D）</w:t>
      </w:r>
      <w:r>
        <w:rPr>
          <w:rFonts w:hint="eastAsia" w:ascii="仿宋_GB2312" w:hAnsi="仿宋_GB2312" w:eastAsia="仿宋_GB2312" w:cs="仿宋_GB2312"/>
          <w:bCs/>
          <w:sz w:val="32"/>
          <w:szCs w:val="32"/>
        </w:rPr>
        <w:t>装卸管理人员的行为</w:t>
      </w:r>
      <w:bookmarkEnd w:id="197"/>
      <w:bookmarkEnd w:id="198"/>
      <w:bookmarkEnd w:id="199"/>
      <w:bookmarkEnd w:id="200"/>
      <w:bookmarkEnd w:id="201"/>
      <w:bookmarkEnd w:id="202"/>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bCs/>
          <w:sz w:val="32"/>
          <w:szCs w:val="32"/>
        </w:rPr>
        <w:t>装卸过程</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吊装卸</w:t>
      </w:r>
      <w:r>
        <w:rPr>
          <w:rFonts w:hint="eastAsia" w:ascii="仿宋_GB2312" w:hAnsi="仿宋_GB2312" w:eastAsia="仿宋_GB2312" w:cs="仿宋_GB2312"/>
          <w:bCs/>
          <w:sz w:val="32"/>
          <w:szCs w:val="32"/>
        </w:rPr>
        <w:t>监管不到位，可能间接引发事故；</w:t>
      </w:r>
      <w:r>
        <w:rPr>
          <w:rFonts w:hint="eastAsia" w:ascii="仿宋_GB2312" w:hAnsi="仿宋_GB2312" w:eastAsia="仿宋_GB2312" w:cs="仿宋_GB2312"/>
          <w:sz w:val="32"/>
          <w:szCs w:val="32"/>
        </w:rPr>
        <w:t>不熟悉装卸物质特性，装卸操作不当引发事故。</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ascii="仿宋_GB2312" w:hAnsi="仿宋_GB2312" w:eastAsia="仿宋_GB2312" w:cs="仿宋_GB2312"/>
          <w:bCs/>
          <w:sz w:val="32"/>
          <w:szCs w:val="32"/>
        </w:rPr>
      </w:pPr>
      <w:bookmarkStart w:id="203" w:name="_Toc22340"/>
      <w:bookmarkStart w:id="204" w:name="_Toc21867"/>
      <w:bookmarkStart w:id="205" w:name="_Toc10806"/>
      <w:bookmarkStart w:id="206" w:name="_Toc31411"/>
      <w:bookmarkStart w:id="207" w:name="_Toc9587"/>
      <w:bookmarkStart w:id="208" w:name="_Toc5902"/>
      <w:r>
        <w:rPr>
          <w:rFonts w:hint="eastAsia" w:ascii="仿宋_GB2312" w:hAnsi="仿宋_GB2312" w:eastAsia="仿宋_GB2312" w:cs="仿宋_GB2312"/>
          <w:sz w:val="32"/>
          <w:szCs w:val="32"/>
          <w:lang w:val="en-US" w:eastAsia="zh-CN"/>
        </w:rPr>
        <w:t>E）</w:t>
      </w:r>
      <w:r>
        <w:rPr>
          <w:rFonts w:hint="eastAsia" w:ascii="仿宋_GB2312" w:hAnsi="仿宋_GB2312" w:eastAsia="仿宋_GB2312" w:cs="仿宋_GB2312"/>
          <w:bCs/>
          <w:sz w:val="32"/>
          <w:szCs w:val="32"/>
          <w:lang w:val="en-US" w:eastAsia="zh-CN"/>
        </w:rPr>
        <w:t>场站</w:t>
      </w:r>
      <w:r>
        <w:rPr>
          <w:rFonts w:hint="eastAsia" w:ascii="仿宋_GB2312" w:hAnsi="仿宋_GB2312" w:eastAsia="仿宋_GB2312" w:cs="仿宋_GB2312"/>
          <w:bCs/>
          <w:sz w:val="32"/>
          <w:szCs w:val="32"/>
        </w:rPr>
        <w:t>管理人员的行为</w:t>
      </w:r>
      <w:bookmarkEnd w:id="203"/>
      <w:bookmarkEnd w:id="204"/>
      <w:bookmarkEnd w:id="205"/>
      <w:bookmarkEnd w:id="206"/>
      <w:bookmarkEnd w:id="207"/>
      <w:bookmarkEnd w:id="208"/>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车辆</w:t>
      </w:r>
      <w:r>
        <w:rPr>
          <w:rFonts w:hint="eastAsia" w:ascii="仿宋_GB2312" w:hAnsi="仿宋_GB2312" w:eastAsia="仿宋_GB2312" w:cs="仿宋_GB2312"/>
          <w:bCs/>
          <w:sz w:val="32"/>
          <w:szCs w:val="32"/>
          <w:lang w:val="en-US" w:eastAsia="zh-CN"/>
        </w:rPr>
        <w:t>停车场、船舶停泊码头、锚地、货物堆场等场站管理人员对</w:t>
      </w:r>
      <w:r>
        <w:rPr>
          <w:rFonts w:hint="eastAsia" w:ascii="仿宋_GB2312" w:hAnsi="仿宋_GB2312" w:eastAsia="仿宋_GB2312" w:cs="仿宋_GB2312"/>
          <w:bCs/>
          <w:sz w:val="32"/>
          <w:szCs w:val="32"/>
        </w:rPr>
        <w:t>安全设施检查不到位，可能引发事故</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特种设备无证人员操作、不按操作规程作业等引发事故。</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ascii="仿宋_GB2312" w:hAnsi="仿宋_GB2312" w:eastAsia="仿宋_GB2312" w:cs="仿宋_GB2312"/>
          <w:bCs/>
          <w:sz w:val="32"/>
          <w:szCs w:val="32"/>
        </w:rPr>
      </w:pPr>
      <w:bookmarkStart w:id="209" w:name="_Toc1232"/>
      <w:bookmarkStart w:id="210" w:name="_Toc17141"/>
      <w:bookmarkStart w:id="211" w:name="_Toc6603"/>
      <w:bookmarkStart w:id="212" w:name="_Toc24020"/>
      <w:bookmarkStart w:id="213" w:name="_Toc7401"/>
      <w:bookmarkStart w:id="214" w:name="_Toc8107"/>
      <w:r>
        <w:rPr>
          <w:rFonts w:hint="eastAsia" w:ascii="仿宋_GB2312" w:hAnsi="仿宋_GB2312" w:eastAsia="仿宋_GB2312" w:cs="仿宋_GB2312"/>
          <w:bCs/>
          <w:sz w:val="32"/>
          <w:szCs w:val="32"/>
          <w:lang w:val="en-US" w:eastAsia="zh-CN"/>
        </w:rPr>
        <w:t>F）</w:t>
      </w:r>
      <w:r>
        <w:rPr>
          <w:rFonts w:hint="eastAsia" w:ascii="仿宋_GB2312" w:hAnsi="仿宋_GB2312" w:eastAsia="仿宋_GB2312" w:cs="仿宋_GB2312"/>
          <w:bCs/>
          <w:sz w:val="32"/>
          <w:szCs w:val="32"/>
        </w:rPr>
        <w:t>安全生产管理人员的行为</w:t>
      </w:r>
      <w:bookmarkEnd w:id="209"/>
      <w:bookmarkEnd w:id="210"/>
      <w:bookmarkEnd w:id="211"/>
      <w:bookmarkEnd w:id="212"/>
      <w:bookmarkEnd w:id="213"/>
      <w:bookmarkEnd w:id="214"/>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安全生产管理制度、操作规程制定、考核不落实；从业人员</w:t>
      </w:r>
      <w:r>
        <w:rPr>
          <w:rFonts w:hint="eastAsia" w:ascii="仿宋_GB2312" w:hAnsi="仿宋_GB2312" w:eastAsia="仿宋_GB2312" w:cs="仿宋_GB2312"/>
          <w:bCs/>
          <w:sz w:val="32"/>
          <w:szCs w:val="32"/>
        </w:rPr>
        <w:t>招聘把关不严；全员的安全生产教育培训、安全生产检查、隐患排查不到位或没有形成闭环、应急预案演练、安全生产投入等工作不到位，可能间接引发事故。</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ascii="仿宋_GB2312" w:hAnsi="仿宋_GB2312" w:eastAsia="仿宋_GB2312" w:cs="仿宋_GB2312"/>
          <w:bCs/>
          <w:sz w:val="32"/>
          <w:szCs w:val="32"/>
        </w:rPr>
      </w:pPr>
      <w:bookmarkStart w:id="215" w:name="_Toc4236"/>
      <w:bookmarkStart w:id="216" w:name="_Toc18462"/>
      <w:bookmarkStart w:id="217" w:name="_Toc31054"/>
      <w:bookmarkStart w:id="218" w:name="_Toc11416"/>
      <w:bookmarkStart w:id="219" w:name="_Toc24987"/>
      <w:bookmarkStart w:id="220" w:name="_Toc20287"/>
      <w:r>
        <w:rPr>
          <w:rFonts w:hint="eastAsia" w:ascii="仿宋_GB2312" w:hAnsi="仿宋_GB2312" w:eastAsia="仿宋_GB2312" w:cs="仿宋_GB2312"/>
          <w:bCs/>
          <w:sz w:val="32"/>
          <w:szCs w:val="32"/>
          <w:lang w:val="en-US" w:eastAsia="zh-CN"/>
        </w:rPr>
        <w:t>G）</w:t>
      </w:r>
      <w:r>
        <w:rPr>
          <w:rFonts w:hint="eastAsia" w:ascii="仿宋_GB2312" w:hAnsi="仿宋_GB2312" w:eastAsia="仿宋_GB2312" w:cs="仿宋_GB2312"/>
          <w:bCs/>
          <w:sz w:val="32"/>
          <w:szCs w:val="32"/>
        </w:rPr>
        <w:t>机务人员的行为</w:t>
      </w:r>
      <w:bookmarkEnd w:id="215"/>
      <w:bookmarkEnd w:id="216"/>
      <w:bookmarkEnd w:id="217"/>
      <w:bookmarkEnd w:id="218"/>
      <w:bookmarkEnd w:id="219"/>
      <w:bookmarkEnd w:id="220"/>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车</w:t>
      </w:r>
      <w:r>
        <w:rPr>
          <w:rFonts w:hint="eastAsia" w:ascii="仿宋_GB2312" w:hAnsi="仿宋_GB2312" w:eastAsia="仿宋_GB2312" w:cs="仿宋_GB2312"/>
          <w:bCs/>
          <w:sz w:val="32"/>
          <w:szCs w:val="32"/>
          <w:lang w:val="en-US" w:eastAsia="zh-CN"/>
        </w:rPr>
        <w:t>船</w:t>
      </w:r>
      <w:r>
        <w:rPr>
          <w:rFonts w:hint="eastAsia" w:ascii="仿宋_GB2312" w:hAnsi="仿宋_GB2312" w:eastAsia="仿宋_GB2312" w:cs="仿宋_GB2312"/>
          <w:bCs/>
          <w:sz w:val="32"/>
          <w:szCs w:val="32"/>
        </w:rPr>
        <w:t>维护（修）、保养</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特种设备维护</w:t>
      </w:r>
      <w:r>
        <w:rPr>
          <w:rFonts w:hint="eastAsia" w:ascii="仿宋_GB2312" w:hAnsi="仿宋_GB2312" w:eastAsia="仿宋_GB2312" w:cs="仿宋_GB2312"/>
          <w:bCs/>
          <w:sz w:val="32"/>
          <w:szCs w:val="32"/>
        </w:rPr>
        <w:t>等不到位；</w:t>
      </w:r>
      <w:r>
        <w:rPr>
          <w:rFonts w:hint="eastAsia" w:ascii="仿宋_GB2312" w:hAnsi="仿宋_GB2312" w:eastAsia="仿宋_GB2312" w:cs="仿宋_GB2312"/>
          <w:bCs/>
          <w:sz w:val="32"/>
          <w:szCs w:val="32"/>
          <w:lang w:val="en-US" w:eastAsia="zh-CN"/>
        </w:rPr>
        <w:t>密闭空间</w:t>
      </w:r>
      <w:r>
        <w:rPr>
          <w:rFonts w:hint="eastAsia" w:ascii="仿宋_GB2312" w:hAnsi="仿宋_GB2312" w:eastAsia="仿宋_GB2312" w:cs="仿宋_GB2312"/>
          <w:bCs/>
          <w:sz w:val="32"/>
          <w:szCs w:val="32"/>
        </w:rPr>
        <w:t>不满足密闭要求或检修不到位；</w:t>
      </w:r>
      <w:r>
        <w:rPr>
          <w:rFonts w:hint="eastAsia" w:ascii="仿宋_GB2312" w:hAnsi="仿宋_GB2312" w:eastAsia="仿宋_GB2312" w:cs="仿宋_GB2312"/>
          <w:bCs/>
          <w:sz w:val="32"/>
          <w:szCs w:val="32"/>
          <w:lang w:val="en-US" w:eastAsia="zh-CN"/>
        </w:rPr>
        <w:t>登高作业不按高处作业配备使用防护用品，违规操作；违规使用火源，违规使用乙炔氧气、焊接等动火作业；维修维护技术等级、</w:t>
      </w:r>
      <w:r>
        <w:rPr>
          <w:rFonts w:hint="eastAsia" w:ascii="仿宋_GB2312" w:hAnsi="仿宋_GB2312" w:eastAsia="仿宋_GB2312" w:cs="仿宋_GB2312"/>
          <w:bCs/>
          <w:sz w:val="32"/>
          <w:szCs w:val="32"/>
        </w:rPr>
        <w:t>运营资质不符合标准等，可能引发事故</w:t>
      </w:r>
      <w:r>
        <w:rPr>
          <w:rFonts w:hint="eastAsia" w:ascii="仿宋_GB2312" w:hAnsi="仿宋_GB2312" w:eastAsia="仿宋_GB2312" w:cs="仿宋_GB2312"/>
          <w:bCs/>
          <w:sz w:val="32"/>
          <w:szCs w:val="32"/>
          <w:lang w:eastAsia="zh-CN"/>
        </w:rPr>
        <w:t>。</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ascii="仿宋_GB2312" w:hAnsi="仿宋_GB2312" w:eastAsia="仿宋_GB2312" w:cs="仿宋_GB2312"/>
          <w:sz w:val="32"/>
          <w:szCs w:val="32"/>
        </w:rPr>
      </w:pPr>
      <w:bookmarkStart w:id="221" w:name="_Toc4253"/>
      <w:bookmarkStart w:id="222" w:name="_Toc9350"/>
      <w:bookmarkStart w:id="223" w:name="_Toc6684"/>
      <w:bookmarkStart w:id="224" w:name="_Toc8832"/>
      <w:bookmarkStart w:id="225" w:name="_Toc12270"/>
      <w:bookmarkStart w:id="226" w:name="_Toc18830"/>
      <w:r>
        <w:rPr>
          <w:rFonts w:hint="eastAsia" w:ascii="仿宋_GB2312" w:hAnsi="仿宋_GB2312" w:eastAsia="仿宋_GB2312" w:cs="仿宋_GB2312"/>
          <w:sz w:val="32"/>
          <w:szCs w:val="32"/>
          <w:lang w:val="en-US" w:eastAsia="zh-CN"/>
        </w:rPr>
        <w:t>H）</w:t>
      </w:r>
      <w:r>
        <w:rPr>
          <w:rFonts w:hint="eastAsia" w:ascii="仿宋_GB2312" w:hAnsi="仿宋_GB2312" w:eastAsia="仿宋_GB2312" w:cs="仿宋_GB2312"/>
          <w:sz w:val="32"/>
          <w:szCs w:val="32"/>
        </w:rPr>
        <w:t>调度人员的行为</w:t>
      </w:r>
      <w:bookmarkEnd w:id="221"/>
      <w:bookmarkEnd w:id="222"/>
      <w:bookmarkEnd w:id="223"/>
      <w:bookmarkEnd w:id="224"/>
      <w:bookmarkEnd w:id="225"/>
      <w:bookmarkEnd w:id="226"/>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运输任务安排不合理；</w:t>
      </w:r>
      <w:r>
        <w:rPr>
          <w:rFonts w:hint="eastAsia" w:ascii="仿宋_GB2312" w:hAnsi="仿宋_GB2312" w:eastAsia="仿宋_GB2312" w:cs="仿宋_GB2312"/>
          <w:bCs/>
          <w:sz w:val="32"/>
          <w:szCs w:val="32"/>
          <w:lang w:val="en-US" w:eastAsia="zh-CN"/>
        </w:rPr>
        <w:t>对</w:t>
      </w:r>
      <w:r>
        <w:rPr>
          <w:rFonts w:hint="eastAsia" w:ascii="仿宋_GB2312" w:hAnsi="仿宋_GB2312" w:eastAsia="仿宋_GB2312" w:cs="仿宋_GB2312"/>
          <w:bCs/>
          <w:sz w:val="32"/>
          <w:szCs w:val="32"/>
        </w:rPr>
        <w:t>人员</w:t>
      </w:r>
      <w:r>
        <w:rPr>
          <w:rFonts w:hint="eastAsia" w:ascii="仿宋_GB2312" w:hAnsi="仿宋_GB2312" w:eastAsia="仿宋_GB2312" w:cs="仿宋_GB2312"/>
          <w:bCs/>
          <w:sz w:val="32"/>
          <w:szCs w:val="32"/>
          <w:lang w:val="en-US" w:eastAsia="zh-CN"/>
        </w:rPr>
        <w:t>班</w:t>
      </w:r>
      <w:r>
        <w:rPr>
          <w:rFonts w:hint="eastAsia" w:ascii="仿宋_GB2312" w:hAnsi="仿宋_GB2312" w:eastAsia="仿宋_GB2312" w:cs="仿宋_GB2312"/>
          <w:bCs/>
          <w:sz w:val="32"/>
          <w:szCs w:val="32"/>
        </w:rPr>
        <w:t>前询问、精神状态查询、教育和</w:t>
      </w:r>
      <w:r>
        <w:rPr>
          <w:rFonts w:hint="eastAsia" w:ascii="仿宋_GB2312" w:hAnsi="仿宋_GB2312" w:eastAsia="仿宋_GB2312" w:cs="仿宋_GB2312"/>
          <w:bCs/>
          <w:sz w:val="32"/>
          <w:szCs w:val="32"/>
          <w:lang w:val="en-US" w:eastAsia="zh-CN"/>
        </w:rPr>
        <w:t>安全</w:t>
      </w:r>
      <w:r>
        <w:rPr>
          <w:rFonts w:hint="eastAsia" w:ascii="仿宋_GB2312" w:hAnsi="仿宋_GB2312" w:eastAsia="仿宋_GB2312" w:cs="仿宋_GB2312"/>
          <w:bCs/>
          <w:sz w:val="32"/>
          <w:szCs w:val="32"/>
        </w:rPr>
        <w:t>交底不到位等可能间接引发事故。</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ascii="仿宋_GB2312" w:hAnsi="仿宋_GB2312" w:eastAsia="仿宋_GB2312" w:cs="仿宋_GB2312"/>
          <w:bCs/>
          <w:sz w:val="32"/>
          <w:szCs w:val="32"/>
        </w:rPr>
      </w:pPr>
      <w:bookmarkStart w:id="227" w:name="_Toc24499"/>
      <w:bookmarkStart w:id="228" w:name="_Toc20423"/>
      <w:bookmarkStart w:id="229" w:name="_Toc26523"/>
      <w:bookmarkStart w:id="230" w:name="_Toc7227"/>
      <w:bookmarkStart w:id="231" w:name="_Toc21631"/>
      <w:bookmarkStart w:id="232" w:name="_Toc17776"/>
      <w:r>
        <w:rPr>
          <w:rFonts w:hint="eastAsia" w:ascii="仿宋_GB2312" w:hAnsi="仿宋_GB2312" w:eastAsia="仿宋_GB2312" w:cs="仿宋_GB2312"/>
          <w:bCs/>
          <w:sz w:val="32"/>
          <w:szCs w:val="32"/>
          <w:lang w:val="en-US" w:eastAsia="zh-CN"/>
        </w:rPr>
        <w:t>I）</w:t>
      </w:r>
      <w:r>
        <w:rPr>
          <w:rFonts w:hint="eastAsia" w:ascii="仿宋_GB2312" w:hAnsi="仿宋_GB2312" w:eastAsia="仿宋_GB2312" w:cs="仿宋_GB2312"/>
          <w:bCs/>
          <w:sz w:val="32"/>
          <w:szCs w:val="32"/>
        </w:rPr>
        <w:t>其他人员的行为</w:t>
      </w:r>
      <w:bookmarkEnd w:id="227"/>
      <w:bookmarkEnd w:id="228"/>
      <w:bookmarkEnd w:id="229"/>
      <w:bookmarkEnd w:id="230"/>
      <w:bookmarkEnd w:id="231"/>
      <w:bookmarkEnd w:id="232"/>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bCs/>
          <w:sz w:val="32"/>
          <w:szCs w:val="32"/>
        </w:rPr>
        <w:t>监控人员监控不到位；办公室人员或其他工作人员使用电器、临时用电不当引起触电、电起火；动火作业不使用动火作业票引发的火灾；不按操作规程作业引发的其它事故。</w:t>
      </w:r>
    </w:p>
    <w:bookmarkEnd w:id="187"/>
    <w:bookmarkEnd w:id="188"/>
    <w:bookmarkEnd w:id="189"/>
    <w:bookmarkEnd w:id="190"/>
    <w:p>
      <w:pPr>
        <w:keepNext w:val="0"/>
        <w:keepLines w:val="0"/>
        <w:pageBreakBefore w:val="0"/>
        <w:kinsoku/>
        <w:wordWrap/>
        <w:overflowPunct/>
        <w:topLinePunct w:val="0"/>
        <w:autoSpaceDE/>
        <w:autoSpaceDN/>
        <w:bidi w:val="0"/>
        <w:adjustRightInd/>
        <w:snapToGrid/>
        <w:spacing w:line="560" w:lineRule="exact"/>
        <w:ind w:left="0" w:firstLine="640" w:firstLineChars="200"/>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233" w:name="_Toc28575"/>
      <w:bookmarkStart w:id="234" w:name="_Toc31669"/>
      <w:bookmarkStart w:id="235" w:name="_Toc29621"/>
      <w:bookmarkStart w:id="236" w:name="_Toc27787"/>
      <w:bookmarkStart w:id="237" w:name="_Toc31691"/>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1.2.5.2物的因素</w:t>
      </w:r>
      <w:bookmarkEnd w:id="233"/>
      <w:bookmarkEnd w:id="234"/>
      <w:bookmarkEnd w:id="235"/>
      <w:bookmarkEnd w:id="236"/>
      <w:bookmarkEnd w:id="237"/>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0"/>
        <w:rPr>
          <w:rFonts w:hint="eastAsia" w:ascii="仿宋_GB2312" w:hAnsi="仿宋_GB2312" w:eastAsia="仿宋_GB2312" w:cs="仿宋_GB2312"/>
          <w:bCs/>
          <w:kern w:val="2"/>
          <w:sz w:val="32"/>
          <w:szCs w:val="32"/>
          <w:lang w:val="en-US" w:eastAsia="zh-CN" w:bidi="ar-SA"/>
        </w:rPr>
      </w:pPr>
      <w:bookmarkStart w:id="238" w:name="_Toc30230"/>
      <w:bookmarkStart w:id="239" w:name="_Toc3464"/>
      <w:bookmarkStart w:id="240" w:name="_Toc10640"/>
      <w:bookmarkStart w:id="241" w:name="_Toc5217"/>
      <w:r>
        <w:rPr>
          <w:rFonts w:hint="eastAsia" w:ascii="仿宋_GB2312" w:hAnsi="仿宋_GB2312" w:eastAsia="仿宋_GB2312" w:cs="仿宋_GB2312"/>
          <w:bCs/>
          <w:kern w:val="2"/>
          <w:sz w:val="32"/>
          <w:szCs w:val="32"/>
          <w:lang w:val="en-US" w:eastAsia="zh-CN" w:bidi="ar-SA"/>
        </w:rPr>
        <w:t>1、物理性危险和有害因素：  </w:t>
      </w:r>
      <w:bookmarkEnd w:id="238"/>
      <w:bookmarkEnd w:id="239"/>
      <w:bookmarkEnd w:id="240"/>
      <w:bookmarkEnd w:id="241"/>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A）车船、施工等主要设备、设施、工具、附件缺陷；钢板、大梁等强度不够、刚度不够、稳定性差（抗位移、稳定性不够、抗剪能力不够。包括重心过高、底座不稳定、支承不正确、坝体不稳定）；</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B）罐体、阀门、船舱、人孔盖等密封不良（密</w:t>
      </w:r>
      <w:r>
        <w:rPr>
          <w:rFonts w:hint="eastAsia" w:ascii="仿宋_GB2312" w:hAnsi="仿宋_GB2312" w:eastAsia="仿宋_GB2312" w:cs="仿宋_GB2312"/>
          <w:sz w:val="32"/>
          <w:szCs w:val="32"/>
          <w:lang w:val="en-US" w:eastAsia="zh-CN"/>
        </w:rPr>
        <w:t>封件.密封介质、设备辅件、加工精度、装配工艺等缺陷以及磨损、变形、气蚀等造成的密封不良）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kern w:val="2"/>
          <w:sz w:val="32"/>
          <w:szCs w:val="32"/>
          <w:lang w:val="en-US" w:eastAsia="zh-CN" w:bidi="ar-SA"/>
        </w:rPr>
        <w:t>应力集中、外形缺陷（设备、设施表面的尖角利棱和不应有的凹凸部分等）、外露运动件（人员易触及的运动件）、操纵器缺陷（结构、尺寸、形状、位置、操纵力不合理及操纵器失灵、损坏等）、制动器缺陷、控制器缺陷、设计缺陷、传感器缺陷（精度不够，灵敏度过高或过低）、设备、设施、工具、附件其他缺陷； </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i w:val="0"/>
          <w:iCs w:val="0"/>
          <w:color w:val="5B4631"/>
          <w:spacing w:val="0"/>
          <w:sz w:val="32"/>
          <w:szCs w:val="32"/>
          <w:lang w:val="en-US" w:eastAsia="zh-CN"/>
        </w:rPr>
        <w:t>C）</w:t>
      </w:r>
      <w:r>
        <w:rPr>
          <w:rFonts w:hint="eastAsia" w:ascii="仿宋_GB2312" w:hAnsi="仿宋_GB2312" w:eastAsia="仿宋_GB2312" w:cs="仿宋_GB2312"/>
          <w:bCs/>
          <w:kern w:val="2"/>
          <w:sz w:val="32"/>
          <w:szCs w:val="32"/>
          <w:lang w:val="en-US" w:eastAsia="zh-CN" w:bidi="ar-SA"/>
        </w:rPr>
        <w:t>防护缺陷： 无防护、防护装置、设施缺陷（防护装置、设施本身安全性、可靠性差，包括防护装置、设施、防护用品损坏、失效、失灵等）、防护不当（防护装置、设施动防护用品不符会要求、使用不当不包括防护距离不够）、支撑（支护）不当（包括矿捧、隧道、建筑施工支护不符合要求）、防护距离不够（设备布置、机械、电气、防火、防爆等安全距离不够和卫生防护距离不够等）、 其他防护缺陷； </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D） 电、噪声、振动、电磁辐射伤害：带电部位裸露、漏电、雷电、静电、电火花、 其他电伤害；噪声：机械性噪声、电磁性噪声、流体动力性噪声、其他噪声；振动危害：机械性振动、电磁性振动、流体动力性振动、其他振动危害；电磁辐射（包括Χ射线、γ射线、α粒子、β粒子、中子、质子、高能电子束等）；电离辐射、非电离辐射：紫外线辐射、激光辐射、微波辐射、超高频辐射、高频电磁场、工频磁场、其他非电离辐射；</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E）运动物伤害：抛射物、飞溅物 、 坠落物、反弹物、土、岩滑动（包括排土场滑坡、尾矿库滑坡、露天采矿滑坡）、料堆（垛）滑动 、气流卷动 、撞击、其他运动物伤害；</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F）  明火；高温物质：高温气体、高温液体、 高温固体、 其他高温物质；低温物质：低温气体、低温液体、低温固体、 其他低温物质；</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G）信号缺陷： 无信号设施（应设信号设施处无信号，例如无紧急撤离信号等）、信号选用不当、信号位置不当、信号不清（信号量不足，如响度、亮度、对比度、信号维持时间不够等）、信号显示不准(包括信号显示错误、显示滞后或超前等）、其他信号缺陷；</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H）标志标识缺陷：无标志标识、标志标识不清晰、标志标识不规范、标志标识选用不当、标志标识位置缺陷、标志标识设置不规范（多个标志牌在一起设置时，应按警告、禁止、指令、提示类型顺序）、 其他标志缺陷；有害光照（包括直射光、反射光、眩光、频闪效应等）；信息系统缺陷：其他物理性危险和有害因素；</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w:t>
      </w:r>
      <w:r>
        <w:rPr>
          <w:rFonts w:hint="default" w:ascii="仿宋_GB2312" w:hAnsi="仿宋_GB2312" w:eastAsia="仿宋_GB2312" w:cs="仿宋_GB2312"/>
          <w:bCs/>
          <w:kern w:val="2"/>
          <w:sz w:val="32"/>
          <w:szCs w:val="32"/>
          <w:lang w:val="en-US" w:eastAsia="zh-CN" w:bidi="ar-SA"/>
        </w:rPr>
        <w:t>化学性危险和有害因素</w:t>
      </w:r>
      <w:r>
        <w:rPr>
          <w:rFonts w:hint="eastAsia" w:ascii="仿宋_GB2312" w:hAnsi="仿宋_GB2312" w:eastAsia="仿宋_GB2312" w:cs="仿宋_GB2312"/>
          <w:bCs/>
          <w:kern w:val="2"/>
          <w:sz w:val="32"/>
          <w:szCs w:val="32"/>
          <w:lang w:val="en-US" w:eastAsia="zh-CN" w:bidi="ar-SA"/>
        </w:rPr>
        <w:t>(见13690规定）：</w:t>
      </w:r>
      <w:r>
        <w:rPr>
          <w:rFonts w:hint="default" w:ascii="仿宋_GB2312" w:hAnsi="仿宋_GB2312" w:eastAsia="仿宋_GB2312" w:cs="仿宋_GB2312"/>
          <w:bCs/>
          <w:kern w:val="2"/>
          <w:sz w:val="32"/>
          <w:szCs w:val="32"/>
          <w:lang w:val="en-US" w:eastAsia="zh-CN" w:bidi="ar-SA"/>
        </w:rPr>
        <w:t>理化危险</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ab/>
      </w:r>
      <w:r>
        <w:rPr>
          <w:rFonts w:hint="default" w:ascii="仿宋_GB2312" w:hAnsi="仿宋_GB2312" w:eastAsia="仿宋_GB2312" w:cs="仿宋_GB2312"/>
          <w:bCs/>
          <w:kern w:val="2"/>
          <w:sz w:val="32"/>
          <w:szCs w:val="32"/>
          <w:lang w:val="en-US" w:eastAsia="zh-CN" w:bidi="ar-SA"/>
        </w:rPr>
        <w:t>爆炸物</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见GB30000.</w:t>
      </w:r>
      <w:r>
        <w:rPr>
          <w:rFonts w:hint="eastAsia" w:ascii="仿宋_GB2312" w:hAnsi="仿宋_GB2312" w:eastAsia="仿宋_GB2312" w:cs="仿宋_GB2312"/>
          <w:bCs/>
          <w:kern w:val="2"/>
          <w:sz w:val="32"/>
          <w:szCs w:val="32"/>
          <w:lang w:val="en-US" w:eastAsia="zh-CN" w:bidi="ar-SA"/>
        </w:rPr>
        <w:t>2）</w:t>
      </w:r>
      <w:r>
        <w:rPr>
          <w:rFonts w:hint="default" w:ascii="仿宋_GB2312" w:hAnsi="仿宋_GB2312" w:eastAsia="仿宋_GB2312" w:cs="仿宋_GB2312"/>
          <w:bCs/>
          <w:kern w:val="2"/>
          <w:sz w:val="32"/>
          <w:szCs w:val="32"/>
          <w:lang w:val="en-US" w:eastAsia="zh-CN" w:bidi="ar-SA"/>
        </w:rPr>
        <w:t>易燃气体</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见GB30000.</w:t>
      </w:r>
      <w:r>
        <w:rPr>
          <w:rFonts w:hint="eastAsia" w:ascii="仿宋_GB2312" w:hAnsi="仿宋_GB2312" w:eastAsia="仿宋_GB2312" w:cs="仿宋_GB2312"/>
          <w:bCs/>
          <w:kern w:val="2"/>
          <w:sz w:val="32"/>
          <w:szCs w:val="32"/>
          <w:lang w:val="en-US" w:eastAsia="zh-CN" w:bidi="ar-SA"/>
        </w:rPr>
        <w:t>3）</w:t>
      </w:r>
      <w:r>
        <w:rPr>
          <w:rFonts w:hint="default" w:ascii="仿宋_GB2312" w:hAnsi="仿宋_GB2312" w:eastAsia="仿宋_GB2312" w:cs="仿宋_GB2312"/>
          <w:bCs/>
          <w:kern w:val="2"/>
          <w:sz w:val="32"/>
          <w:szCs w:val="32"/>
          <w:lang w:val="en-US" w:eastAsia="zh-CN" w:bidi="ar-SA"/>
        </w:rPr>
        <w:t>易燃</w:t>
      </w:r>
      <w:r>
        <w:rPr>
          <w:rFonts w:hint="eastAsia" w:ascii="仿宋_GB2312" w:hAnsi="仿宋_GB2312" w:eastAsia="仿宋_GB2312" w:cs="仿宋_GB2312"/>
          <w:bCs/>
          <w:kern w:val="2"/>
          <w:sz w:val="32"/>
          <w:szCs w:val="32"/>
          <w:lang w:val="en-US" w:eastAsia="zh-CN" w:bidi="ar-SA"/>
        </w:rPr>
        <w:t>气溶胶（</w:t>
      </w:r>
      <w:r>
        <w:rPr>
          <w:rFonts w:hint="default" w:ascii="仿宋_GB2312" w:hAnsi="仿宋_GB2312" w:eastAsia="仿宋_GB2312" w:cs="仿宋_GB2312"/>
          <w:bCs/>
          <w:kern w:val="2"/>
          <w:sz w:val="32"/>
          <w:szCs w:val="32"/>
          <w:lang w:val="en-US" w:eastAsia="zh-CN" w:bidi="ar-SA"/>
        </w:rPr>
        <w:t>见GB30000.</w:t>
      </w:r>
      <w:r>
        <w:rPr>
          <w:rFonts w:hint="eastAsia" w:ascii="仿宋_GB2312" w:hAnsi="仿宋_GB2312" w:eastAsia="仿宋_GB2312" w:cs="仿宋_GB2312"/>
          <w:bCs/>
          <w:kern w:val="2"/>
          <w:sz w:val="32"/>
          <w:szCs w:val="32"/>
          <w:lang w:val="en-US" w:eastAsia="zh-CN" w:bidi="ar-SA"/>
        </w:rPr>
        <w:t>4）</w:t>
      </w:r>
      <w:r>
        <w:rPr>
          <w:rFonts w:hint="default" w:ascii="仿宋_GB2312" w:hAnsi="仿宋_GB2312" w:eastAsia="仿宋_GB2312" w:cs="仿宋_GB2312"/>
          <w:bCs/>
          <w:kern w:val="2"/>
          <w:sz w:val="32"/>
          <w:szCs w:val="32"/>
          <w:lang w:val="en-US" w:eastAsia="zh-CN" w:bidi="ar-SA"/>
        </w:rPr>
        <w:t>氧化性气体</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见GB30000.</w:t>
      </w:r>
      <w:r>
        <w:rPr>
          <w:rFonts w:hint="eastAsia" w:ascii="仿宋_GB2312" w:hAnsi="仿宋_GB2312" w:eastAsia="仿宋_GB2312" w:cs="仿宋_GB2312"/>
          <w:bCs/>
          <w:kern w:val="2"/>
          <w:sz w:val="32"/>
          <w:szCs w:val="32"/>
          <w:lang w:val="en-US" w:eastAsia="zh-CN" w:bidi="ar-SA"/>
        </w:rPr>
        <w:t>5）</w:t>
      </w:r>
      <w:r>
        <w:rPr>
          <w:rFonts w:hint="default" w:ascii="仿宋_GB2312" w:hAnsi="仿宋_GB2312" w:eastAsia="仿宋_GB2312" w:cs="仿宋_GB2312"/>
          <w:bCs/>
          <w:kern w:val="2"/>
          <w:sz w:val="32"/>
          <w:szCs w:val="32"/>
          <w:lang w:val="en-US" w:eastAsia="zh-CN" w:bidi="ar-SA"/>
        </w:rPr>
        <w:t>压方下气体</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见GB30000.</w:t>
      </w:r>
      <w:r>
        <w:rPr>
          <w:rFonts w:hint="eastAsia" w:ascii="仿宋_GB2312" w:hAnsi="仿宋_GB2312" w:eastAsia="仿宋_GB2312" w:cs="仿宋_GB2312"/>
          <w:bCs/>
          <w:kern w:val="2"/>
          <w:sz w:val="32"/>
          <w:szCs w:val="32"/>
          <w:lang w:val="en-US" w:eastAsia="zh-CN" w:bidi="ar-SA"/>
        </w:rPr>
        <w:t>6）</w:t>
      </w:r>
      <w:r>
        <w:rPr>
          <w:rFonts w:hint="default" w:ascii="仿宋_GB2312" w:hAnsi="仿宋_GB2312" w:eastAsia="仿宋_GB2312" w:cs="仿宋_GB2312"/>
          <w:bCs/>
          <w:kern w:val="2"/>
          <w:sz w:val="32"/>
          <w:szCs w:val="32"/>
          <w:lang w:val="en-US" w:eastAsia="zh-CN" w:bidi="ar-SA"/>
        </w:rPr>
        <w:t>易燃液体</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见GB30000.</w:t>
      </w:r>
      <w:r>
        <w:rPr>
          <w:rFonts w:hint="eastAsia" w:ascii="仿宋_GB2312" w:hAnsi="仿宋_GB2312" w:eastAsia="仿宋_GB2312" w:cs="仿宋_GB2312"/>
          <w:bCs/>
          <w:kern w:val="2"/>
          <w:sz w:val="32"/>
          <w:szCs w:val="32"/>
          <w:lang w:val="en-US" w:eastAsia="zh-CN" w:bidi="ar-SA"/>
        </w:rPr>
        <w:t>7）</w:t>
      </w:r>
      <w:r>
        <w:rPr>
          <w:rFonts w:hint="default" w:ascii="仿宋_GB2312" w:hAnsi="仿宋_GB2312" w:eastAsia="仿宋_GB2312" w:cs="仿宋_GB2312"/>
          <w:bCs/>
          <w:kern w:val="2"/>
          <w:sz w:val="32"/>
          <w:szCs w:val="32"/>
          <w:lang w:val="en-US" w:eastAsia="zh-CN" w:bidi="ar-SA"/>
        </w:rPr>
        <w:t>易燃固体</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见GB30000.</w:t>
      </w:r>
      <w:r>
        <w:rPr>
          <w:rFonts w:hint="eastAsia" w:ascii="仿宋_GB2312" w:hAnsi="仿宋_GB2312" w:eastAsia="仿宋_GB2312" w:cs="仿宋_GB2312"/>
          <w:bCs/>
          <w:kern w:val="2"/>
          <w:sz w:val="32"/>
          <w:szCs w:val="32"/>
          <w:lang w:val="en-US" w:eastAsia="zh-CN" w:bidi="ar-SA"/>
        </w:rPr>
        <w:t>8）</w:t>
      </w:r>
      <w:r>
        <w:rPr>
          <w:rFonts w:hint="default" w:ascii="仿宋_GB2312" w:hAnsi="仿宋_GB2312" w:eastAsia="仿宋_GB2312" w:cs="仿宋_GB2312"/>
          <w:bCs/>
          <w:kern w:val="2"/>
          <w:sz w:val="32"/>
          <w:szCs w:val="32"/>
          <w:lang w:val="en-US" w:eastAsia="zh-CN" w:bidi="ar-SA"/>
        </w:rPr>
        <w:t>自反应物质或混合物</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见GB30000.</w:t>
      </w:r>
      <w:r>
        <w:rPr>
          <w:rFonts w:hint="eastAsia" w:ascii="仿宋_GB2312" w:hAnsi="仿宋_GB2312" w:eastAsia="仿宋_GB2312" w:cs="仿宋_GB2312"/>
          <w:bCs/>
          <w:kern w:val="2"/>
          <w:sz w:val="32"/>
          <w:szCs w:val="32"/>
          <w:lang w:val="en-US" w:eastAsia="zh-CN" w:bidi="ar-SA"/>
        </w:rPr>
        <w:t>5）自燃</w:t>
      </w:r>
      <w:r>
        <w:rPr>
          <w:rFonts w:hint="default" w:ascii="仿宋_GB2312" w:hAnsi="仿宋_GB2312" w:eastAsia="仿宋_GB2312" w:cs="仿宋_GB2312"/>
          <w:bCs/>
          <w:kern w:val="2"/>
          <w:sz w:val="32"/>
          <w:szCs w:val="32"/>
          <w:lang w:val="en-US" w:eastAsia="zh-CN" w:bidi="ar-SA"/>
        </w:rPr>
        <w:t>液体</w:t>
      </w:r>
      <w:r>
        <w:rPr>
          <w:rFonts w:hint="eastAsia" w:ascii="仿宋_GB2312" w:hAnsi="仿宋_GB2312" w:eastAsia="仿宋_GB2312" w:cs="仿宋_GB2312"/>
          <w:bCs/>
          <w:kern w:val="2"/>
          <w:sz w:val="32"/>
          <w:szCs w:val="32"/>
          <w:lang w:val="en-US" w:eastAsia="zh-CN" w:bidi="ar-SA"/>
        </w:rPr>
        <w:t>（见</w:t>
      </w:r>
      <w:r>
        <w:rPr>
          <w:rFonts w:hint="default" w:ascii="仿宋_GB2312" w:hAnsi="仿宋_GB2312" w:eastAsia="仿宋_GB2312" w:cs="仿宋_GB2312"/>
          <w:bCs/>
          <w:kern w:val="2"/>
          <w:sz w:val="32"/>
          <w:szCs w:val="32"/>
          <w:lang w:val="en-US" w:eastAsia="zh-CN" w:bidi="ar-SA"/>
        </w:rPr>
        <w:t>GB30000.</w:t>
      </w:r>
      <w:r>
        <w:rPr>
          <w:rFonts w:hint="eastAsia" w:ascii="仿宋_GB2312" w:hAnsi="仿宋_GB2312" w:eastAsia="仿宋_GB2312" w:cs="仿宋_GB2312"/>
          <w:bCs/>
          <w:kern w:val="2"/>
          <w:sz w:val="32"/>
          <w:szCs w:val="32"/>
          <w:lang w:val="en-US" w:eastAsia="zh-CN" w:bidi="ar-SA"/>
        </w:rPr>
        <w:t>10）自燃</w:t>
      </w:r>
      <w:r>
        <w:rPr>
          <w:rFonts w:hint="default" w:ascii="仿宋_GB2312" w:hAnsi="仿宋_GB2312" w:eastAsia="仿宋_GB2312" w:cs="仿宋_GB2312"/>
          <w:bCs/>
          <w:kern w:val="2"/>
          <w:sz w:val="32"/>
          <w:szCs w:val="32"/>
          <w:lang w:val="en-US" w:eastAsia="zh-CN" w:bidi="ar-SA"/>
        </w:rPr>
        <w:t>固体</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见GB30000.</w:t>
      </w:r>
      <w:r>
        <w:rPr>
          <w:rFonts w:hint="eastAsia" w:ascii="仿宋_GB2312" w:hAnsi="仿宋_GB2312" w:eastAsia="仿宋_GB2312" w:cs="仿宋_GB2312"/>
          <w:bCs/>
          <w:kern w:val="2"/>
          <w:sz w:val="32"/>
          <w:szCs w:val="32"/>
          <w:lang w:val="en-US" w:eastAsia="zh-CN" w:bidi="ar-SA"/>
        </w:rPr>
        <w:t>11）</w:t>
      </w:r>
      <w:r>
        <w:rPr>
          <w:rFonts w:hint="default" w:ascii="仿宋_GB2312" w:hAnsi="仿宋_GB2312" w:eastAsia="仿宋_GB2312" w:cs="仿宋_GB2312"/>
          <w:bCs/>
          <w:kern w:val="2"/>
          <w:sz w:val="32"/>
          <w:szCs w:val="32"/>
          <w:lang w:val="en-US" w:eastAsia="zh-CN" w:bidi="ar-SA"/>
        </w:rPr>
        <w:t>自热物质和混合物</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见GB30000.12</w:t>
      </w:r>
      <w:r>
        <w:rPr>
          <w:rFonts w:hint="eastAsia" w:ascii="仿宋_GB2312" w:hAnsi="仿宋_GB2312" w:eastAsia="仿宋_GB2312" w:cs="仿宋_GB2312"/>
          <w:bCs/>
          <w:kern w:val="2"/>
          <w:sz w:val="32"/>
          <w:szCs w:val="32"/>
          <w:lang w:val="en-US" w:eastAsia="zh-CN" w:bidi="ar-SA"/>
        </w:rPr>
        <w:t>）。</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生物性危险和有害因素：致病微生物、细菌、病毒、真菌、其他致病微生物；传染病媒介物；致害动物；致害植物；其他生物性危险和有害因素。</w:t>
      </w:r>
    </w:p>
    <w:p>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242" w:name="_Toc2840"/>
      <w:bookmarkStart w:id="243" w:name="_Toc24112"/>
      <w:bookmarkStart w:id="244" w:name="_Toc18297"/>
      <w:bookmarkStart w:id="245" w:name="_Toc27702"/>
      <w:bookmarkStart w:id="246" w:name="_Toc7226"/>
      <w:bookmarkStart w:id="247" w:name="_Toc15486"/>
      <w:bookmarkStart w:id="248" w:name="_Toc4721"/>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1.2.5.3环境因素</w:t>
      </w:r>
      <w:bookmarkEnd w:id="242"/>
      <w:bookmarkEnd w:id="243"/>
      <w:bookmarkEnd w:id="244"/>
      <w:bookmarkEnd w:id="245"/>
      <w:bookmarkEnd w:id="246"/>
      <w:bookmarkEnd w:id="247"/>
      <w:bookmarkEnd w:id="248"/>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1、环境因素</w:t>
      </w:r>
      <w:r>
        <w:rPr>
          <w:rFonts w:hint="default" w:ascii="仿宋_GB2312" w:hAnsi="仿宋_GB2312" w:eastAsia="仿宋_GB2312" w:cs="仿宋_GB2312"/>
          <w:bCs/>
          <w:kern w:val="2"/>
          <w:sz w:val="32"/>
          <w:szCs w:val="32"/>
          <w:lang w:val="en-US" w:eastAsia="zh-CN" w:bidi="ar-SA"/>
        </w:rPr>
        <w:t>包括室内、室外、地上、地下（如隧道、矿井）、水上、水下等作业（施工）环境</w:t>
      </w:r>
      <w:r>
        <w:rPr>
          <w:rFonts w:hint="eastAsia" w:ascii="仿宋_GB2312" w:hAnsi="仿宋_GB2312" w:eastAsia="仿宋_GB2312" w:cs="仿宋_GB2312"/>
          <w:bCs/>
          <w:kern w:val="2"/>
          <w:sz w:val="32"/>
          <w:szCs w:val="32"/>
          <w:lang w:val="en-US" w:eastAsia="zh-CN" w:bidi="ar-SA"/>
        </w:rPr>
        <w:t>。</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w:t>
      </w:r>
      <w:r>
        <w:rPr>
          <w:rFonts w:hint="default" w:ascii="仿宋_GB2312" w:hAnsi="仿宋_GB2312" w:eastAsia="仿宋_GB2312" w:cs="仿宋_GB2312"/>
          <w:bCs/>
          <w:kern w:val="2"/>
          <w:sz w:val="32"/>
          <w:szCs w:val="32"/>
          <w:lang w:val="en-US" w:eastAsia="zh-CN" w:bidi="ar-SA"/>
        </w:rPr>
        <w:t>室内作业场所环境不良</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室内地面滑</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包括地面、通道、楼梯被任何液体、熔融物质润湿，结冰或有其他易滑物等</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室内作业场所狭窄</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室内作业场所杂乱</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室内地面不平</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室内梯架缺陷</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包括楼梯、阶梯、电动梯和活动梯架，以及这些设施的扶手、扶栏和护栏、护网等</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地面、墙和天花板上的开口缺陷</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包括电梯井、修车坑、门窗开口、检修孔、排水沟等</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房屋基础下沉</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室内安全通道缺陷</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包括无安全通道，安全通道狭窄、不畅等</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房屋安全出口缺陷</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包括无安全出口、设置不合理等</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采光照明不良</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指照度不足或过强、烟尘弥漫影响照明等</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作业场所空气不良</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指自然通风差、无强制通风、风量不足或气流过大、缺氧或有害气体超限等</w:t>
      </w:r>
      <w:r>
        <w:rPr>
          <w:rFonts w:hint="eastAsia" w:ascii="仿宋_GB2312" w:hAnsi="仿宋_GB2312" w:eastAsia="仿宋_GB2312" w:cs="仿宋_GB2312"/>
          <w:bCs/>
          <w:kern w:val="2"/>
          <w:sz w:val="32"/>
          <w:szCs w:val="32"/>
          <w:lang w:val="en-US" w:eastAsia="zh-CN" w:bidi="ar-SA"/>
        </w:rPr>
        <w:t>、包括受限空间作业）、</w:t>
      </w:r>
      <w:r>
        <w:rPr>
          <w:rFonts w:hint="default" w:ascii="仿宋_GB2312" w:hAnsi="仿宋_GB2312" w:eastAsia="仿宋_GB2312" w:cs="仿宋_GB2312"/>
          <w:bCs/>
          <w:kern w:val="2"/>
          <w:sz w:val="32"/>
          <w:szCs w:val="32"/>
          <w:lang w:val="en-US" w:eastAsia="zh-CN" w:bidi="ar-SA"/>
        </w:rPr>
        <w:t>室内温度、湿度、气压不适</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室内给、排水不良</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室内涌水</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室内物料贮存方法不安全</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其他室内作业场所环境不良</w:t>
      </w:r>
      <w:r>
        <w:rPr>
          <w:rFonts w:hint="eastAsia" w:ascii="仿宋_GB2312" w:hAnsi="仿宋_GB2312" w:eastAsia="仿宋_GB2312" w:cs="仿宋_GB2312"/>
          <w:bCs/>
          <w:kern w:val="2"/>
          <w:sz w:val="32"/>
          <w:szCs w:val="32"/>
          <w:lang w:val="en-US" w:eastAsia="zh-CN" w:bidi="ar-SA"/>
        </w:rPr>
        <w:t>；</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w:t>
      </w:r>
      <w:r>
        <w:rPr>
          <w:rFonts w:hint="default" w:ascii="仿宋_GB2312" w:hAnsi="仿宋_GB2312" w:eastAsia="仿宋_GB2312" w:cs="仿宋_GB2312"/>
          <w:bCs/>
          <w:kern w:val="2"/>
          <w:sz w:val="32"/>
          <w:szCs w:val="32"/>
          <w:lang w:val="en-US" w:eastAsia="zh-CN" w:bidi="ar-SA"/>
        </w:rPr>
        <w:t>室外作业场地环境不良</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恶劣气候与环境</w:t>
      </w:r>
      <w:r>
        <w:rPr>
          <w:rFonts w:hint="eastAsia" w:ascii="仿宋_GB2312" w:hAnsi="仿宋_GB2312" w:eastAsia="仿宋_GB2312" w:cs="仿宋_GB2312"/>
          <w:bCs/>
          <w:kern w:val="2"/>
          <w:sz w:val="32"/>
          <w:szCs w:val="32"/>
          <w:lang w:val="en-US" w:eastAsia="zh-CN" w:bidi="ar-SA"/>
        </w:rPr>
        <w:t>（包括风、极端的温度、雷电、大雾、冰雹、暴雨、雪、洪水、浪涌、泥石流、海啸、地震等）、</w:t>
      </w:r>
      <w:r>
        <w:rPr>
          <w:rFonts w:hint="default" w:ascii="仿宋_GB2312" w:hAnsi="仿宋_GB2312" w:eastAsia="仿宋_GB2312" w:cs="仿宋_GB2312"/>
          <w:bCs/>
          <w:kern w:val="2"/>
          <w:sz w:val="32"/>
          <w:szCs w:val="32"/>
          <w:lang w:val="en-US" w:eastAsia="zh-CN" w:bidi="ar-SA"/>
        </w:rPr>
        <w:t>作业场地和交通设施湿滑</w:t>
      </w:r>
      <w:r>
        <w:rPr>
          <w:rFonts w:hint="eastAsia" w:ascii="仿宋_GB2312" w:hAnsi="仿宋_GB2312" w:eastAsia="仿宋_GB2312" w:cs="仿宋_GB2312"/>
          <w:bCs/>
          <w:kern w:val="2"/>
          <w:sz w:val="32"/>
          <w:szCs w:val="32"/>
          <w:lang w:val="en-US" w:eastAsia="zh-CN" w:bidi="ar-SA"/>
        </w:rPr>
        <w:t>（包括铺设好区域地面、阶梯、通道、道路、小路等被任何液体、熔融物质浸湿、冰雪覆盖或其他易滑物）、</w:t>
      </w:r>
      <w:r>
        <w:rPr>
          <w:rFonts w:hint="default" w:ascii="仿宋_GB2312" w:hAnsi="仿宋_GB2312" w:eastAsia="仿宋_GB2312" w:cs="仿宋_GB2312"/>
          <w:bCs/>
          <w:kern w:val="2"/>
          <w:sz w:val="32"/>
          <w:szCs w:val="32"/>
          <w:lang w:val="en-US" w:eastAsia="zh-CN" w:bidi="ar-SA"/>
        </w:rPr>
        <w:t>作业场地狭窄</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作业场地杂乱</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作业场地不平</w:t>
      </w:r>
      <w:r>
        <w:rPr>
          <w:rFonts w:hint="eastAsia" w:ascii="仿宋_GB2312" w:hAnsi="仿宋_GB2312" w:eastAsia="仿宋_GB2312" w:cs="仿宋_GB2312"/>
          <w:bCs/>
          <w:kern w:val="2"/>
          <w:sz w:val="32"/>
          <w:szCs w:val="32"/>
          <w:lang w:val="en-US" w:eastAsia="zh-CN" w:bidi="ar-SA"/>
        </w:rPr>
        <w:t>（包括不平坦的地面和路面、有铺设的、未铺设的、草地、鹅卵石或碎石地面或路面）；交通环境不良：</w:t>
      </w:r>
      <w:r>
        <w:rPr>
          <w:rFonts w:hint="default" w:ascii="仿宋_GB2312" w:hAnsi="仿宋_GB2312" w:eastAsia="仿宋_GB2312" w:cs="仿宋_GB2312"/>
          <w:bCs/>
          <w:kern w:val="2"/>
          <w:sz w:val="32"/>
          <w:szCs w:val="32"/>
          <w:lang w:val="en-US" w:eastAsia="zh-CN" w:bidi="ar-SA"/>
        </w:rPr>
        <w:t>航道</w:t>
      </w:r>
      <w:r>
        <w:rPr>
          <w:rFonts w:hint="default" w:ascii="仿宋_GB2312" w:hAnsi="仿宋_GB2312" w:eastAsia="仿宋_GB2312" w:cs="仿宋_GB2312"/>
          <w:i w:val="0"/>
          <w:iCs w:val="0"/>
          <w:caps w:val="0"/>
          <w:color w:val="5B4631"/>
          <w:spacing w:val="0"/>
          <w:sz w:val="32"/>
          <w:szCs w:val="32"/>
          <w:lang w:val="en-US" w:eastAsia="zh-CN"/>
        </w:rPr>
        <w:t>狭窄、</w:t>
      </w:r>
      <w:r>
        <w:rPr>
          <w:rFonts w:hint="default" w:ascii="仿宋_GB2312" w:hAnsi="仿宋_GB2312" w:eastAsia="仿宋_GB2312" w:cs="仿宋_GB2312"/>
          <w:bCs/>
          <w:kern w:val="2"/>
          <w:sz w:val="32"/>
          <w:szCs w:val="32"/>
          <w:lang w:val="en-US" w:eastAsia="zh-CN" w:bidi="ar-SA"/>
        </w:rPr>
        <w:t>有暗礁或险滩</w:t>
      </w:r>
      <w:r>
        <w:rPr>
          <w:rFonts w:hint="eastAsia" w:ascii="仿宋_GB2312" w:hAnsi="仿宋_GB2312" w:eastAsia="仿宋_GB2312" w:cs="仿宋_GB2312"/>
          <w:bCs/>
          <w:kern w:val="2"/>
          <w:sz w:val="32"/>
          <w:szCs w:val="32"/>
          <w:lang w:val="en-US" w:eastAsia="zh-CN" w:bidi="ar-SA"/>
        </w:rPr>
        <w:t>、其他道路、水路环境不良、道路急转陡坡、临水临崖；</w:t>
      </w:r>
      <w:r>
        <w:rPr>
          <w:rFonts w:hint="default" w:ascii="仿宋_GB2312" w:hAnsi="仿宋_GB2312" w:eastAsia="仿宋_GB2312" w:cs="仿宋_GB2312"/>
          <w:bCs/>
          <w:kern w:val="2"/>
          <w:sz w:val="32"/>
          <w:szCs w:val="32"/>
          <w:lang w:val="en-US" w:eastAsia="zh-CN" w:bidi="ar-SA"/>
        </w:rPr>
        <w:t>脚手架、阶梯和活动梯架缺陷</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包括这些设施的扶手、扶栏和护栏、护网等</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地面开口缺陷</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包括升降梯井、修车坑、水沟、水渠</w:t>
      </w:r>
      <w:r>
        <w:rPr>
          <w:rFonts w:hint="eastAsia" w:ascii="仿宋_GB2312" w:hAnsi="仿宋_GB2312" w:eastAsia="仿宋_GB2312" w:cs="仿宋_GB2312"/>
          <w:bCs/>
          <w:kern w:val="2"/>
          <w:sz w:val="32"/>
          <w:szCs w:val="32"/>
          <w:lang w:val="en-US" w:eastAsia="zh-CN" w:bidi="ar-SA"/>
        </w:rPr>
        <w:t>、路面、排土场、尾矿库</w:t>
      </w:r>
      <w:r>
        <w:rPr>
          <w:rFonts w:hint="default" w:ascii="仿宋_GB2312" w:hAnsi="仿宋_GB2312" w:eastAsia="仿宋_GB2312" w:cs="仿宋_GB2312"/>
          <w:bCs/>
          <w:kern w:val="2"/>
          <w:sz w:val="32"/>
          <w:szCs w:val="32"/>
          <w:lang w:val="en-US" w:eastAsia="zh-CN" w:bidi="ar-SA"/>
        </w:rPr>
        <w:t>等</w:t>
      </w:r>
      <w:r>
        <w:rPr>
          <w:rFonts w:hint="eastAsia" w:ascii="仿宋_GB2312" w:hAnsi="仿宋_GB2312" w:eastAsia="仿宋_GB2312" w:cs="仿宋_GB2312"/>
          <w:bCs/>
          <w:kern w:val="2"/>
          <w:sz w:val="32"/>
          <w:szCs w:val="32"/>
          <w:lang w:val="en-US" w:eastAsia="zh-CN" w:bidi="ar-SA"/>
        </w:rPr>
        <w:t>）；门和周界设施缺陷（</w:t>
      </w:r>
      <w:r>
        <w:rPr>
          <w:rFonts w:hint="default" w:ascii="仿宋_GB2312" w:hAnsi="仿宋_GB2312" w:eastAsia="仿宋_GB2312" w:cs="仿宋_GB2312"/>
          <w:bCs/>
          <w:kern w:val="2"/>
          <w:sz w:val="32"/>
          <w:szCs w:val="32"/>
          <w:lang w:val="en-US" w:eastAsia="zh-CN" w:bidi="ar-SA"/>
        </w:rPr>
        <w:t>包括大门、栅栏、畜栏和铁丝网等</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作业场地基础下沉</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作业场地安全通道缺陷</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包括无安全通道，安全通道狭窄、不畅等</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作业场地安全出口缺陷</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包括无安全出口、设置不合理等</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作业场地光照不良</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光照不足、烟尘弥漫影响光照等</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作业场地空气不良</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指自然通风差或气流过大、作业场地缺氧或有害气体超限等</w:t>
      </w:r>
      <w:r>
        <w:rPr>
          <w:rFonts w:hint="eastAsia" w:ascii="仿宋_GB2312" w:hAnsi="仿宋_GB2312" w:eastAsia="仿宋_GB2312" w:cs="仿宋_GB2312"/>
          <w:bCs/>
          <w:kern w:val="2"/>
          <w:sz w:val="32"/>
          <w:szCs w:val="32"/>
          <w:lang w:val="en-US" w:eastAsia="zh-CN" w:bidi="ar-SA"/>
        </w:rPr>
        <w:t>，包括受限空间作业）、</w:t>
      </w:r>
      <w:r>
        <w:rPr>
          <w:rFonts w:hint="default" w:ascii="仿宋_GB2312" w:hAnsi="仿宋_GB2312" w:eastAsia="仿宋_GB2312" w:cs="仿宋_GB2312"/>
          <w:bCs/>
          <w:kern w:val="2"/>
          <w:sz w:val="32"/>
          <w:szCs w:val="32"/>
          <w:lang w:val="en-US" w:eastAsia="zh-CN" w:bidi="ar-SA"/>
        </w:rPr>
        <w:t>作业场地温度、湿度、气压不适</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作业场地涌水</w:t>
      </w:r>
      <w:r>
        <w:rPr>
          <w:rFonts w:hint="eastAsia" w:ascii="仿宋_GB2312" w:hAnsi="仿宋_GB2312" w:eastAsia="仿宋_GB2312" w:cs="仿宋_GB2312"/>
          <w:bCs/>
          <w:kern w:val="2"/>
          <w:sz w:val="32"/>
          <w:szCs w:val="32"/>
          <w:lang w:val="en-US" w:eastAsia="zh-CN" w:bidi="ar-SA"/>
        </w:rPr>
        <w:t>、排水系统故障；</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3）其他作业环境不良：</w:t>
      </w:r>
      <w:r>
        <w:rPr>
          <w:rFonts w:hint="default" w:ascii="仿宋_GB2312" w:hAnsi="仿宋_GB2312" w:eastAsia="仿宋_GB2312" w:cs="仿宋_GB2312"/>
          <w:bCs/>
          <w:kern w:val="2"/>
          <w:sz w:val="32"/>
          <w:szCs w:val="32"/>
          <w:lang w:val="en-US" w:eastAsia="zh-CN" w:bidi="ar-SA"/>
        </w:rPr>
        <w:t>强迫体位</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生产设备、设施的设计或作业位置不符合人类工效学要求而易引起作业人员疲劳、劳损或事故的一种作业姿势</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地下（含水下）作业环境不良</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  隧道/矿井顶面缺陷</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  隧道/矿井正面或侧壁缺陷</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  隧道/矿井地面缺陷</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 地下作业面有害气体超限</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  地下作业面通风不良</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  水下作业供氧不当</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  支护结构缺陷</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  非正常地下火</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  非正常地下水</w:t>
      </w:r>
      <w:r>
        <w:rPr>
          <w:rFonts w:hint="eastAsia" w:ascii="仿宋_GB2312" w:hAnsi="仿宋_GB2312" w:eastAsia="仿宋_GB2312" w:cs="仿宋_GB2312"/>
          <w:bCs/>
          <w:kern w:val="2"/>
          <w:sz w:val="32"/>
          <w:szCs w:val="32"/>
          <w:lang w:val="en-US" w:eastAsia="zh-CN" w:bidi="ar-SA"/>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1"/>
        <w:rPr>
          <w:rFonts w:hint="default"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249" w:name="_Toc20810"/>
      <w:bookmarkStart w:id="250" w:name="_Toc24833"/>
      <w:bookmarkStart w:id="251" w:name="_Toc25567"/>
      <w:bookmarkStart w:id="252" w:name="_Toc30273"/>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1.2.5.4交通运输环境因素主要体现：</w:t>
      </w:r>
      <w:bookmarkEnd w:id="249"/>
      <w:bookmarkEnd w:id="250"/>
      <w:bookmarkEnd w:id="251"/>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0" w:firstLineChars="200"/>
        <w:textAlignment w:val="auto"/>
        <w:outlineLvl w:val="0"/>
        <w:rPr>
          <w:rFonts w:hint="default" w:ascii="仿宋_GB2312" w:hAnsi="仿宋_GB2312" w:eastAsia="仿宋_GB2312" w:cs="仿宋_GB2312"/>
          <w:bCs/>
          <w:kern w:val="2"/>
          <w:sz w:val="32"/>
          <w:szCs w:val="32"/>
          <w:lang w:val="en-US" w:eastAsia="zh-CN" w:bidi="ar-SA"/>
        </w:rPr>
      </w:pPr>
      <w:bookmarkStart w:id="253" w:name="_Toc9418"/>
      <w:bookmarkStart w:id="254" w:name="_Toc19487"/>
      <w:bookmarkStart w:id="255" w:name="_Toc20310"/>
      <w:bookmarkStart w:id="256" w:name="_Toc9327"/>
      <w:bookmarkStart w:id="257" w:name="_Toc31701"/>
      <w:bookmarkStart w:id="258" w:name="_Toc27812"/>
      <w:bookmarkStart w:id="259" w:name="_Toc20527"/>
      <w:r>
        <w:rPr>
          <w:rFonts w:hint="eastAsia" w:ascii="仿宋_GB2312" w:hAnsi="仿宋_GB2312" w:eastAsia="仿宋_GB2312" w:cs="仿宋_GB2312"/>
          <w:bCs/>
          <w:kern w:val="2"/>
          <w:sz w:val="32"/>
          <w:szCs w:val="32"/>
          <w:lang w:val="en-US" w:eastAsia="zh-CN" w:bidi="ar-SA"/>
        </w:rPr>
        <w:t>1、</w:t>
      </w:r>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运送距离长，沿线经过道路水路情况复杂：</w:t>
      </w:r>
      <w:bookmarkEnd w:id="252"/>
      <w:bookmarkEnd w:id="253"/>
      <w:bookmarkEnd w:id="254"/>
      <w:bookmarkEnd w:id="255"/>
      <w:bookmarkEnd w:id="256"/>
      <w:bookmarkEnd w:id="257"/>
      <w:bookmarkEnd w:id="258"/>
      <w:bookmarkEnd w:id="259"/>
    </w:p>
    <w:p>
      <w:pPr>
        <w:pStyle w:val="8"/>
        <w:keepNext w:val="0"/>
        <w:keepLines w:val="0"/>
        <w:pageBreakBefore w:val="0"/>
        <w:kinsoku/>
        <w:wordWrap/>
        <w:overflowPunct/>
        <w:topLinePunct w:val="0"/>
        <w:autoSpaceDE/>
        <w:autoSpaceDN/>
        <w:bidi w:val="0"/>
        <w:adjustRightInd/>
        <w:spacing w:line="560" w:lineRule="exact"/>
        <w:ind w:left="0" w:firstLine="640" w:firstLineChars="200"/>
        <w:jc w:val="both"/>
        <w:textAlignment w:val="auto"/>
        <w:outlineLvl w:val="1"/>
        <w:rPr>
          <w:rFonts w:hint="default" w:ascii="仿宋_GB2312" w:hAnsi="仿宋_GB2312" w:eastAsia="仿宋_GB2312" w:cs="仿宋_GB2312"/>
          <w:bCs/>
          <w:kern w:val="2"/>
          <w:sz w:val="32"/>
          <w:szCs w:val="32"/>
          <w:lang w:val="en-US" w:eastAsia="zh-CN" w:bidi="ar-SA"/>
        </w:rPr>
      </w:pPr>
      <w:bookmarkStart w:id="260" w:name="_Toc6148"/>
      <w:bookmarkStart w:id="261" w:name="_Toc7964"/>
      <w:bookmarkStart w:id="262" w:name="_Toc31167"/>
      <w:bookmarkStart w:id="263" w:name="_Toc27168"/>
      <w:bookmarkStart w:id="264" w:name="_Toc743"/>
      <w:bookmarkStart w:id="265" w:name="_Toc2091"/>
      <w:bookmarkStart w:id="266" w:name="_Toc8675"/>
      <w:bookmarkStart w:id="267" w:name="_Toc14297"/>
      <w:bookmarkStart w:id="268" w:name="_Toc14998"/>
      <w:bookmarkStart w:id="269" w:name="_Toc19697"/>
      <w:r>
        <w:rPr>
          <w:rFonts w:hint="eastAsia" w:ascii="仿宋_GB2312" w:hAnsi="仿宋_GB2312" w:eastAsia="仿宋_GB2312" w:cs="仿宋_GB2312"/>
          <w:bCs/>
          <w:kern w:val="2"/>
          <w:sz w:val="32"/>
          <w:szCs w:val="32"/>
          <w:lang w:val="en-US" w:eastAsia="zh-CN" w:bidi="ar-SA"/>
        </w:rPr>
        <w:t>1）道路连续上下坡路段</w:t>
      </w:r>
      <w:bookmarkEnd w:id="260"/>
      <w:bookmarkEnd w:id="261"/>
      <w:bookmarkEnd w:id="262"/>
      <w:bookmarkEnd w:id="263"/>
      <w:bookmarkEnd w:id="264"/>
      <w:bookmarkEnd w:id="265"/>
      <w:bookmarkEnd w:id="266"/>
      <w:bookmarkEnd w:id="267"/>
      <w:bookmarkEnd w:id="268"/>
      <w:bookmarkEnd w:id="269"/>
    </w:p>
    <w:p>
      <w:pPr>
        <w:pStyle w:val="8"/>
        <w:keepNext w:val="0"/>
        <w:keepLines w:val="0"/>
        <w:pageBreakBefore w:val="0"/>
        <w:kinsoku/>
        <w:wordWrap/>
        <w:overflowPunct/>
        <w:topLinePunct w:val="0"/>
        <w:autoSpaceDE/>
        <w:autoSpaceDN/>
        <w:bidi w:val="0"/>
        <w:adjustRightInd/>
        <w:spacing w:line="560" w:lineRule="exact"/>
        <w:ind w:left="0" w:firstLine="640" w:firstLineChars="200"/>
        <w:jc w:val="both"/>
        <w:textAlignment w:val="auto"/>
        <w:rPr>
          <w:rFonts w:ascii="仿宋_GB2312" w:hAnsi="仿宋_GB2312" w:eastAsia="仿宋_GB2312" w:cs="仿宋_GB2312"/>
          <w:bCs/>
          <w:sz w:val="32"/>
          <w:szCs w:val="32"/>
        </w:rPr>
      </w:pPr>
      <w:r>
        <w:rPr>
          <w:rFonts w:hint="eastAsia" w:ascii="仿宋_GB2312" w:hAnsi="仿宋_GB2312" w:eastAsia="仿宋_GB2312" w:cs="仿宋_GB2312"/>
          <w:bCs/>
          <w:kern w:val="2"/>
          <w:sz w:val="32"/>
          <w:szCs w:val="32"/>
          <w:lang w:val="en-US" w:eastAsia="zh-CN" w:bidi="ar-SA"/>
        </w:rPr>
        <w:t>车辆连续上下坡、频繁制动，易导致制动失效；使发动机温度过高，或换挡不当，引起发动机熄火、溜车等现象，可能发生安全事故；空挡、熄火滑行等车辆易失控，导致发生追尾、</w:t>
      </w:r>
      <w:r>
        <w:rPr>
          <w:rFonts w:hint="eastAsia" w:ascii="仿宋_GB2312" w:hAnsi="仿宋_GB2312" w:eastAsia="仿宋_GB2312" w:cs="仿宋_GB2312"/>
          <w:bCs/>
          <w:sz w:val="32"/>
          <w:szCs w:val="32"/>
        </w:rPr>
        <w:t>翻车事故。</w:t>
      </w:r>
    </w:p>
    <w:p>
      <w:pPr>
        <w:pStyle w:val="8"/>
        <w:keepNext w:val="0"/>
        <w:keepLines w:val="0"/>
        <w:pageBreakBefore w:val="0"/>
        <w:kinsoku/>
        <w:wordWrap/>
        <w:overflowPunct/>
        <w:topLinePunct w:val="0"/>
        <w:autoSpaceDE/>
        <w:autoSpaceDN/>
        <w:bidi w:val="0"/>
        <w:adjustRightInd/>
        <w:spacing w:line="560" w:lineRule="exact"/>
        <w:ind w:left="0" w:firstLine="640" w:firstLineChars="200"/>
        <w:jc w:val="both"/>
        <w:textAlignment w:val="auto"/>
        <w:outlineLvl w:val="1"/>
        <w:rPr>
          <w:rFonts w:hint="default" w:ascii="仿宋_GB2312" w:hAnsi="仿宋_GB2312" w:eastAsia="仿宋_GB2312" w:cs="仿宋_GB2312"/>
          <w:bCs/>
          <w:sz w:val="32"/>
          <w:szCs w:val="32"/>
          <w:lang w:val="en-US" w:eastAsia="zh-CN"/>
        </w:rPr>
      </w:pPr>
      <w:bookmarkStart w:id="270" w:name="_Toc32727"/>
      <w:bookmarkStart w:id="271" w:name="_Toc31806"/>
      <w:bookmarkStart w:id="272" w:name="_Toc23557"/>
      <w:bookmarkStart w:id="273" w:name="_Toc418"/>
      <w:bookmarkStart w:id="274" w:name="_Toc3111"/>
      <w:bookmarkStart w:id="275" w:name="_Toc28268"/>
      <w:bookmarkStart w:id="276" w:name="_Toc7408"/>
      <w:bookmarkStart w:id="277" w:name="_Toc17926"/>
      <w:bookmarkStart w:id="278" w:name="_Toc28108"/>
      <w:bookmarkStart w:id="279" w:name="_Toc3797"/>
      <w:r>
        <w:rPr>
          <w:rFonts w:hint="eastAsia" w:ascii="仿宋_GB2312" w:hAnsi="仿宋_GB2312" w:eastAsia="仿宋_GB2312" w:cs="仿宋_GB2312"/>
          <w:bCs/>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道路</w:t>
      </w:r>
      <w:r>
        <w:rPr>
          <w:rFonts w:hint="eastAsia" w:ascii="仿宋_GB2312" w:hAnsi="仿宋_GB2312" w:eastAsia="仿宋_GB2312" w:cs="仿宋_GB2312"/>
          <w:bCs/>
          <w:sz w:val="32"/>
          <w:szCs w:val="32"/>
        </w:rPr>
        <w:t>弯急路窄路段</w:t>
      </w:r>
      <w:bookmarkEnd w:id="270"/>
      <w:bookmarkEnd w:id="271"/>
      <w:bookmarkEnd w:id="272"/>
      <w:bookmarkEnd w:id="273"/>
      <w:bookmarkEnd w:id="274"/>
      <w:bookmarkEnd w:id="275"/>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水路激流逆流航段</w:t>
      </w:r>
      <w:bookmarkEnd w:id="276"/>
      <w:bookmarkEnd w:id="277"/>
      <w:bookmarkEnd w:id="278"/>
      <w:bookmarkEnd w:id="279"/>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弯道上受障碍物遮挡，观察视线受限，无法全面观察道路情况；对车辆控制不当，车辆驶出路外，导致车辆倾翻事故；弯道超车等因素，可能发生车辆碰撞事故。</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乡道、农村道路路面窄，岔路口多，摩托车和</w:t>
      </w:r>
      <w:r>
        <w:rPr>
          <w:rFonts w:hint="eastAsia" w:ascii="仿宋_GB2312" w:hAnsi="仿宋_GB2312" w:eastAsia="仿宋_GB2312" w:cs="仿宋_GB2312"/>
          <w:bCs/>
          <w:sz w:val="32"/>
          <w:szCs w:val="32"/>
          <w:lang w:eastAsia="zh-CN"/>
        </w:rPr>
        <w:t>非机动</w:t>
      </w:r>
      <w:r>
        <w:rPr>
          <w:rFonts w:hint="eastAsia" w:ascii="仿宋_GB2312" w:hAnsi="仿宋_GB2312" w:eastAsia="仿宋_GB2312" w:cs="仿宋_GB2312"/>
          <w:bCs/>
          <w:sz w:val="32"/>
          <w:szCs w:val="32"/>
          <w:lang w:val="en-US" w:eastAsia="zh-CN"/>
        </w:rPr>
        <w:t>车</w:t>
      </w:r>
      <w:r>
        <w:rPr>
          <w:rFonts w:hint="eastAsia" w:ascii="仿宋_GB2312" w:hAnsi="仿宋_GB2312" w:eastAsia="仿宋_GB2312" w:cs="仿宋_GB2312"/>
          <w:bCs/>
          <w:sz w:val="32"/>
          <w:szCs w:val="32"/>
        </w:rPr>
        <w:t>乱窜，造成车辆会车、让行困难，容易造成道路交通事故。</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ascii="仿宋_GB2312" w:hAnsi="仿宋_GB2312" w:eastAsia="仿宋_GB2312" w:cs="仿宋_GB2312"/>
          <w:bCs/>
          <w:sz w:val="32"/>
          <w:szCs w:val="32"/>
        </w:rPr>
      </w:pPr>
      <w:bookmarkStart w:id="280" w:name="_Toc24067"/>
      <w:bookmarkStart w:id="281" w:name="_Toc31500"/>
      <w:bookmarkStart w:id="282" w:name="_Toc3304"/>
      <w:bookmarkStart w:id="283" w:name="_Toc24321"/>
      <w:bookmarkStart w:id="284" w:name="_Toc9816"/>
      <w:bookmarkStart w:id="285" w:name="_Toc15257"/>
      <w:bookmarkStart w:id="286" w:name="_Toc28641"/>
      <w:bookmarkStart w:id="287" w:name="_Toc29258"/>
      <w:bookmarkStart w:id="288" w:name="_Toc8334"/>
      <w:bookmarkStart w:id="289" w:name="_Toc29379"/>
      <w:r>
        <w:rPr>
          <w:rFonts w:hint="eastAsia" w:ascii="仿宋_GB2312" w:hAnsi="仿宋_GB2312" w:eastAsia="仿宋_GB2312" w:cs="仿宋_GB2312"/>
          <w:bCs/>
          <w:sz w:val="32"/>
          <w:szCs w:val="32"/>
        </w:rPr>
        <w:t>3</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山体滑坡、泥石流易发路段</w:t>
      </w:r>
      <w:bookmarkEnd w:id="280"/>
      <w:bookmarkEnd w:id="281"/>
      <w:bookmarkEnd w:id="282"/>
      <w:bookmarkEnd w:id="283"/>
      <w:bookmarkEnd w:id="284"/>
      <w:bookmarkEnd w:id="285"/>
      <w:bookmarkEnd w:id="286"/>
      <w:bookmarkEnd w:id="287"/>
      <w:bookmarkEnd w:id="288"/>
      <w:bookmarkEnd w:id="289"/>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阻挡道路或掩埋车辆，造成人员伤亡。</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hint="default" w:ascii="仿宋_GB2312" w:hAnsi="仿宋_GB2312" w:eastAsia="仿宋_GB2312" w:cs="仿宋_GB2312"/>
          <w:bCs/>
          <w:sz w:val="32"/>
          <w:szCs w:val="32"/>
          <w:lang w:val="en-US" w:eastAsia="zh-CN"/>
        </w:rPr>
      </w:pPr>
      <w:bookmarkStart w:id="290" w:name="_Toc12768"/>
      <w:bookmarkStart w:id="291" w:name="_Toc3446"/>
      <w:bookmarkStart w:id="292" w:name="_Toc28699"/>
      <w:bookmarkStart w:id="293" w:name="_Toc19595"/>
      <w:bookmarkStart w:id="294" w:name="_Toc14142"/>
      <w:bookmarkStart w:id="295" w:name="_Toc5616"/>
      <w:bookmarkStart w:id="296" w:name="_Toc13969"/>
      <w:bookmarkStart w:id="297" w:name="_Toc23558"/>
      <w:bookmarkStart w:id="298" w:name="_Toc4241"/>
      <w:bookmarkStart w:id="299" w:name="_Toc5124"/>
      <w:r>
        <w:rPr>
          <w:rFonts w:hint="eastAsia" w:ascii="仿宋_GB2312" w:hAnsi="仿宋_GB2312" w:eastAsia="仿宋_GB2312" w:cs="仿宋_GB2312"/>
          <w:bCs/>
          <w:sz w:val="32"/>
          <w:szCs w:val="32"/>
        </w:rPr>
        <w:t>4</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施工路段</w:t>
      </w:r>
      <w:bookmarkEnd w:id="290"/>
      <w:bookmarkEnd w:id="291"/>
      <w:bookmarkEnd w:id="292"/>
      <w:bookmarkEnd w:id="293"/>
      <w:bookmarkEnd w:id="294"/>
      <w:bookmarkEnd w:id="295"/>
      <w:r>
        <w:rPr>
          <w:rFonts w:hint="eastAsia" w:ascii="仿宋_GB2312" w:hAnsi="仿宋_GB2312" w:eastAsia="仿宋_GB2312" w:cs="仿宋_GB2312"/>
          <w:bCs/>
          <w:sz w:val="32"/>
          <w:szCs w:val="32"/>
          <w:lang w:val="en-US" w:eastAsia="zh-CN"/>
        </w:rPr>
        <w:t>，枯水航段</w:t>
      </w:r>
      <w:bookmarkEnd w:id="296"/>
      <w:bookmarkEnd w:id="297"/>
      <w:bookmarkEnd w:id="298"/>
      <w:bookmarkEnd w:id="299"/>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行车</w:t>
      </w:r>
      <w:r>
        <w:rPr>
          <w:rFonts w:hint="eastAsia" w:ascii="仿宋_GB2312" w:hAnsi="仿宋_GB2312" w:eastAsia="仿宋_GB2312" w:cs="仿宋_GB2312"/>
          <w:bCs/>
          <w:sz w:val="32"/>
          <w:szCs w:val="32"/>
          <w:lang w:val="en-US" w:eastAsia="zh-CN"/>
        </w:rPr>
        <w:t>通航</w:t>
      </w:r>
      <w:r>
        <w:rPr>
          <w:rFonts w:hint="eastAsia" w:ascii="仿宋_GB2312" w:hAnsi="仿宋_GB2312" w:eastAsia="仿宋_GB2312" w:cs="仿宋_GB2312"/>
          <w:bCs/>
          <w:sz w:val="32"/>
          <w:szCs w:val="32"/>
        </w:rPr>
        <w:t>道减少，通行</w:t>
      </w:r>
      <w:r>
        <w:rPr>
          <w:rFonts w:hint="eastAsia" w:ascii="仿宋_GB2312" w:hAnsi="仿宋_GB2312" w:eastAsia="仿宋_GB2312" w:cs="仿宋_GB2312"/>
          <w:bCs/>
          <w:sz w:val="32"/>
          <w:szCs w:val="32"/>
          <w:lang w:val="en-US" w:eastAsia="zh-CN"/>
        </w:rPr>
        <w:t>难度</w:t>
      </w:r>
      <w:r>
        <w:rPr>
          <w:rFonts w:hint="eastAsia" w:ascii="仿宋_GB2312" w:hAnsi="仿宋_GB2312" w:eastAsia="仿宋_GB2312" w:cs="仿宋_GB2312"/>
          <w:bCs/>
          <w:sz w:val="32"/>
          <w:szCs w:val="32"/>
        </w:rPr>
        <w:t>增</w:t>
      </w:r>
      <w:r>
        <w:rPr>
          <w:rFonts w:hint="eastAsia" w:ascii="仿宋_GB2312" w:hAnsi="仿宋_GB2312" w:eastAsia="仿宋_GB2312" w:cs="仿宋_GB2312"/>
          <w:bCs/>
          <w:sz w:val="32"/>
          <w:szCs w:val="32"/>
          <w:lang w:val="en-US" w:eastAsia="zh-CN"/>
        </w:rPr>
        <w:t>加</w:t>
      </w:r>
      <w:r>
        <w:rPr>
          <w:rFonts w:hint="eastAsia" w:ascii="仿宋_GB2312" w:hAnsi="仿宋_GB2312" w:eastAsia="仿宋_GB2312" w:cs="仿宋_GB2312"/>
          <w:bCs/>
          <w:sz w:val="32"/>
          <w:szCs w:val="32"/>
        </w:rPr>
        <w:t>，通行速度突然减慢，处理不当可能发生事</w:t>
      </w:r>
      <w:r>
        <w:rPr>
          <w:rFonts w:hint="eastAsia" w:ascii="仿宋_GB2312" w:hAnsi="仿宋_GB2312" w:eastAsia="仿宋_GB2312" w:cs="仿宋_GB2312"/>
          <w:bCs/>
          <w:sz w:val="32"/>
          <w:szCs w:val="32"/>
          <w:lang w:val="en-US" w:eastAsia="zh-CN"/>
        </w:rPr>
        <w:t>故；枯水季节，水深不够，容易搁浅。</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hint="eastAsia" w:ascii="仿宋_GB2312" w:hAnsi="仿宋_GB2312" w:eastAsia="仿宋_GB2312" w:cs="仿宋_GB2312"/>
          <w:bCs/>
          <w:sz w:val="32"/>
          <w:szCs w:val="32"/>
          <w:lang w:val="en-US" w:eastAsia="zh-CN"/>
        </w:rPr>
      </w:pPr>
      <w:bookmarkStart w:id="300" w:name="_Toc32033"/>
      <w:bookmarkStart w:id="301" w:name="_Toc30062"/>
      <w:bookmarkStart w:id="302" w:name="_Toc13369"/>
      <w:bookmarkStart w:id="303" w:name="_Toc5786"/>
      <w:bookmarkStart w:id="304" w:name="_Toc18573"/>
      <w:bookmarkStart w:id="305" w:name="_Toc2657"/>
      <w:bookmarkStart w:id="306" w:name="_Toc21751"/>
      <w:bookmarkStart w:id="307" w:name="_Toc2745"/>
      <w:bookmarkStart w:id="308" w:name="_Toc4476"/>
      <w:bookmarkStart w:id="309" w:name="_Toc16997"/>
      <w:r>
        <w:rPr>
          <w:rFonts w:hint="eastAsia" w:ascii="仿宋_GB2312" w:hAnsi="仿宋_GB2312" w:eastAsia="仿宋_GB2312" w:cs="仿宋_GB2312"/>
          <w:bCs/>
          <w:sz w:val="32"/>
          <w:szCs w:val="32"/>
        </w:rPr>
        <w:t>5</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冰雪路面</w:t>
      </w:r>
      <w:bookmarkEnd w:id="300"/>
      <w:bookmarkEnd w:id="301"/>
      <w:bookmarkEnd w:id="302"/>
      <w:bookmarkEnd w:id="303"/>
      <w:bookmarkEnd w:id="304"/>
      <w:bookmarkEnd w:id="305"/>
      <w:r>
        <w:rPr>
          <w:rFonts w:hint="eastAsia" w:ascii="仿宋_GB2312" w:hAnsi="仿宋_GB2312" w:eastAsia="仿宋_GB2312" w:cs="仿宋_GB2312"/>
          <w:bCs/>
          <w:sz w:val="32"/>
          <w:szCs w:val="32"/>
          <w:lang w:val="en-US" w:eastAsia="zh-CN"/>
        </w:rPr>
        <w:t>水面</w:t>
      </w:r>
      <w:bookmarkEnd w:id="306"/>
      <w:bookmarkEnd w:id="307"/>
      <w:bookmarkEnd w:id="308"/>
      <w:bookmarkEnd w:id="309"/>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阳光反射率高，路面摩擦系数低等情况，处置不当可能发生事故。</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hint="default" w:ascii="仿宋_GB2312" w:hAnsi="仿宋_GB2312" w:eastAsia="仿宋_GB2312" w:cs="仿宋_GB2312"/>
          <w:bCs/>
          <w:sz w:val="32"/>
          <w:szCs w:val="32"/>
          <w:lang w:val="en-US" w:eastAsia="zh-CN"/>
        </w:rPr>
      </w:pPr>
      <w:bookmarkStart w:id="310" w:name="_Toc18558"/>
      <w:bookmarkStart w:id="311" w:name="_Toc26274"/>
      <w:bookmarkStart w:id="312" w:name="_Toc22547"/>
      <w:bookmarkStart w:id="313" w:name="_Toc20852"/>
      <w:bookmarkStart w:id="314" w:name="_Toc1619"/>
      <w:bookmarkStart w:id="315" w:name="_Toc24042"/>
      <w:bookmarkStart w:id="316" w:name="_Toc18698"/>
      <w:bookmarkStart w:id="317" w:name="_Toc30395"/>
      <w:bookmarkStart w:id="318" w:name="_Toc16508"/>
      <w:bookmarkStart w:id="319" w:name="_Toc5940"/>
      <w:r>
        <w:rPr>
          <w:rFonts w:hint="eastAsia" w:ascii="仿宋_GB2312" w:hAnsi="仿宋_GB2312" w:eastAsia="仿宋_GB2312" w:cs="仿宋_GB2312"/>
          <w:bCs/>
          <w:sz w:val="32"/>
          <w:szCs w:val="32"/>
        </w:rPr>
        <w:t>6</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涉水</w:t>
      </w:r>
      <w:bookmarkEnd w:id="310"/>
      <w:bookmarkEnd w:id="311"/>
      <w:bookmarkEnd w:id="312"/>
      <w:bookmarkEnd w:id="313"/>
      <w:bookmarkEnd w:id="314"/>
      <w:bookmarkEnd w:id="315"/>
      <w:r>
        <w:rPr>
          <w:rFonts w:hint="eastAsia" w:ascii="仿宋_GB2312" w:hAnsi="仿宋_GB2312" w:eastAsia="仿宋_GB2312" w:cs="仿宋_GB2312"/>
          <w:bCs/>
          <w:sz w:val="32"/>
          <w:szCs w:val="32"/>
          <w:lang w:val="en-US" w:eastAsia="zh-CN"/>
        </w:rPr>
        <w:t>道路、暗礁险滩航道</w:t>
      </w:r>
      <w:bookmarkEnd w:id="316"/>
      <w:bookmarkEnd w:id="317"/>
      <w:bookmarkEnd w:id="318"/>
      <w:bookmarkEnd w:id="319"/>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未查清水的深浅即涉水行驶，易使车辆熄火，导致人员受困；车辆打滑或陷入水中；水中有尖锐物刺破轮胎，导致人车被困于水中</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航道险滩、暗礁观察不足，造成船体触礁、倾翻事故。</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ascii="仿宋_GB2312" w:hAnsi="仿宋_GB2312" w:eastAsia="仿宋_GB2312" w:cs="仿宋_GB2312"/>
          <w:bCs/>
          <w:sz w:val="32"/>
          <w:szCs w:val="32"/>
        </w:rPr>
      </w:pPr>
      <w:bookmarkStart w:id="320" w:name="_Toc16798"/>
      <w:bookmarkStart w:id="321" w:name="_Toc18498"/>
      <w:bookmarkStart w:id="322" w:name="_Toc9271"/>
      <w:bookmarkStart w:id="323" w:name="_Toc30443"/>
      <w:bookmarkStart w:id="324" w:name="_Toc21908"/>
      <w:bookmarkStart w:id="325" w:name="_Toc22259"/>
      <w:bookmarkStart w:id="326" w:name="_Toc2008"/>
      <w:bookmarkStart w:id="327" w:name="_Toc22581"/>
      <w:bookmarkStart w:id="328" w:name="_Toc21807"/>
      <w:bookmarkStart w:id="329" w:name="_Toc3966"/>
      <w:r>
        <w:rPr>
          <w:rFonts w:hint="eastAsia" w:ascii="仿宋_GB2312" w:hAnsi="仿宋_GB2312" w:eastAsia="仿宋_GB2312" w:cs="仿宋_GB2312"/>
          <w:bCs/>
          <w:sz w:val="32"/>
          <w:szCs w:val="32"/>
        </w:rPr>
        <w:t>7</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邻水、邻崖路段</w:t>
      </w:r>
      <w:bookmarkEnd w:id="320"/>
      <w:bookmarkEnd w:id="321"/>
      <w:bookmarkEnd w:id="322"/>
      <w:bookmarkEnd w:id="323"/>
      <w:bookmarkEnd w:id="324"/>
      <w:bookmarkEnd w:id="325"/>
      <w:bookmarkEnd w:id="326"/>
      <w:bookmarkEnd w:id="327"/>
      <w:bookmarkEnd w:id="328"/>
      <w:bookmarkEnd w:id="329"/>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轮胎滑溜失控或驾驶疏忽或车辆发生故障时处置不当，引发的坠崖、落水事故。</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hint="default" w:ascii="仿宋_GB2312" w:hAnsi="仿宋_GB2312" w:eastAsia="仿宋_GB2312" w:cs="仿宋_GB2312"/>
          <w:bCs/>
          <w:sz w:val="32"/>
          <w:szCs w:val="32"/>
          <w:lang w:val="en-US" w:eastAsia="zh-CN"/>
        </w:rPr>
      </w:pPr>
      <w:bookmarkStart w:id="330" w:name="_Toc16463"/>
      <w:bookmarkStart w:id="331" w:name="_Toc5766"/>
      <w:bookmarkStart w:id="332" w:name="_Toc8136"/>
      <w:bookmarkStart w:id="333" w:name="_Toc14835"/>
      <w:bookmarkStart w:id="334" w:name="_Toc6711"/>
      <w:bookmarkStart w:id="335" w:name="_Toc5319"/>
      <w:bookmarkStart w:id="336" w:name="_Toc12537"/>
      <w:bookmarkStart w:id="337" w:name="_Toc22452"/>
      <w:bookmarkStart w:id="338" w:name="_Toc28803"/>
      <w:bookmarkStart w:id="339" w:name="_Toc4071"/>
      <w:r>
        <w:rPr>
          <w:rFonts w:hint="eastAsia" w:ascii="仿宋_GB2312" w:hAnsi="仿宋_GB2312" w:eastAsia="仿宋_GB2312" w:cs="仿宋_GB2312"/>
          <w:bCs/>
          <w:sz w:val="32"/>
          <w:szCs w:val="32"/>
        </w:rPr>
        <w:t>8</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隧道</w:t>
      </w:r>
      <w:bookmarkEnd w:id="330"/>
      <w:bookmarkEnd w:id="331"/>
      <w:bookmarkEnd w:id="332"/>
      <w:bookmarkEnd w:id="333"/>
      <w:bookmarkEnd w:id="334"/>
      <w:bookmarkEnd w:id="335"/>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桥梁</w:t>
      </w:r>
      <w:bookmarkEnd w:id="336"/>
      <w:bookmarkEnd w:id="337"/>
      <w:bookmarkEnd w:id="338"/>
      <w:bookmarkEnd w:id="339"/>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隧道存在照明较差；较窄、限制高度；出入口明暗变化而眩目原因；出口瞬时横风等特殊情况</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桥梁通过性判断不足，或者航速控制不当，</w:t>
      </w:r>
      <w:r>
        <w:rPr>
          <w:rFonts w:hint="eastAsia" w:ascii="仿宋_GB2312" w:hAnsi="仿宋_GB2312" w:eastAsia="仿宋_GB2312" w:cs="仿宋_GB2312"/>
          <w:bCs/>
          <w:sz w:val="32"/>
          <w:szCs w:val="32"/>
        </w:rPr>
        <w:t>操作不当可能发生事故。</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1"/>
        <w:rPr>
          <w:rFonts w:hint="eastAsia" w:ascii="仿宋_GB2312" w:hAnsi="仿宋_GB2312" w:eastAsia="仿宋_GB2312" w:cs="仿宋_GB2312"/>
          <w:bCs/>
          <w:sz w:val="32"/>
          <w:szCs w:val="32"/>
          <w:lang w:eastAsia="zh-CN"/>
        </w:rPr>
      </w:pPr>
      <w:bookmarkStart w:id="340" w:name="_Toc16471"/>
      <w:bookmarkStart w:id="341" w:name="_Toc4998"/>
      <w:bookmarkStart w:id="342" w:name="_Toc16971"/>
      <w:bookmarkStart w:id="343" w:name="_Toc28820"/>
      <w:bookmarkStart w:id="344" w:name="_Toc1088"/>
      <w:bookmarkStart w:id="345" w:name="_Toc24978"/>
      <w:bookmarkStart w:id="346" w:name="_Toc25126"/>
      <w:bookmarkStart w:id="347" w:name="_Toc5340"/>
      <w:bookmarkStart w:id="348" w:name="_Toc15049"/>
      <w:bookmarkStart w:id="349" w:name="_Toc13421"/>
      <w:r>
        <w:rPr>
          <w:rFonts w:hint="eastAsia" w:ascii="仿宋_GB2312" w:hAnsi="仿宋_GB2312" w:eastAsia="仿宋_GB2312" w:cs="仿宋_GB2312"/>
          <w:bCs/>
          <w:sz w:val="32"/>
          <w:szCs w:val="32"/>
        </w:rPr>
        <w:t>9</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陌生</w:t>
      </w:r>
      <w:r>
        <w:rPr>
          <w:rFonts w:hint="eastAsia" w:ascii="仿宋_GB2312" w:hAnsi="仿宋_GB2312" w:eastAsia="仿宋_GB2312" w:cs="仿宋_GB2312"/>
          <w:bCs/>
          <w:sz w:val="32"/>
          <w:szCs w:val="32"/>
          <w:lang w:val="en-US" w:eastAsia="zh-CN"/>
        </w:rPr>
        <w:t>道路、航线</w:t>
      </w:r>
      <w:bookmarkEnd w:id="340"/>
      <w:bookmarkEnd w:id="341"/>
      <w:bookmarkEnd w:id="342"/>
      <w:bookmarkEnd w:id="343"/>
      <w:bookmarkEnd w:id="344"/>
      <w:bookmarkEnd w:id="345"/>
      <w:bookmarkEnd w:id="346"/>
      <w:bookmarkEnd w:id="347"/>
      <w:bookmarkEnd w:id="348"/>
      <w:bookmarkEnd w:id="349"/>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人员对路况</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水况</w:t>
      </w:r>
      <w:r>
        <w:rPr>
          <w:rFonts w:hint="eastAsia" w:ascii="仿宋_GB2312" w:hAnsi="仿宋_GB2312" w:eastAsia="仿宋_GB2312" w:cs="仿宋_GB2312"/>
          <w:bCs/>
          <w:sz w:val="32"/>
          <w:szCs w:val="32"/>
        </w:rPr>
        <w:t>不熟悉，行车过程中出现紧急情况处置不当，可能发生道路安全事故。</w:t>
      </w:r>
    </w:p>
    <w:p>
      <w:pPr>
        <w:pStyle w:val="8"/>
        <w:keepNext w:val="0"/>
        <w:keepLines w:val="0"/>
        <w:pageBreakBefore w:val="0"/>
        <w:kinsoku/>
        <w:wordWrap/>
        <w:overflowPunct/>
        <w:topLinePunct w:val="0"/>
        <w:autoSpaceDE/>
        <w:autoSpaceDN/>
        <w:bidi w:val="0"/>
        <w:adjustRightInd/>
        <w:snapToGrid w:val="0"/>
        <w:spacing w:line="560" w:lineRule="exact"/>
        <w:ind w:left="0" w:firstLine="640" w:firstLineChars="200"/>
        <w:jc w:val="both"/>
        <w:textAlignment w:val="auto"/>
        <w:rPr>
          <w:rFonts w:hint="default"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2、天气环境因素</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ascii="仿宋_GB2312" w:hAnsi="仿宋_GB2312" w:eastAsia="仿宋_GB2312" w:cs="仿宋_GB2312"/>
          <w:bCs/>
          <w:sz w:val="32"/>
          <w:szCs w:val="32"/>
        </w:rPr>
      </w:pPr>
      <w:bookmarkStart w:id="350" w:name="_Toc21994"/>
      <w:bookmarkStart w:id="351" w:name="_Toc7945"/>
      <w:bookmarkStart w:id="352" w:name="_Toc7579"/>
      <w:bookmarkStart w:id="353" w:name="_Toc19932"/>
      <w:bookmarkStart w:id="354" w:name="_Toc275"/>
      <w:bookmarkStart w:id="355" w:name="_Toc28140"/>
      <w:bookmarkStart w:id="356" w:name="_Toc13257"/>
      <w:bookmarkStart w:id="357" w:name="_Toc22973"/>
      <w:bookmarkStart w:id="358" w:name="_Toc19823"/>
      <w:bookmarkStart w:id="359" w:name="_Toc18770"/>
      <w:r>
        <w:rPr>
          <w:rFonts w:hint="eastAsia" w:ascii="仿宋_GB2312" w:hAnsi="仿宋_GB2312" w:eastAsia="仿宋_GB2312" w:cs="仿宋_GB2312"/>
          <w:bCs/>
          <w:sz w:val="32"/>
          <w:szCs w:val="32"/>
        </w:rPr>
        <w:t>1.大雨或暴雨天气</w:t>
      </w:r>
      <w:bookmarkEnd w:id="350"/>
      <w:bookmarkEnd w:id="351"/>
      <w:bookmarkEnd w:id="352"/>
      <w:bookmarkEnd w:id="353"/>
      <w:bookmarkEnd w:id="354"/>
      <w:bookmarkEnd w:id="355"/>
      <w:bookmarkEnd w:id="356"/>
      <w:bookmarkEnd w:id="357"/>
      <w:bookmarkEnd w:id="358"/>
      <w:bookmarkEnd w:id="359"/>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雨天存在光线昏暗、能见度低；路面湿滑、泥泞；水网地区路面积水反光等情况，驾驶人员操作不当，可能引发事故。</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ascii="仿宋_GB2312" w:hAnsi="仿宋_GB2312" w:eastAsia="仿宋_GB2312" w:cs="仿宋_GB2312"/>
          <w:bCs/>
          <w:sz w:val="32"/>
          <w:szCs w:val="32"/>
        </w:rPr>
      </w:pPr>
      <w:bookmarkStart w:id="360" w:name="_Toc15390"/>
      <w:bookmarkStart w:id="361" w:name="_Toc6041"/>
      <w:bookmarkStart w:id="362" w:name="_Toc14656"/>
      <w:bookmarkStart w:id="363" w:name="_Toc22205"/>
      <w:bookmarkStart w:id="364" w:name="_Toc10789"/>
      <w:bookmarkStart w:id="365" w:name="_Toc29726"/>
      <w:bookmarkStart w:id="366" w:name="_Toc10025"/>
      <w:bookmarkStart w:id="367" w:name="_Toc8851"/>
      <w:bookmarkStart w:id="368" w:name="_Toc22691"/>
      <w:bookmarkStart w:id="369" w:name="_Toc17748"/>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.大雪天气</w:t>
      </w:r>
      <w:bookmarkEnd w:id="360"/>
      <w:bookmarkEnd w:id="361"/>
      <w:bookmarkEnd w:id="362"/>
      <w:bookmarkEnd w:id="363"/>
      <w:bookmarkEnd w:id="364"/>
      <w:bookmarkEnd w:id="365"/>
      <w:bookmarkEnd w:id="366"/>
      <w:bookmarkEnd w:id="367"/>
      <w:bookmarkEnd w:id="368"/>
      <w:bookmarkEnd w:id="369"/>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雪天路面被积雪覆盖，强光反射，辨别不清；路面</w:t>
      </w:r>
      <w:r>
        <w:rPr>
          <w:rFonts w:hint="eastAsia" w:ascii="仿宋_GB2312" w:hAnsi="仿宋_GB2312" w:eastAsia="仿宋_GB2312" w:cs="仿宋_GB2312"/>
          <w:bCs/>
          <w:sz w:val="32"/>
          <w:szCs w:val="32"/>
          <w:lang w:val="en-US" w:eastAsia="zh-CN"/>
        </w:rPr>
        <w:t>或设备</w:t>
      </w:r>
      <w:r>
        <w:rPr>
          <w:rFonts w:hint="eastAsia" w:ascii="仿宋_GB2312" w:hAnsi="仿宋_GB2312" w:eastAsia="仿宋_GB2312" w:cs="仿宋_GB2312"/>
          <w:bCs/>
          <w:sz w:val="32"/>
          <w:szCs w:val="32"/>
        </w:rPr>
        <w:t>滑溜等情况，操作不当可能发生安全事故。</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ascii="仿宋_GB2312" w:hAnsi="仿宋_GB2312" w:eastAsia="仿宋_GB2312" w:cs="仿宋_GB2312"/>
          <w:bCs/>
          <w:sz w:val="32"/>
          <w:szCs w:val="32"/>
        </w:rPr>
      </w:pPr>
      <w:bookmarkStart w:id="370" w:name="_Toc16286"/>
      <w:bookmarkStart w:id="371" w:name="_Toc11587"/>
      <w:bookmarkStart w:id="372" w:name="_Toc23867"/>
      <w:bookmarkStart w:id="373" w:name="_Toc22520"/>
      <w:bookmarkStart w:id="374" w:name="_Toc1078"/>
      <w:bookmarkStart w:id="375" w:name="_Toc30762"/>
      <w:bookmarkStart w:id="376" w:name="_Toc10305"/>
      <w:bookmarkStart w:id="377" w:name="_Toc4561"/>
      <w:bookmarkStart w:id="378" w:name="_Toc29749"/>
      <w:bookmarkStart w:id="379" w:name="_Toc19704"/>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.大雾天气</w:t>
      </w:r>
      <w:bookmarkEnd w:id="370"/>
      <w:bookmarkEnd w:id="371"/>
      <w:bookmarkEnd w:id="372"/>
      <w:bookmarkEnd w:id="373"/>
      <w:bookmarkEnd w:id="374"/>
      <w:bookmarkEnd w:id="375"/>
      <w:bookmarkEnd w:id="376"/>
      <w:bookmarkEnd w:id="377"/>
      <w:bookmarkEnd w:id="378"/>
      <w:bookmarkEnd w:id="379"/>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bCs/>
          <w:sz w:val="32"/>
          <w:szCs w:val="32"/>
          <w:lang w:val="en-US"/>
        </w:rPr>
      </w:pPr>
      <w:r>
        <w:rPr>
          <w:rFonts w:hint="eastAsia" w:ascii="仿宋_GB2312" w:hAnsi="仿宋_GB2312" w:eastAsia="仿宋_GB2312" w:cs="仿宋_GB2312"/>
          <w:bCs/>
          <w:sz w:val="32"/>
          <w:szCs w:val="32"/>
        </w:rPr>
        <w:t>能见度低，看不清道路情况，驾驶员长时间雾中驾驶，注意力持续集中，易疲劳等情况，发生安全事故。</w:t>
      </w:r>
      <w:r>
        <w:rPr>
          <w:rFonts w:hint="eastAsia" w:ascii="仿宋_GB2312" w:hAnsi="仿宋_GB2312" w:eastAsia="仿宋_GB2312" w:cs="仿宋_GB2312"/>
          <w:bCs/>
          <w:sz w:val="32"/>
          <w:szCs w:val="32"/>
          <w:lang w:val="en-US" w:eastAsia="zh-CN"/>
        </w:rPr>
        <w:t>码头等吊运、</w:t>
      </w:r>
      <w:r>
        <w:rPr>
          <w:rFonts w:hint="eastAsia" w:ascii="仿宋_GB2312" w:hAnsi="仿宋_GB2312" w:eastAsia="仿宋_GB2312" w:cs="仿宋_GB2312"/>
          <w:bCs/>
          <w:sz w:val="32"/>
          <w:szCs w:val="32"/>
          <w:lang w:eastAsia="zh-CN"/>
        </w:rPr>
        <w:t>活动钢引桥、固定砼栈桥</w:t>
      </w:r>
      <w:r>
        <w:rPr>
          <w:rFonts w:hint="eastAsia" w:ascii="仿宋_GB2312" w:hAnsi="仿宋_GB2312" w:eastAsia="仿宋_GB2312" w:cs="仿宋_GB2312"/>
          <w:bCs/>
          <w:sz w:val="32"/>
          <w:szCs w:val="32"/>
          <w:lang w:val="en-US" w:eastAsia="zh-CN"/>
        </w:rPr>
        <w:t>视线模糊，易发生安全事故。</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ascii="仿宋_GB2312" w:hAnsi="仿宋_GB2312" w:eastAsia="仿宋_GB2312" w:cs="仿宋_GB2312"/>
          <w:bCs/>
          <w:sz w:val="32"/>
          <w:szCs w:val="32"/>
        </w:rPr>
      </w:pPr>
      <w:bookmarkStart w:id="380" w:name="_Toc31260"/>
      <w:bookmarkStart w:id="381" w:name="_Toc20977"/>
      <w:bookmarkStart w:id="382" w:name="_Toc13748"/>
      <w:bookmarkStart w:id="383" w:name="_Toc12068"/>
      <w:bookmarkStart w:id="384" w:name="_Toc11494"/>
      <w:bookmarkStart w:id="385" w:name="_Toc4918"/>
      <w:bookmarkStart w:id="386" w:name="_Toc27216"/>
      <w:bookmarkStart w:id="387" w:name="_Toc18084"/>
      <w:bookmarkStart w:id="388" w:name="_Toc29533"/>
      <w:bookmarkStart w:id="389" w:name="_Toc11158"/>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.高温天气</w:t>
      </w:r>
      <w:bookmarkEnd w:id="380"/>
      <w:bookmarkEnd w:id="381"/>
      <w:bookmarkEnd w:id="382"/>
      <w:bookmarkEnd w:id="383"/>
      <w:bookmarkEnd w:id="384"/>
      <w:bookmarkEnd w:id="385"/>
      <w:bookmarkEnd w:id="386"/>
      <w:bookmarkEnd w:id="387"/>
      <w:bookmarkEnd w:id="388"/>
      <w:bookmarkEnd w:id="389"/>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高温天气使</w:t>
      </w:r>
      <w:r>
        <w:rPr>
          <w:rFonts w:hint="eastAsia" w:ascii="仿宋_GB2312" w:hAnsi="仿宋_GB2312" w:eastAsia="仿宋_GB2312" w:cs="仿宋_GB2312"/>
          <w:bCs/>
          <w:sz w:val="32"/>
          <w:szCs w:val="32"/>
          <w:lang w:val="en-US" w:eastAsia="zh-CN"/>
        </w:rPr>
        <w:t>物质</w:t>
      </w:r>
      <w:r>
        <w:rPr>
          <w:rFonts w:hint="eastAsia" w:ascii="仿宋_GB2312" w:hAnsi="仿宋_GB2312" w:eastAsia="仿宋_GB2312" w:cs="仿宋_GB2312"/>
          <w:bCs/>
          <w:sz w:val="32"/>
          <w:szCs w:val="32"/>
        </w:rPr>
        <w:t>易受高温影响膨胀或自燃；使</w:t>
      </w:r>
      <w:r>
        <w:rPr>
          <w:rFonts w:hint="eastAsia" w:ascii="仿宋_GB2312" w:hAnsi="仿宋_GB2312" w:eastAsia="仿宋_GB2312" w:cs="仿宋_GB2312"/>
          <w:bCs/>
          <w:sz w:val="32"/>
          <w:szCs w:val="32"/>
          <w:lang w:val="en-US" w:eastAsia="zh-CN"/>
        </w:rPr>
        <w:t>作业</w:t>
      </w:r>
      <w:r>
        <w:rPr>
          <w:rFonts w:hint="eastAsia" w:ascii="仿宋_GB2312" w:hAnsi="仿宋_GB2312" w:eastAsia="仿宋_GB2312" w:cs="仿宋_GB2312"/>
          <w:bCs/>
          <w:sz w:val="32"/>
          <w:szCs w:val="32"/>
        </w:rPr>
        <w:t>人员疲惫</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注意力不集中</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车辆的</w:t>
      </w:r>
      <w:r>
        <w:rPr>
          <w:rFonts w:hint="eastAsia" w:ascii="仿宋_GB2312" w:hAnsi="仿宋_GB2312" w:eastAsia="仿宋_GB2312" w:cs="仿宋_GB2312"/>
          <w:bCs/>
          <w:sz w:val="32"/>
          <w:szCs w:val="32"/>
        </w:rPr>
        <w:t>轮胎易发生爆胎；制动易失效等情况发生，易引发事故。</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ascii="仿宋_GB2312" w:hAnsi="仿宋_GB2312" w:eastAsia="仿宋_GB2312" w:cs="仿宋_GB2312"/>
          <w:bCs/>
          <w:sz w:val="32"/>
          <w:szCs w:val="32"/>
        </w:rPr>
      </w:pPr>
      <w:bookmarkStart w:id="390" w:name="_Toc17122"/>
      <w:bookmarkStart w:id="391" w:name="_Toc6027"/>
      <w:bookmarkStart w:id="392" w:name="_Toc6763"/>
      <w:bookmarkStart w:id="393" w:name="_Toc31763"/>
      <w:bookmarkStart w:id="394" w:name="_Toc26277"/>
      <w:bookmarkStart w:id="395" w:name="_Toc11396"/>
      <w:bookmarkStart w:id="396" w:name="_Toc3693"/>
      <w:bookmarkStart w:id="397" w:name="_Toc12298"/>
      <w:bookmarkStart w:id="398" w:name="_Toc16208"/>
      <w:bookmarkStart w:id="399" w:name="_Toc16711"/>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.沙尘暴天气</w:t>
      </w:r>
      <w:bookmarkEnd w:id="390"/>
      <w:bookmarkEnd w:id="391"/>
      <w:bookmarkEnd w:id="392"/>
      <w:bookmarkEnd w:id="393"/>
      <w:bookmarkEnd w:id="394"/>
      <w:bookmarkEnd w:id="395"/>
      <w:bookmarkEnd w:id="396"/>
      <w:bookmarkEnd w:id="397"/>
      <w:bookmarkEnd w:id="398"/>
      <w:bookmarkEnd w:id="399"/>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存在能见度低、风力大、路面摩擦系数低等情况，操作不当可能发生安全事故。</w:t>
      </w:r>
    </w:p>
    <w:p>
      <w:pPr>
        <w:pStyle w:val="8"/>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ascii="仿宋_GB2312" w:hAnsi="仿宋_GB2312" w:eastAsia="仿宋_GB2312" w:cs="仿宋_GB2312"/>
          <w:bCs/>
          <w:sz w:val="32"/>
          <w:szCs w:val="32"/>
        </w:rPr>
      </w:pPr>
      <w:bookmarkStart w:id="400" w:name="_Toc3599"/>
      <w:bookmarkStart w:id="401" w:name="_Toc32501"/>
      <w:bookmarkStart w:id="402" w:name="_Toc28789"/>
      <w:bookmarkStart w:id="403" w:name="_Toc9086"/>
      <w:bookmarkStart w:id="404" w:name="_Toc12168"/>
      <w:bookmarkStart w:id="405" w:name="_Toc5970"/>
      <w:bookmarkStart w:id="406" w:name="_Toc15272"/>
      <w:bookmarkStart w:id="407" w:name="_Toc8858"/>
      <w:bookmarkStart w:id="408" w:name="_Toc17665"/>
      <w:bookmarkStart w:id="409" w:name="_Toc36"/>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w:t>
      </w:r>
      <w:r>
        <w:rPr>
          <w:rFonts w:hint="eastAsia" w:ascii="仿宋_GB2312" w:hAnsi="仿宋_GB2312" w:eastAsia="仿宋_GB2312" w:cs="仿宋_GB2312"/>
          <w:bCs/>
          <w:kern w:val="0"/>
          <w:sz w:val="32"/>
          <w:szCs w:val="32"/>
        </w:rPr>
        <w:t>台风、</w:t>
      </w:r>
      <w:r>
        <w:rPr>
          <w:rFonts w:hint="eastAsia" w:ascii="仿宋_GB2312" w:hAnsi="仿宋_GB2312" w:eastAsia="仿宋_GB2312" w:cs="仿宋_GB2312"/>
          <w:bCs/>
          <w:kern w:val="0"/>
          <w:sz w:val="32"/>
          <w:szCs w:val="32"/>
          <w:lang w:val="en-US" w:eastAsia="zh-CN"/>
        </w:rPr>
        <w:t>浪涌、</w:t>
      </w:r>
      <w:r>
        <w:rPr>
          <w:rFonts w:hint="eastAsia" w:ascii="仿宋_GB2312" w:hAnsi="仿宋_GB2312" w:eastAsia="仿宋_GB2312" w:cs="仿宋_GB2312"/>
          <w:bCs/>
          <w:kern w:val="0"/>
          <w:sz w:val="32"/>
          <w:szCs w:val="32"/>
        </w:rPr>
        <w:t>暴雨和洪涝事故</w:t>
      </w:r>
      <w:bookmarkEnd w:id="400"/>
      <w:bookmarkEnd w:id="401"/>
      <w:bookmarkEnd w:id="402"/>
      <w:bookmarkEnd w:id="403"/>
      <w:bookmarkEnd w:id="404"/>
      <w:bookmarkEnd w:id="405"/>
      <w:bookmarkEnd w:id="406"/>
      <w:bookmarkEnd w:id="407"/>
      <w:bookmarkEnd w:id="408"/>
      <w:bookmarkEnd w:id="409"/>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防台防汛事故指因台风、暴雨和洪涝等引起的造成人员伤亡或财产损失的事故，主要包括台风、</w:t>
      </w:r>
      <w:r>
        <w:rPr>
          <w:rFonts w:hint="eastAsia" w:ascii="仿宋_GB2312" w:hAnsi="仿宋_GB2312" w:eastAsia="仿宋_GB2312" w:cs="仿宋_GB2312"/>
          <w:bCs/>
          <w:kern w:val="0"/>
          <w:sz w:val="32"/>
          <w:szCs w:val="32"/>
          <w:lang w:val="en-US" w:eastAsia="zh-CN"/>
        </w:rPr>
        <w:t>浪涌、</w:t>
      </w:r>
      <w:r>
        <w:rPr>
          <w:rFonts w:hint="eastAsia" w:ascii="仿宋_GB2312" w:hAnsi="仿宋_GB2312" w:eastAsia="仿宋_GB2312" w:cs="仿宋_GB2312"/>
          <w:bCs/>
          <w:kern w:val="0"/>
          <w:sz w:val="32"/>
          <w:szCs w:val="32"/>
        </w:rPr>
        <w:t>暴雨和洪涝等事故类型。台风、暴雨和洪涝是常见的事故。如果防御不到位，一旦发生台风、暴雨和洪涝事故，将有可能造成重大人员伤亡和财产损失，医疗废物流散事故。</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hint="eastAsia" w:ascii="仿宋_GB2312" w:hAnsi="仿宋_GB2312" w:eastAsia="仿宋_GB2312" w:cs="仿宋_GB2312"/>
          <w:bCs/>
          <w:kern w:val="0"/>
          <w:sz w:val="32"/>
          <w:szCs w:val="32"/>
          <w:lang w:val="en-US" w:eastAsia="zh-CN"/>
        </w:rPr>
      </w:pPr>
      <w:bookmarkStart w:id="410" w:name="_Toc26027"/>
      <w:bookmarkStart w:id="411" w:name="_Toc7669"/>
      <w:bookmarkStart w:id="412" w:name="_Toc16816"/>
      <w:bookmarkStart w:id="413" w:name="_Toc16760"/>
      <w:r>
        <w:rPr>
          <w:rFonts w:hint="eastAsia" w:ascii="仿宋_GB2312" w:hAnsi="仿宋_GB2312" w:eastAsia="仿宋_GB2312" w:cs="仿宋_GB2312"/>
          <w:bCs/>
          <w:kern w:val="0"/>
          <w:sz w:val="32"/>
          <w:szCs w:val="32"/>
          <w:lang w:val="en-US" w:eastAsia="zh-CN"/>
        </w:rPr>
        <w:t>7、光照不良造成事故</w:t>
      </w:r>
      <w:bookmarkEnd w:id="410"/>
      <w:bookmarkEnd w:id="411"/>
      <w:bookmarkEnd w:id="412"/>
      <w:bookmarkEnd w:id="413"/>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bCs/>
          <w:kern w:val="0"/>
          <w:sz w:val="32"/>
          <w:szCs w:val="32"/>
          <w:lang w:val="en-US" w:eastAsia="zh-CN"/>
        </w:rPr>
      </w:pPr>
      <w:r>
        <w:rPr>
          <w:rFonts w:hint="eastAsia" w:ascii="仿宋_GB2312" w:hAnsi="仿宋_GB2312" w:eastAsia="仿宋_GB2312" w:cs="仿宋_GB2312"/>
          <w:bCs/>
          <w:kern w:val="0"/>
          <w:sz w:val="32"/>
          <w:szCs w:val="32"/>
          <w:lang w:val="en-US" w:eastAsia="zh-CN"/>
        </w:rPr>
        <w:t>交通运输光照不良主要是夜间，夜间利用车船自身灯光照明，吊机、活动钢引桥、固定砼栈桥等亮度不足，范围窄，光照距离短，导致不能充分观察易发生事故。</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baseline"/>
        <w:outlineLvl w:val="0"/>
        <w:rPr>
          <w:rFonts w:hint="default" w:ascii="仿宋_GB2312" w:hAnsi="仿宋_GB2312" w:eastAsia="仿宋_GB2312" w:cs="仿宋_GB2312"/>
          <w:bCs/>
          <w:kern w:val="0"/>
          <w:sz w:val="32"/>
          <w:szCs w:val="32"/>
          <w:lang w:val="en-US" w:eastAsia="zh-CN" w:bidi="ar-SA"/>
        </w:rPr>
      </w:pPr>
      <w:bookmarkStart w:id="414" w:name="_Toc18567"/>
      <w:bookmarkStart w:id="415" w:name="_Toc32413"/>
      <w:bookmarkStart w:id="416" w:name="_Toc3695"/>
      <w:bookmarkStart w:id="417" w:name="_Toc9961"/>
      <w:r>
        <w:rPr>
          <w:rFonts w:hint="eastAsia" w:ascii="仿宋_GB2312" w:hAnsi="仿宋_GB2312" w:eastAsia="仿宋_GB2312" w:cs="仿宋_GB2312"/>
          <w:bCs/>
          <w:kern w:val="0"/>
          <w:sz w:val="32"/>
          <w:szCs w:val="32"/>
          <w:lang w:val="en-US" w:eastAsia="zh-CN" w:bidi="ar-SA"/>
        </w:rPr>
        <w:t>8、</w:t>
      </w:r>
      <w:r>
        <w:rPr>
          <w:rFonts w:hint="default" w:ascii="仿宋_GB2312" w:hAnsi="仿宋_GB2312" w:eastAsia="仿宋_GB2312" w:cs="仿宋_GB2312"/>
          <w:bCs/>
          <w:kern w:val="0"/>
          <w:sz w:val="32"/>
          <w:szCs w:val="32"/>
          <w:lang w:val="en-US" w:eastAsia="zh-CN" w:bidi="ar-SA"/>
        </w:rPr>
        <w:t>强迫体位</w:t>
      </w:r>
      <w:r>
        <w:rPr>
          <w:rFonts w:hint="eastAsia" w:ascii="仿宋_GB2312" w:hAnsi="仿宋_GB2312" w:eastAsia="仿宋_GB2312" w:cs="仿宋_GB2312"/>
          <w:bCs/>
          <w:kern w:val="0"/>
          <w:sz w:val="32"/>
          <w:szCs w:val="32"/>
          <w:lang w:val="en-US" w:eastAsia="zh-CN" w:bidi="ar-SA"/>
        </w:rPr>
        <w:t>易发生事故</w:t>
      </w:r>
      <w:bookmarkEnd w:id="414"/>
      <w:bookmarkEnd w:id="415"/>
      <w:bookmarkEnd w:id="416"/>
      <w:bookmarkEnd w:id="417"/>
    </w:p>
    <w:p>
      <w:pPr>
        <w:pStyle w:val="2"/>
        <w:keepNext w:val="0"/>
        <w:keepLines w:val="0"/>
        <w:pageBreakBefore w:val="0"/>
        <w:widowControl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baseline"/>
        <w:rPr>
          <w:rFonts w:hint="default" w:ascii="仿宋_GB2312" w:hAnsi="仿宋_GB2312" w:eastAsia="仿宋_GB2312" w:cs="仿宋_GB2312"/>
          <w:bCs/>
          <w:kern w:val="0"/>
          <w:sz w:val="32"/>
          <w:szCs w:val="32"/>
          <w:lang w:val="en-US" w:eastAsia="zh-CN" w:bidi="ar-SA"/>
        </w:rPr>
      </w:pPr>
      <w:r>
        <w:rPr>
          <w:rFonts w:hint="eastAsia" w:ascii="仿宋_GB2312" w:hAnsi="仿宋_GB2312" w:eastAsia="仿宋_GB2312" w:cs="仿宋_GB2312"/>
          <w:bCs/>
          <w:kern w:val="0"/>
          <w:sz w:val="32"/>
          <w:szCs w:val="32"/>
          <w:lang w:val="en-US" w:eastAsia="zh-CN" w:bidi="ar-SA"/>
        </w:rPr>
        <w:t>车辆、船舶驾驶员、吊运的驾驶室驾驶需长期保持高度集中、一种姿势，其</w:t>
      </w:r>
      <w:r>
        <w:rPr>
          <w:rFonts w:hint="default" w:ascii="仿宋_GB2312" w:hAnsi="仿宋_GB2312" w:eastAsia="仿宋_GB2312" w:cs="仿宋_GB2312"/>
          <w:bCs/>
          <w:kern w:val="0"/>
          <w:sz w:val="32"/>
          <w:szCs w:val="32"/>
          <w:lang w:val="en-US" w:eastAsia="zh-CN" w:bidi="ar-SA"/>
        </w:rPr>
        <w:t>设计或作业位置不符合人类工效学要求而易引起作业人员疲劳、劳损</w:t>
      </w:r>
      <w:r>
        <w:rPr>
          <w:rFonts w:hint="eastAsia" w:ascii="仿宋_GB2312" w:hAnsi="仿宋_GB2312" w:eastAsia="仿宋_GB2312" w:cs="仿宋_GB2312"/>
          <w:bCs/>
          <w:kern w:val="0"/>
          <w:sz w:val="32"/>
          <w:szCs w:val="32"/>
          <w:lang w:val="en-US" w:eastAsia="zh-CN" w:bidi="ar-SA"/>
        </w:rPr>
        <w:t>，易造成事故。</w:t>
      </w:r>
    </w:p>
    <w:p>
      <w:pPr>
        <w:pStyle w:val="8"/>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18" w:name="_Toc1487"/>
      <w:bookmarkStart w:id="419" w:name="_Toc14317"/>
      <w:bookmarkStart w:id="420" w:name="_Toc3280"/>
      <w:bookmarkStart w:id="421" w:name="_Toc18547"/>
      <w:bookmarkStart w:id="422" w:name="_Toc7233"/>
      <w:bookmarkStart w:id="423" w:name="_Toc26134"/>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1.2.6管理因素</w:t>
      </w:r>
      <w:bookmarkEnd w:id="418"/>
      <w:bookmarkEnd w:id="419"/>
      <w:bookmarkEnd w:id="420"/>
      <w:bookmarkEnd w:id="421"/>
      <w:bookmarkEnd w:id="422"/>
      <w:bookmarkEnd w:id="423"/>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right="0" w:firstLine="640" w:firstLineChars="200"/>
        <w:jc w:val="both"/>
        <w:textAlignment w:val="auto"/>
        <w:rPr>
          <w:rFonts w:hint="default" w:ascii="仿宋_GB2312" w:hAnsi="仿宋_GB2312" w:eastAsia="仿宋_GB2312" w:cs="仿宋_GB2312"/>
          <w:bCs/>
          <w:kern w:val="0"/>
          <w:sz w:val="32"/>
          <w:szCs w:val="32"/>
          <w:lang w:val="en-US" w:eastAsia="zh-CN" w:bidi="ar-SA"/>
        </w:rPr>
      </w:pPr>
      <w:r>
        <w:rPr>
          <w:rFonts w:hint="default" w:ascii="仿宋_GB2312" w:hAnsi="仿宋_GB2312" w:eastAsia="仿宋_GB2312" w:cs="仿宋_GB2312"/>
          <w:bCs/>
          <w:kern w:val="0"/>
          <w:sz w:val="32"/>
          <w:szCs w:val="32"/>
          <w:lang w:val="en-US" w:eastAsia="zh-CN" w:bidi="ar-SA"/>
        </w:rPr>
        <w:t>职业安全卫生</w:t>
      </w:r>
      <w:r>
        <w:rPr>
          <w:rFonts w:hint="eastAsia" w:ascii="仿宋_GB2312" w:hAnsi="仿宋_GB2312" w:eastAsia="仿宋_GB2312" w:cs="仿宋_GB2312"/>
          <w:bCs/>
          <w:kern w:val="0"/>
          <w:sz w:val="32"/>
          <w:szCs w:val="32"/>
          <w:lang w:val="en-US" w:eastAsia="zh-CN" w:bidi="ar-SA"/>
        </w:rPr>
        <w:t>管理</w:t>
      </w:r>
      <w:r>
        <w:rPr>
          <w:rFonts w:hint="default" w:ascii="仿宋_GB2312" w:hAnsi="仿宋_GB2312" w:eastAsia="仿宋_GB2312" w:cs="仿宋_GB2312"/>
          <w:bCs/>
          <w:kern w:val="0"/>
          <w:sz w:val="32"/>
          <w:szCs w:val="32"/>
          <w:lang w:val="en-US" w:eastAsia="zh-CN" w:bidi="ar-SA"/>
        </w:rPr>
        <w:t>机构</w:t>
      </w:r>
      <w:r>
        <w:rPr>
          <w:rFonts w:hint="eastAsia" w:ascii="仿宋_GB2312" w:hAnsi="仿宋_GB2312" w:eastAsia="仿宋_GB2312" w:cs="仿宋_GB2312"/>
          <w:bCs/>
          <w:kern w:val="0"/>
          <w:sz w:val="32"/>
          <w:szCs w:val="32"/>
          <w:lang w:val="en-US" w:eastAsia="zh-CN" w:bidi="ar-SA"/>
        </w:rPr>
        <w:t>设置和人员配备</w:t>
      </w:r>
      <w:r>
        <w:rPr>
          <w:rFonts w:hint="default" w:ascii="仿宋_GB2312" w:hAnsi="仿宋_GB2312" w:eastAsia="仿宋_GB2312" w:cs="仿宋_GB2312"/>
          <w:bCs/>
          <w:kern w:val="0"/>
          <w:sz w:val="32"/>
          <w:szCs w:val="32"/>
          <w:lang w:val="en-US" w:eastAsia="zh-CN" w:bidi="ar-SA"/>
        </w:rPr>
        <w:t>不健全</w:t>
      </w:r>
      <w:r>
        <w:rPr>
          <w:rFonts w:hint="eastAsia" w:ascii="仿宋_GB2312" w:hAnsi="仿宋_GB2312" w:eastAsia="仿宋_GB2312" w:cs="仿宋_GB2312"/>
          <w:bCs/>
          <w:kern w:val="0"/>
          <w:sz w:val="32"/>
          <w:szCs w:val="32"/>
          <w:lang w:val="en-US" w:eastAsia="zh-CN" w:bidi="ar-SA"/>
        </w:rPr>
        <w:t>；</w:t>
      </w:r>
      <w:r>
        <w:rPr>
          <w:rFonts w:hint="default" w:ascii="仿宋_GB2312" w:hAnsi="仿宋_GB2312" w:eastAsia="仿宋_GB2312" w:cs="仿宋_GB2312"/>
          <w:bCs/>
          <w:kern w:val="0"/>
          <w:sz w:val="32"/>
          <w:szCs w:val="32"/>
          <w:lang w:val="en-US" w:eastAsia="zh-CN" w:bidi="ar-SA"/>
        </w:rPr>
        <w:t>职业安全卫生责任制</w:t>
      </w:r>
      <w:r>
        <w:rPr>
          <w:rFonts w:hint="eastAsia" w:ascii="仿宋_GB2312" w:hAnsi="仿宋_GB2312" w:eastAsia="仿宋_GB2312" w:cs="仿宋_GB2312"/>
          <w:bCs/>
          <w:kern w:val="0"/>
          <w:sz w:val="32"/>
          <w:szCs w:val="32"/>
          <w:lang w:val="en-US" w:eastAsia="zh-CN" w:bidi="ar-SA"/>
        </w:rPr>
        <w:t>不完善或</w:t>
      </w:r>
      <w:r>
        <w:rPr>
          <w:rFonts w:hint="default" w:ascii="仿宋_GB2312" w:hAnsi="仿宋_GB2312" w:eastAsia="仿宋_GB2312" w:cs="仿宋_GB2312"/>
          <w:bCs/>
          <w:kern w:val="0"/>
          <w:sz w:val="32"/>
          <w:szCs w:val="32"/>
          <w:lang w:val="en-US" w:eastAsia="zh-CN" w:bidi="ar-SA"/>
        </w:rPr>
        <w:t>未落实</w:t>
      </w:r>
      <w:r>
        <w:rPr>
          <w:rFonts w:hint="eastAsia" w:ascii="仿宋_GB2312" w:hAnsi="仿宋_GB2312" w:eastAsia="仿宋_GB2312" w:cs="仿宋_GB2312"/>
          <w:bCs/>
          <w:kern w:val="0"/>
          <w:sz w:val="32"/>
          <w:szCs w:val="32"/>
          <w:lang w:val="en-US" w:eastAsia="zh-CN" w:bidi="ar-SA"/>
        </w:rPr>
        <w:t>；</w:t>
      </w:r>
      <w:r>
        <w:rPr>
          <w:rFonts w:hint="default" w:ascii="仿宋_GB2312" w:hAnsi="仿宋_GB2312" w:eastAsia="仿宋_GB2312" w:cs="仿宋_GB2312"/>
          <w:bCs/>
          <w:kern w:val="0"/>
          <w:sz w:val="32"/>
          <w:szCs w:val="32"/>
          <w:lang w:val="en-US" w:eastAsia="zh-CN" w:bidi="ar-SA"/>
        </w:rPr>
        <w:t>职业安全卫生</w:t>
      </w:r>
      <w:r>
        <w:rPr>
          <w:rFonts w:hint="eastAsia" w:ascii="仿宋_GB2312" w:hAnsi="仿宋_GB2312" w:eastAsia="仿宋_GB2312" w:cs="仿宋_GB2312"/>
          <w:bCs/>
          <w:kern w:val="0"/>
          <w:sz w:val="32"/>
          <w:szCs w:val="32"/>
          <w:lang w:val="en-US" w:eastAsia="zh-CN" w:bidi="ar-SA"/>
        </w:rPr>
        <w:t>管理制度不完善或</w:t>
      </w:r>
      <w:r>
        <w:rPr>
          <w:rFonts w:hint="default" w:ascii="仿宋_GB2312" w:hAnsi="仿宋_GB2312" w:eastAsia="仿宋_GB2312" w:cs="仿宋_GB2312"/>
          <w:bCs/>
          <w:kern w:val="0"/>
          <w:sz w:val="32"/>
          <w:szCs w:val="32"/>
          <w:lang w:val="en-US" w:eastAsia="zh-CN" w:bidi="ar-SA"/>
        </w:rPr>
        <w:t>未落实</w:t>
      </w:r>
      <w:r>
        <w:rPr>
          <w:rFonts w:hint="eastAsia" w:ascii="仿宋_GB2312" w:hAnsi="仿宋_GB2312" w:eastAsia="仿宋_GB2312" w:cs="仿宋_GB2312"/>
          <w:bCs/>
          <w:kern w:val="0"/>
          <w:sz w:val="32"/>
          <w:szCs w:val="32"/>
          <w:lang w:val="en-US" w:eastAsia="zh-CN" w:bidi="ar-SA"/>
        </w:rPr>
        <w:t>；</w:t>
      </w:r>
      <w:r>
        <w:rPr>
          <w:rFonts w:hint="default" w:ascii="仿宋_GB2312" w:hAnsi="仿宋_GB2312" w:eastAsia="仿宋_GB2312" w:cs="仿宋_GB2312"/>
          <w:bCs/>
          <w:kern w:val="0"/>
          <w:sz w:val="32"/>
          <w:szCs w:val="32"/>
          <w:lang w:val="en-US" w:eastAsia="zh-CN" w:bidi="ar-SA"/>
        </w:rPr>
        <w:t>建设项目“三同时”制度</w:t>
      </w:r>
      <w:r>
        <w:rPr>
          <w:rFonts w:hint="eastAsia" w:ascii="仿宋_GB2312" w:hAnsi="仿宋_GB2312" w:eastAsia="仿宋_GB2312" w:cs="仿宋_GB2312"/>
          <w:bCs/>
          <w:kern w:val="0"/>
          <w:sz w:val="32"/>
          <w:szCs w:val="32"/>
          <w:lang w:val="en-US" w:eastAsia="zh-CN" w:bidi="ar-SA"/>
        </w:rPr>
        <w:t>；风险分级管控、隐患排查治理、培训教育制度、操作规程（包括作业指导书）、职业卫生管理制度、其他职业卫生安全管理制度不健全（包括事故调查处理制度等）、</w:t>
      </w:r>
      <w:r>
        <w:rPr>
          <w:rFonts w:hint="default" w:ascii="仿宋_GB2312" w:hAnsi="仿宋_GB2312" w:eastAsia="仿宋_GB2312" w:cs="仿宋_GB2312"/>
          <w:bCs/>
          <w:kern w:val="0"/>
          <w:sz w:val="32"/>
          <w:szCs w:val="32"/>
          <w:lang w:val="en-US" w:eastAsia="zh-CN" w:bidi="ar-SA"/>
        </w:rPr>
        <w:t>职业</w:t>
      </w:r>
      <w:r>
        <w:rPr>
          <w:rFonts w:hint="eastAsia" w:ascii="仿宋_GB2312" w:hAnsi="仿宋_GB2312" w:eastAsia="仿宋_GB2312" w:cs="仿宋_GB2312"/>
          <w:bCs/>
          <w:kern w:val="0"/>
          <w:sz w:val="32"/>
          <w:szCs w:val="32"/>
          <w:lang w:val="en-US" w:eastAsia="zh-CN" w:bidi="ar-SA"/>
        </w:rPr>
        <w:t>卫生</w:t>
      </w:r>
      <w:r>
        <w:rPr>
          <w:rFonts w:hint="default" w:ascii="仿宋_GB2312" w:hAnsi="仿宋_GB2312" w:eastAsia="仿宋_GB2312" w:cs="仿宋_GB2312"/>
          <w:bCs/>
          <w:kern w:val="0"/>
          <w:sz w:val="32"/>
          <w:szCs w:val="32"/>
          <w:lang w:val="en-US" w:eastAsia="zh-CN" w:bidi="ar-SA"/>
        </w:rPr>
        <w:t>安全卫生投入不足</w:t>
      </w:r>
      <w:r>
        <w:rPr>
          <w:rFonts w:hint="eastAsia" w:ascii="仿宋_GB2312" w:hAnsi="仿宋_GB2312" w:eastAsia="仿宋_GB2312" w:cs="仿宋_GB2312"/>
          <w:bCs/>
          <w:kern w:val="0"/>
          <w:sz w:val="32"/>
          <w:szCs w:val="32"/>
          <w:lang w:val="en-US" w:eastAsia="zh-CN" w:bidi="ar-SA"/>
        </w:rPr>
        <w:t>、应急管理缺陷：应急资源调查不充分、应急能力、风险评估不全面、事故预案缺陷（包括预案不健全、操作性不强、无针对性）、应急预案培训不到位、应急预案演练不规范、其他应急管理缺陷。</w:t>
      </w:r>
    </w:p>
    <w:p>
      <w:pPr>
        <w:pStyle w:val="8"/>
        <w:keepNext w:val="0"/>
        <w:keepLines w:val="0"/>
        <w:pageBreakBefore w:val="0"/>
        <w:kinsoku/>
        <w:wordWrap/>
        <w:overflowPunct/>
        <w:topLinePunct w:val="0"/>
        <w:autoSpaceDE/>
        <w:autoSpaceDN/>
        <w:bidi w:val="0"/>
        <w:adjustRightInd/>
        <w:spacing w:line="560" w:lineRule="exact"/>
        <w:ind w:firstLine="640" w:firstLineChars="200"/>
        <w:jc w:val="both"/>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24" w:name="_Toc24"/>
      <w:bookmarkStart w:id="425" w:name="_Toc24539"/>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1.2.6.1交通运输管理缺陷主要体现：</w:t>
      </w:r>
      <w:bookmarkEnd w:id="424"/>
      <w:bookmarkEnd w:id="425"/>
    </w:p>
    <w:p>
      <w:pPr>
        <w:pStyle w:val="8"/>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Cs/>
          <w:kern w:val="0"/>
          <w:sz w:val="32"/>
          <w:szCs w:val="32"/>
          <w:lang w:val="en-US" w:eastAsia="zh-CN" w:bidi="ar-SA"/>
        </w:rPr>
      </w:pPr>
      <w:r>
        <w:rPr>
          <w:rFonts w:hint="eastAsia" w:ascii="仿宋_GB2312" w:hAnsi="仿宋_GB2312" w:eastAsia="仿宋_GB2312" w:cs="仿宋_GB2312"/>
          <w:bCs/>
          <w:kern w:val="0"/>
          <w:sz w:val="32"/>
          <w:szCs w:val="32"/>
          <w:lang w:val="en-US" w:eastAsia="zh-CN" w:bidi="ar-SA"/>
        </w:rPr>
        <w:t>1.管理人员不具有交通运输的安全生产管理知识和应急处置能力；安全生产主体责任不明确，发生责任事故后，对安全生产责任追究难。</w:t>
      </w:r>
    </w:p>
    <w:p>
      <w:pPr>
        <w:pStyle w:val="8"/>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Cs/>
          <w:kern w:val="0"/>
          <w:sz w:val="32"/>
          <w:szCs w:val="32"/>
          <w:lang w:val="en-US" w:eastAsia="zh-CN" w:bidi="ar-SA"/>
        </w:rPr>
      </w:pPr>
      <w:r>
        <w:rPr>
          <w:rFonts w:hint="eastAsia" w:ascii="仿宋_GB2312" w:hAnsi="仿宋_GB2312" w:eastAsia="仿宋_GB2312" w:cs="仿宋_GB2312"/>
          <w:bCs/>
          <w:kern w:val="0"/>
          <w:sz w:val="32"/>
          <w:szCs w:val="32"/>
          <w:lang w:val="en-US" w:eastAsia="zh-CN" w:bidi="ar-SA"/>
        </w:rPr>
        <w:t>2.安全生产规章制度、安全生产操作规程不健全或缺失，导致违章作业或违章指挥，易发生安全生产事故。</w:t>
      </w:r>
    </w:p>
    <w:p>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Cs/>
          <w:kern w:val="0"/>
          <w:sz w:val="32"/>
          <w:szCs w:val="32"/>
          <w:lang w:val="en-US" w:eastAsia="zh-CN" w:bidi="ar-SA"/>
        </w:rPr>
      </w:pPr>
      <w:r>
        <w:rPr>
          <w:rFonts w:hint="eastAsia" w:ascii="仿宋_GB2312" w:hAnsi="仿宋_GB2312" w:eastAsia="仿宋_GB2312" w:cs="仿宋_GB2312"/>
          <w:bCs/>
          <w:kern w:val="0"/>
          <w:sz w:val="32"/>
          <w:szCs w:val="32"/>
          <w:lang w:val="en-US" w:eastAsia="zh-CN" w:bidi="ar-SA"/>
        </w:rPr>
        <w:t>3.安全生产教育培训不到位。从业人员安全意识淡薄，对相关的安全知识缺乏，导致事故频发。</w:t>
      </w:r>
    </w:p>
    <w:p>
      <w:pPr>
        <w:pStyle w:val="20"/>
        <w:keepNext w:val="0"/>
        <w:keepLines w:val="0"/>
        <w:pageBreakBefore w:val="0"/>
        <w:kinsoku/>
        <w:wordWrap/>
        <w:overflowPunct/>
        <w:topLinePunct w:val="0"/>
        <w:autoSpaceDE/>
        <w:autoSpaceDN/>
        <w:bidi w:val="0"/>
        <w:adjustRightInd/>
        <w:spacing w:after="0" w:line="560" w:lineRule="exact"/>
        <w:ind w:left="0" w:leftChars="0" w:firstLine="640"/>
        <w:textAlignment w:val="auto"/>
        <w:rPr>
          <w:rFonts w:hint="eastAsia" w:ascii="仿宋_GB2312" w:hAnsi="仿宋_GB2312" w:eastAsia="仿宋_GB2312" w:cs="仿宋_GB2312"/>
          <w:bCs/>
          <w:kern w:val="0"/>
          <w:sz w:val="32"/>
          <w:szCs w:val="32"/>
          <w:lang w:val="en-US" w:eastAsia="zh-CN" w:bidi="ar-SA"/>
        </w:rPr>
      </w:pPr>
      <w:r>
        <w:rPr>
          <w:rFonts w:hint="eastAsia" w:ascii="仿宋_GB2312" w:hAnsi="仿宋_GB2312" w:eastAsia="仿宋_GB2312" w:cs="仿宋_GB2312"/>
          <w:bCs/>
          <w:kern w:val="0"/>
          <w:sz w:val="32"/>
          <w:szCs w:val="32"/>
          <w:lang w:val="en-US" w:eastAsia="zh-CN" w:bidi="ar-SA"/>
        </w:rPr>
        <w:t>4.事故隐患排查缺失或不到位。风险分级管控和隐患排查治理缺失或没有全面落实，设备设施带“病”作业导致引发事故。</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Cs/>
          <w:kern w:val="0"/>
          <w:sz w:val="32"/>
          <w:szCs w:val="32"/>
          <w:lang w:val="en-US" w:eastAsia="zh-CN" w:bidi="ar-SA"/>
        </w:rPr>
      </w:pPr>
      <w:r>
        <w:rPr>
          <w:rFonts w:hint="eastAsia" w:ascii="仿宋_GB2312" w:hAnsi="仿宋_GB2312" w:eastAsia="仿宋_GB2312" w:cs="仿宋_GB2312"/>
          <w:bCs/>
          <w:kern w:val="0"/>
          <w:sz w:val="32"/>
          <w:szCs w:val="32"/>
          <w:lang w:val="en-US" w:eastAsia="zh-CN" w:bidi="ar-SA"/>
        </w:rPr>
        <w:t>5.从业人员招聘管理不到位，资质审核不规范，证照不符、证件过期、无效或无证等上岗作业的情况；人员配备不符合相关规定，极易发生事故，造成人身伤害、财产损失、环境遭破坏。</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Cs/>
          <w:kern w:val="0"/>
          <w:sz w:val="32"/>
          <w:szCs w:val="32"/>
          <w:lang w:val="en-US" w:eastAsia="zh-CN" w:bidi="ar-SA"/>
        </w:rPr>
      </w:pPr>
      <w:r>
        <w:rPr>
          <w:rFonts w:hint="eastAsia" w:ascii="仿宋_GB2312" w:hAnsi="仿宋_GB2312" w:eastAsia="仿宋_GB2312" w:cs="仿宋_GB2312"/>
          <w:bCs/>
          <w:kern w:val="0"/>
          <w:sz w:val="32"/>
          <w:szCs w:val="32"/>
          <w:lang w:val="en-US" w:eastAsia="zh-CN" w:bidi="ar-SA"/>
        </w:rPr>
        <w:t>6.运输管理不到位。超范围经营、安全技术状况不达标；资质不符合规定；不按规定路（航）线行驶；人口密集地停放等，极易发生造成人身伤害、财产损失、环境遭破坏的事件。</w:t>
      </w:r>
    </w:p>
    <w:p>
      <w:pPr>
        <w:pStyle w:val="8"/>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Cs/>
          <w:kern w:val="0"/>
          <w:sz w:val="32"/>
          <w:szCs w:val="32"/>
          <w:lang w:val="en-US" w:eastAsia="zh-CN" w:bidi="ar-SA"/>
        </w:rPr>
      </w:pPr>
      <w:r>
        <w:rPr>
          <w:rFonts w:hint="eastAsia" w:ascii="仿宋_GB2312" w:hAnsi="仿宋_GB2312" w:eastAsia="仿宋_GB2312" w:cs="仿宋_GB2312"/>
          <w:bCs/>
          <w:kern w:val="0"/>
          <w:sz w:val="32"/>
          <w:szCs w:val="32"/>
          <w:lang w:val="en-US" w:eastAsia="zh-CN" w:bidi="ar-SA"/>
        </w:rPr>
        <w:t>7.动态监控管理不到位。监控人员配备不足或缺岗；监控员不具备监控岗位的安全生产知识和突发状况应急处置能力；未及时提醒、阻止违法违章行为。</w:t>
      </w:r>
    </w:p>
    <w:p>
      <w:pPr>
        <w:pStyle w:val="8"/>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Cs/>
          <w:kern w:val="0"/>
          <w:sz w:val="32"/>
          <w:szCs w:val="32"/>
          <w:lang w:val="en-US" w:eastAsia="zh-CN" w:bidi="ar-SA"/>
        </w:rPr>
      </w:pPr>
      <w:r>
        <w:rPr>
          <w:rFonts w:hint="eastAsia" w:ascii="仿宋_GB2312" w:hAnsi="仿宋_GB2312" w:eastAsia="仿宋_GB2312" w:cs="仿宋_GB2312"/>
          <w:bCs/>
          <w:kern w:val="0"/>
          <w:sz w:val="32"/>
          <w:szCs w:val="32"/>
          <w:lang w:val="en-US" w:eastAsia="zh-CN" w:bidi="ar-SA"/>
        </w:rPr>
        <w:t>8.应急管理不到位。应急资源调查不充分、应急能力、风险评估不全面；应急预案演练不规范，生产应急预案教育培训不到位，从业人员不熟悉、没掌握突发状况应急处置措施；不能正确佩戴、使用防护用品；防护用品配置不合理；不能熟练地履行应急程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26" w:name="_Toc12825"/>
      <w:bookmarkStart w:id="427" w:name="_Toc16518"/>
      <w:bookmarkStart w:id="428" w:name="_Toc18866"/>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1.2.7交通运输过程危险因素</w:t>
      </w:r>
      <w:bookmarkEnd w:id="426"/>
      <w:bookmarkEnd w:id="427"/>
      <w:bookmarkEnd w:id="428"/>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2"/>
        <w:rPr>
          <w:rFonts w:hint="default"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29" w:name="_Toc13721"/>
      <w:bookmarkStart w:id="430" w:name="_Toc8395"/>
      <w:bookmarkStart w:id="431" w:name="_Toc3180"/>
      <w:bookmarkStart w:id="432" w:name="_Toc2948"/>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1.2.7.1交通运输承运与交接过程</w:t>
      </w:r>
      <w:bookmarkEnd w:id="429"/>
      <w:bookmarkEnd w:id="430"/>
      <w:bookmarkEnd w:id="431"/>
      <w:bookmarkEnd w:id="43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kern w:val="0"/>
          <w:sz w:val="32"/>
          <w:szCs w:val="32"/>
          <w:lang w:val="en-US" w:eastAsia="zh-CN" w:bidi="ar-SA"/>
        </w:rPr>
      </w:pPr>
      <w:r>
        <w:rPr>
          <w:rFonts w:hint="eastAsia" w:ascii="仿宋_GB2312" w:hAnsi="仿宋_GB2312" w:eastAsia="仿宋_GB2312" w:cs="仿宋_GB2312"/>
          <w:bCs/>
          <w:kern w:val="0"/>
          <w:sz w:val="32"/>
          <w:szCs w:val="32"/>
          <w:lang w:val="en-US" w:eastAsia="zh-CN" w:bidi="ar-SA"/>
        </w:rPr>
        <w:t>(1）交通运输应重视做好承运和交接工作，否则也可能发生各种意外事故。如货物运输受理托运时应认真核对运单上所填写货物的编号、品名、规格、件重、净重、总重、收发货地点、时间以及所提供的单证是否符合规定，若运单上所填写货物的各种信息不正确，则可能因信息错误导致事故的发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kern w:val="0"/>
          <w:sz w:val="32"/>
          <w:szCs w:val="32"/>
          <w:lang w:val="en-US" w:eastAsia="zh-CN" w:bidi="ar-SA"/>
        </w:rPr>
      </w:pPr>
      <w:r>
        <w:rPr>
          <w:rFonts w:hint="eastAsia" w:ascii="仿宋_GB2312" w:hAnsi="仿宋_GB2312" w:eastAsia="仿宋_GB2312" w:cs="仿宋_GB2312"/>
          <w:bCs/>
          <w:kern w:val="0"/>
          <w:sz w:val="32"/>
          <w:szCs w:val="32"/>
          <w:lang w:val="en-US" w:eastAsia="zh-CN" w:bidi="ar-SA"/>
        </w:rPr>
        <w:t>(2）承运人自收货（人）后至送达交付前应负保管责任。如货物交接双方，必须点收点交，签证手续完备，收货人在收货时如发现差错、破损，应协助承运人采取有效的安全措施，及时处理，并在运输单证上批注清楚。若承运人未履行以上职责，可能在货物的运输过程中发生因包装破损、货物遗失、被盗等原因导致事故的发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货物运达卸货地点后，因故不能及时卸货，在待卸期间行车和随车人员应负责看管车辆和所装危险货物，同时承运人应及时与托运人联系妥善处理。危及安全时，承运人应立即报请当地交通运输主管部门，并由当地交通运输主管部门会同公安、物资主管部门处理。若上述事项未能有效执行，则可能导致泄漏、中毒甚至火灾等意外事故的发生。</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33" w:name="_Toc11199"/>
      <w:bookmarkStart w:id="434" w:name="_Toc20928"/>
      <w:bookmarkStart w:id="435" w:name="_Toc30541"/>
      <w:bookmarkStart w:id="436" w:name="_Toc22888"/>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1.2.7.2交通运输配装过程</w:t>
      </w:r>
      <w:bookmarkEnd w:id="433"/>
      <w:bookmarkEnd w:id="434"/>
      <w:bookmarkEnd w:id="435"/>
      <w:bookmarkEnd w:id="436"/>
    </w:p>
    <w:p>
      <w:pPr>
        <w:keepNext w:val="0"/>
        <w:keepLines w:val="0"/>
        <w:pageBreakBefore w:val="0"/>
        <w:widowControl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交通运输人、货配装过程如不认真执行相关安全规定，也可能发生各类意外事故。如危险货物装车前应认真检查包装(包括封口）的完好情况，如发现破损，应由发货人调换包装或修理加固。否则可能因包装的破损等造成危险货物的泄漏而导致的火灾、爆炸、中毒等事故。</w:t>
      </w:r>
    </w:p>
    <w:p>
      <w:pPr>
        <w:keepNext w:val="0"/>
        <w:keepLines w:val="0"/>
        <w:pageBreakBefore w:val="0"/>
        <w:widowControl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装运车厢保持清洁。如危险货物的车厢厢体必须保持清洁干燥，车上残留物不得任意排弃，被危险货物污染过的车辆及工属具必须洗刷消毒，未经彻底消毒，严禁装运食用、药用物品、饲料及活动物。否则可能导致中毒事故的发生。</w:t>
      </w:r>
    </w:p>
    <w:p>
      <w:pPr>
        <w:keepNext w:val="0"/>
        <w:keepLines w:val="0"/>
        <w:pageBreakBefore w:val="0"/>
        <w:widowControl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交通运输严禁人货混装。如危险货物的配装必须严格按照货物的性质严禁混装，如遇水燃烧的物质不能与液体类物品混装，氧化剂不能与还原剂混装，如配装氧气时不能与易燃气体和金属粉末混装，丙酮不能与氧化剂混运，氨不能与酸类物品配装等，否则易发生火灾、爆炸等意外事故。</w:t>
      </w:r>
    </w:p>
    <w:p>
      <w:pPr>
        <w:keepNext w:val="0"/>
        <w:keepLines w:val="0"/>
        <w:pageBreakBefore w:val="0"/>
        <w:widowControl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(4）货物配装人员必须选择合适的包装容器，正确装运货物。如不同的危险化学品具有不同的危险性，在装运货物时，针对其特性，选择合适的包装容器。</w:t>
      </w:r>
      <w:r>
        <w:rPr>
          <w:rFonts w:hint="eastAsia" w:ascii="仿宋_GB2312" w:hAnsi="仿宋_GB2312" w:eastAsia="仿宋_GB2312" w:cs="仿宋_GB2312"/>
          <w:sz w:val="32"/>
          <w:szCs w:val="32"/>
          <w:lang w:val="en-US" w:eastAsia="zh-CN"/>
        </w:rPr>
        <w:t>《危险化学品安全管理条例》</w:t>
      </w:r>
      <w:r>
        <w:rPr>
          <w:rFonts w:hint="eastAsia" w:ascii="仿宋_GB2312" w:hAnsi="仿宋_GB2312" w:eastAsia="仿宋_GB2312" w:cs="仿宋_GB2312"/>
          <w:bCs/>
          <w:sz w:val="32"/>
          <w:szCs w:val="32"/>
          <w:lang w:val="en-US" w:eastAsia="zh-CN"/>
        </w:rPr>
        <w:t>规定，用于危险化学品运输工具的槽罐以及其他容器必须由专业生产企业定点生产，并经检测，检验合格的才能使用。装运货物时还要正确配装货物，不能混运混装，特别是性质相抵触的、灭火方法不一致的，绝对不能同车运输。否则可能发生因混装而发生火灾、爆炸、泄漏、污染、中毒等事故。</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(5）装配货物时，还应注意包装和衬垫材料，包装要牢固、</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紧密，特别是装运有毒物品、腐蚀性物品的外包装一定要符合要求。否则也可能因包装的缺陷而造成泄漏、污染等事故的发生。货物的安全技术说明书、安全标签、标识、标志等与运单不符或包装破损、包装不符合有关规定的货物应拒绝装车，发生泄漏、污染事故造成处置不正确，发生次生、衍生事故。</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6）装车后，货物应用绳索捆扎牢固；易滑动的包装件，需用防散失的网罩覆盖并用绳索捆扎牢固或用毡布覆盖严密；需用多块毡布覆盖货物时，两块毡布中间接缝处须有大于15cm的重叠覆盖，且货厢前半部分毡布需压在后半部分的毡布上面；包装件体积为450L以上的易滚动危险货物应紧固；带有通气孔的包装件不准倒置、侧置，防止所装货物泄漏或混入杂质造成危害。</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37" w:name="_Toc28296"/>
      <w:bookmarkStart w:id="438" w:name="_Toc14821"/>
      <w:bookmarkStart w:id="439" w:name="_Toc17631"/>
      <w:bookmarkStart w:id="440" w:name="_Toc32716"/>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1.2.7.3货物装卸过程</w:t>
      </w:r>
      <w:bookmarkEnd w:id="437"/>
      <w:bookmarkEnd w:id="438"/>
      <w:bookmarkEnd w:id="439"/>
      <w:bookmarkEnd w:id="440"/>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货物（普货、危货）的装卸过程必须严格遵守交通、消防、治安等法规。否则容易发生泄漏、中毒、火灾、爆炸等意外事故。</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在夏季高温期间限运的危险货物，如未按当地公安部门规定进行运输，有可能因运载可燃物、易燃液体或易燃气体及氧化剂超高温引起火灾、爆炸事故。</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装载运输危险化学品的车辆船舶居民聚集点、人口稠密地带、政府机关，名胜古迹、风景游览区临时停车或进行装卸作业，未采取安全措施和征得当地公安部门同意，以及运输爆炸品、放射性物品及有毒压缩气体、液化气体，未事先报经当地县、市公安部门批准，按照指定的路线、时间行驶，可能引发火灾、爆炸、中毒等人员伤亡和财产损失的严重事故。</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(3）装运货物如未根据货物性质，采取相应的遮阳、控温、防爆、防火、防震、防水、防冻、防粉尘飞扬、防撒漏等措施，危货运输则可能引发火灾、爆炸、中毒等人员伤亡和财产损失的严重事故。</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(4）货物装卸作业，如不严格遵守操作规程，野蛮装卸，造成装卸货物摔碰、撞击、重压、倒置等可能导致使用的工属具损伤货物，发生货物失落等情况，从而引起物品泄漏、抛洒以及人员中毒等严重事故。</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(5）货物装卸现场的道路、灯光、标志、消防设施等如不符合安全装卸的条件，罐(槽）车装卸地点的储槽口无标有明显的货名牌，储槽注入、排放口的高度、容量和路面坡度不能符合运输车辆装卸的要求，也可能导致各类事故的发生。</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(6）货物装车前如未认真检查包装(包括封口）的完好情况，发现破损未及时调换包装或修理加固，则可能发生危险货物的泄漏、抛洒等意外事故。</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(7）装运不同性质的货物如未按照配装要求操作，则可能导致因混装引发的火灾、爆炸等事故。</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(8）危险货物的装卸作业，如未在装卸管理人员的现场指挥下进行，也可能因混装、超载等原因发生意外事故。</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kern w:val="2"/>
          <w:sz w:val="32"/>
          <w:szCs w:val="32"/>
          <w:lang w:val="en-US" w:eastAsia="zh-CN" w:bidi="ar-SA"/>
        </w:rPr>
        <w:t>装卸作业前，车辆发动机应熄火，并切断总电源(需从车辆上取得动力的除外）。在有坡度的场地装卸货物时，应采取防止车辆溜坡的有效措施。火星灭火器、静电导电带失效，也可能导致火灾等事故。</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sz w:val="32"/>
          <w:szCs w:val="32"/>
          <w:lang w:val="en-US" w:eastAsia="zh-CN"/>
        </w:rPr>
        <w:t>(10）</w:t>
      </w:r>
      <w:r>
        <w:rPr>
          <w:rFonts w:hint="eastAsia" w:ascii="仿宋_GB2312" w:hAnsi="仿宋_GB2312" w:eastAsia="仿宋_GB2312" w:cs="仿宋_GB2312"/>
          <w:bCs/>
          <w:kern w:val="2"/>
          <w:sz w:val="32"/>
          <w:szCs w:val="32"/>
          <w:lang w:val="en-US" w:eastAsia="zh-CN" w:bidi="ar-SA"/>
        </w:rPr>
        <w:t>货物的装卸应在装卸管理人员的现场指挥下进行；在危险货物装卸作业区应设置警告标志；无关人员不得进入装卸作业区；禁止随身携带火种；关闭随身携带的手机等通讯工具和电子设备；穿着不产生静电的工作服和不带铁钉的工作鞋等相关规定。否则，都有可能发生意外事故。</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41" w:name="_Toc14091"/>
      <w:bookmarkStart w:id="442" w:name="_Toc21717"/>
      <w:bookmarkStart w:id="443" w:name="_Toc15649"/>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1.2.8交通运输事故灾难特征表</w:t>
      </w:r>
      <w:bookmarkEnd w:id="441"/>
      <w:bookmarkEnd w:id="442"/>
      <w:bookmarkEnd w:id="443"/>
    </w:p>
    <w:tbl>
      <w:tblPr>
        <w:tblStyle w:val="22"/>
        <w:tblW w:w="9959" w:type="dxa"/>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8"/>
        <w:gridCol w:w="2537"/>
        <w:gridCol w:w="343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exact"/>
        </w:trPr>
        <w:tc>
          <w:tcPr>
            <w:tcW w:w="138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bCs/>
                <w:sz w:val="24"/>
                <w:szCs w:val="24"/>
                <w:lang w:val="en-US" w:eastAsia="zh-CN"/>
              </w:rPr>
            </w:pPr>
            <w:bookmarkStart w:id="444" w:name="_Toc32629"/>
            <w:r>
              <w:rPr>
                <w:rFonts w:hint="eastAsia" w:ascii="仿宋_GB2312" w:hAnsi="仿宋_GB2312" w:eastAsia="仿宋_GB2312" w:cs="仿宋_GB2312"/>
                <w:b/>
                <w:bCs/>
                <w:sz w:val="24"/>
                <w:szCs w:val="24"/>
                <w:lang w:val="en-US" w:eastAsia="zh-CN"/>
              </w:rPr>
              <w:t>事故类型</w:t>
            </w:r>
            <w:bookmarkEnd w:id="444"/>
          </w:p>
        </w:tc>
        <w:tc>
          <w:tcPr>
            <w:tcW w:w="253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bCs/>
                <w:sz w:val="24"/>
                <w:szCs w:val="24"/>
                <w:lang w:val="en-US" w:eastAsia="zh-CN"/>
              </w:rPr>
            </w:pPr>
            <w:bookmarkStart w:id="445" w:name="_Toc23503"/>
            <w:r>
              <w:rPr>
                <w:rFonts w:hint="eastAsia" w:ascii="仿宋_GB2312" w:hAnsi="仿宋_GB2312" w:eastAsia="仿宋_GB2312" w:cs="仿宋_GB2312"/>
                <w:b/>
                <w:bCs/>
                <w:sz w:val="24"/>
                <w:szCs w:val="24"/>
                <w:lang w:val="en-US" w:eastAsia="zh-CN"/>
              </w:rPr>
              <w:t>地点或装置名称</w:t>
            </w:r>
            <w:bookmarkEnd w:id="445"/>
          </w:p>
        </w:tc>
        <w:tc>
          <w:tcPr>
            <w:tcW w:w="34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bCs/>
                <w:sz w:val="24"/>
                <w:szCs w:val="24"/>
                <w:lang w:val="en-US" w:eastAsia="zh-CN"/>
              </w:rPr>
            </w:pPr>
            <w:bookmarkStart w:id="446" w:name="_Toc2099"/>
            <w:r>
              <w:rPr>
                <w:rFonts w:hint="eastAsia" w:ascii="仿宋_GB2312" w:hAnsi="仿宋_GB2312" w:eastAsia="仿宋_GB2312" w:cs="仿宋_GB2312"/>
                <w:b/>
                <w:bCs/>
                <w:sz w:val="24"/>
                <w:szCs w:val="24"/>
                <w:lang w:val="en-US" w:eastAsia="zh-CN"/>
              </w:rPr>
              <w:t>事故前可能出现的征兆</w:t>
            </w:r>
            <w:bookmarkEnd w:id="446"/>
          </w:p>
        </w:tc>
        <w:tc>
          <w:tcPr>
            <w:tcW w:w="259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bCs/>
                <w:sz w:val="24"/>
                <w:szCs w:val="24"/>
                <w:lang w:val="en-US" w:eastAsia="zh-CN"/>
              </w:rPr>
            </w:pPr>
            <w:bookmarkStart w:id="447" w:name="_Toc31836"/>
            <w:r>
              <w:rPr>
                <w:rFonts w:hint="eastAsia" w:ascii="仿宋_GB2312" w:hAnsi="仿宋_GB2312" w:eastAsia="仿宋_GB2312" w:cs="仿宋_GB2312"/>
                <w:b/>
                <w:bCs/>
                <w:sz w:val="24"/>
                <w:szCs w:val="24"/>
                <w:lang w:val="en-US" w:eastAsia="zh-CN"/>
              </w:rPr>
              <w:t>可能造成的危害程度</w:t>
            </w:r>
            <w:bookmarkEnd w:id="44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exact"/>
        </w:trPr>
        <w:tc>
          <w:tcPr>
            <w:tcW w:w="138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火灾、爆炸</w:t>
            </w:r>
          </w:p>
        </w:tc>
        <w:tc>
          <w:tcPr>
            <w:tcW w:w="253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停车场地、装卸过程、危货运输车船</w:t>
            </w:r>
          </w:p>
        </w:tc>
        <w:tc>
          <w:tcPr>
            <w:tcW w:w="34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可燃物料泄漏，遇明火或火花</w:t>
            </w:r>
          </w:p>
        </w:tc>
        <w:tc>
          <w:tcPr>
            <w:tcW w:w="259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发生火灾爆炸、装置区倒塌，人员伤亡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exact"/>
        </w:trPr>
        <w:tc>
          <w:tcPr>
            <w:tcW w:w="138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高处坠落</w:t>
            </w:r>
          </w:p>
        </w:tc>
        <w:tc>
          <w:tcPr>
            <w:tcW w:w="253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装卸过程、登高作业或维修检修</w:t>
            </w:r>
          </w:p>
        </w:tc>
        <w:tc>
          <w:tcPr>
            <w:tcW w:w="34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未采取防护，人员重心失稳</w:t>
            </w:r>
          </w:p>
        </w:tc>
        <w:tc>
          <w:tcPr>
            <w:tcW w:w="259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人员伤亡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38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泄漏</w:t>
            </w:r>
          </w:p>
        </w:tc>
        <w:tc>
          <w:tcPr>
            <w:tcW w:w="253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停车地、装卸过程、运输车船</w:t>
            </w:r>
          </w:p>
        </w:tc>
        <w:tc>
          <w:tcPr>
            <w:tcW w:w="34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泄漏</w:t>
            </w:r>
          </w:p>
        </w:tc>
        <w:tc>
          <w:tcPr>
            <w:tcW w:w="259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发生火灾爆炸、装置区倒塌，人员伤亡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38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中毒窒息</w:t>
            </w:r>
          </w:p>
        </w:tc>
        <w:tc>
          <w:tcPr>
            <w:tcW w:w="253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停车场地、装卸过程、运输车辆、受限空间</w:t>
            </w:r>
          </w:p>
        </w:tc>
        <w:tc>
          <w:tcPr>
            <w:tcW w:w="34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危险货物外漏后人员接触</w:t>
            </w:r>
          </w:p>
        </w:tc>
        <w:tc>
          <w:tcPr>
            <w:tcW w:w="259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人员伤亡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38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道路交通事故</w:t>
            </w:r>
          </w:p>
        </w:tc>
        <w:tc>
          <w:tcPr>
            <w:tcW w:w="253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运输过程</w:t>
            </w:r>
          </w:p>
        </w:tc>
        <w:tc>
          <w:tcPr>
            <w:tcW w:w="34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技术故障、操作错误包</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含车辆伤害</w:t>
            </w:r>
          </w:p>
        </w:tc>
        <w:tc>
          <w:tcPr>
            <w:tcW w:w="259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人员伤亡、财物损失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38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水运交通事故</w:t>
            </w:r>
          </w:p>
        </w:tc>
        <w:tc>
          <w:tcPr>
            <w:tcW w:w="253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水运运输过程</w:t>
            </w:r>
          </w:p>
        </w:tc>
        <w:tc>
          <w:tcPr>
            <w:tcW w:w="34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技术故障、操作错误</w:t>
            </w:r>
          </w:p>
        </w:tc>
        <w:tc>
          <w:tcPr>
            <w:tcW w:w="259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人员伤亡、财物损失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38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灼伤</w:t>
            </w:r>
          </w:p>
        </w:tc>
        <w:tc>
          <w:tcPr>
            <w:tcW w:w="253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装卸过程 运输过程</w:t>
            </w:r>
          </w:p>
        </w:tc>
        <w:tc>
          <w:tcPr>
            <w:tcW w:w="34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泄露处置、防护不当</w:t>
            </w:r>
          </w:p>
        </w:tc>
        <w:tc>
          <w:tcPr>
            <w:tcW w:w="259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人员伤亡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trPr>
        <w:tc>
          <w:tcPr>
            <w:tcW w:w="138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触电</w:t>
            </w:r>
          </w:p>
        </w:tc>
        <w:tc>
          <w:tcPr>
            <w:tcW w:w="253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工作场所带电设施</w:t>
            </w:r>
          </w:p>
        </w:tc>
        <w:tc>
          <w:tcPr>
            <w:tcW w:w="34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带电设备裸露、人员接触电</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气设施</w:t>
            </w:r>
          </w:p>
        </w:tc>
        <w:tc>
          <w:tcPr>
            <w:tcW w:w="259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人员伤亡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trPr>
        <w:tc>
          <w:tcPr>
            <w:tcW w:w="138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坍塌</w:t>
            </w:r>
          </w:p>
        </w:tc>
        <w:tc>
          <w:tcPr>
            <w:tcW w:w="253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施工地段、土方、桥梁</w:t>
            </w:r>
          </w:p>
        </w:tc>
        <w:tc>
          <w:tcPr>
            <w:tcW w:w="34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堆积过高、基脚不牢、护坡不稳</w:t>
            </w:r>
          </w:p>
        </w:tc>
        <w:tc>
          <w:tcPr>
            <w:tcW w:w="259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人员伤亡、财物损失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trPr>
        <w:tc>
          <w:tcPr>
            <w:tcW w:w="138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机械伤害</w:t>
            </w:r>
          </w:p>
        </w:tc>
        <w:tc>
          <w:tcPr>
            <w:tcW w:w="253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机械设备 工具</w:t>
            </w:r>
          </w:p>
        </w:tc>
        <w:tc>
          <w:tcPr>
            <w:tcW w:w="34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防护不当、故障、操作失误</w:t>
            </w:r>
          </w:p>
        </w:tc>
        <w:tc>
          <w:tcPr>
            <w:tcW w:w="259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财物损失、人员伤亡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trPr>
        <w:tc>
          <w:tcPr>
            <w:tcW w:w="138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淹溺</w:t>
            </w:r>
          </w:p>
        </w:tc>
        <w:tc>
          <w:tcPr>
            <w:tcW w:w="253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洪涝等自然灾害、水运、码头</w:t>
            </w:r>
          </w:p>
        </w:tc>
        <w:tc>
          <w:tcPr>
            <w:tcW w:w="343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落水、涨水</w:t>
            </w:r>
          </w:p>
        </w:tc>
        <w:tc>
          <w:tcPr>
            <w:tcW w:w="259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人员伤亡</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2"/>
        <w:rPr>
          <w:rFonts w:hint="default"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48" w:name="_Toc9011"/>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1.3公共卫生事件风险分析</w:t>
      </w:r>
      <w:bookmarkEnd w:id="448"/>
    </w:p>
    <w:p>
      <w:pPr>
        <w:pStyle w:val="5"/>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1"/>
        <w:rPr>
          <w:rFonts w:hint="eastAsia" w:ascii="楷体_GB2312" w:hAnsi="楷体" w:eastAsia="楷体_GB2312" w:cstheme="majorBidi"/>
          <w:b w:val="0"/>
          <w:bCs/>
          <w:color w:val="000000" w:themeColor="text1"/>
          <w:kern w:val="2"/>
          <w:sz w:val="32"/>
          <w:szCs w:val="32"/>
          <w:lang w:val="zh-CN" w:eastAsia="zh-CN" w:bidi="ar-SA"/>
          <w14:textFill>
            <w14:solidFill>
              <w14:schemeClr w14:val="tx1"/>
            </w14:solidFill>
          </w14:textFill>
        </w:rPr>
      </w:pPr>
      <w:bookmarkStart w:id="449" w:name="_Toc23949"/>
      <w:bookmarkStart w:id="450" w:name="_Toc20156"/>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1.3.</w:t>
      </w:r>
      <w:bookmarkEnd w:id="449"/>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w:t>
      </w:r>
      <w:r>
        <w:rPr>
          <w:rFonts w:hint="eastAsia" w:ascii="楷体_GB2312" w:hAnsi="楷体" w:eastAsia="楷体_GB2312" w:cstheme="majorBidi"/>
          <w:b w:val="0"/>
          <w:bCs/>
          <w:color w:val="000000" w:themeColor="text1"/>
          <w:kern w:val="2"/>
          <w:sz w:val="32"/>
          <w:szCs w:val="32"/>
          <w:lang w:val="zh-CN" w:eastAsia="zh-CN" w:bidi="ar-SA"/>
          <w14:textFill>
            <w14:solidFill>
              <w14:schemeClr w14:val="tx1"/>
            </w14:solidFill>
          </w14:textFill>
        </w:rPr>
        <w:t>环境污染和生态破坏事件风险辨识与分析</w:t>
      </w:r>
      <w:bookmarkEnd w:id="45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bookmarkStart w:id="451" w:name="_Toc30949"/>
      <w:bookmarkStart w:id="452" w:name="_Toc5116"/>
      <w:bookmarkStart w:id="453" w:name="_Toc12221"/>
      <w:r>
        <w:rPr>
          <w:rFonts w:hint="eastAsia" w:ascii="仿宋_GB2312" w:hAnsi="仿宋_GB2312" w:eastAsia="仿宋_GB2312" w:cs="仿宋_GB2312"/>
          <w:sz w:val="32"/>
          <w:szCs w:val="32"/>
          <w:lang w:val="en-US" w:eastAsia="zh-CN"/>
        </w:rPr>
        <w:t>（1）环境污染事故</w:t>
      </w:r>
      <w:bookmarkEnd w:id="451"/>
      <w:bookmarkEnd w:id="452"/>
      <w:bookmarkEnd w:id="45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环境污染事故是指由于违反环境保护法规的经济、社会活动与行为，以及意外因素的影响或不可抗拒的自然灾害等原因使环境受到污染，国家重点保护的</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"https://baike.baidu.com/item/%E9%87%8E%E7%94%9F%E5%8A%A8%E6%A4%8D%E7%89%A9/2815068" \t "_blank"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野生动植物</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、自然保护区受到破坏，人体健康受到危害，社会经济与人民财产受到损失，造成不良社会影响的</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"https://baike.baidu.com/item/%E7%AA%81%E5%8F%91%E6%80%A7%E4%BA%8B%E4%BB%B6/10948758" \t "_blank"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突发性事件</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交通运输主要类型有：水污染事故、大气污染事故、噪声与振动危害事故、</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"https://baike.baidu.com/item/%E5%9B%BA%E4%BD%93%E5%BA%9F%E7%89%A9%E6%B1%A1%E6%9F%93/931025" \t "_blank"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固体废物污染</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事故、</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"https://baike.baidu.com/item/%E6%9C%89%E6%AF%92%E5%8C%96%E5%AD%A6%E5%93%81/3118451" \t "_blank"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有毒化学品</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"https://baike.baidu.com/item/%E6%B1%A1%E6%9F%93%E4%BA%8B%E6%95%85/4126780" \t "_blank"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污染事故</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"https://baike.baidu.com/item/%E6%94%BE%E5%B0%84%E7%BA%BF/9762823" \t "_blank"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放射线</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污染事故及国家重点保护的</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"https://baike.baidu.com/item/%E9%87%8E%E7%94%9F%E5%8A%A8%E6%A4%8D%E7%89%A9/2815068" \t "_blank"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野生动植物</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与自然保护区破坏事故等。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华容县交通运输近3年来未发生过重大环境污染事件。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sz w:val="32"/>
          <w:szCs w:val="32"/>
          <w:lang w:val="en-US" w:eastAsia="zh-CN"/>
        </w:rPr>
      </w:pPr>
      <w:bookmarkStart w:id="454" w:name="_Toc25105"/>
      <w:bookmarkStart w:id="455" w:name="_Toc10442"/>
      <w:bookmarkStart w:id="456" w:name="_Toc23840"/>
      <w:r>
        <w:rPr>
          <w:rFonts w:hint="eastAsia" w:ascii="仿宋_GB2312" w:hAnsi="仿宋_GB2312" w:eastAsia="仿宋_GB2312" w:cs="仿宋_GB2312"/>
          <w:sz w:val="32"/>
          <w:szCs w:val="32"/>
          <w:lang w:val="en-US" w:eastAsia="zh-CN"/>
        </w:rPr>
        <w:t>（2）生态破坏事件</w:t>
      </w:r>
      <w:bookmarkEnd w:id="454"/>
      <w:bookmarkEnd w:id="455"/>
      <w:bookmarkEnd w:id="45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生态破坏是人类社会活动引起的生态退化及由此衍生的环境效应，导致了环境结构和功能的变化，对人类生存发展以及环境本身发展产生不利影响的现象。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生态环境破坏主要包括：水土流失、沙漠化、荒漠化、森林锐减、土地退化、生物多样性的减少，此外还有湖泊的富营养化、地下水漏斗、地面下沉等。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华容县交通运输近3年来未发生过重大生态破坏事件。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sz w:val="32"/>
          <w:szCs w:val="32"/>
          <w:lang w:val="en-US" w:eastAsia="zh-CN"/>
        </w:rPr>
      </w:pPr>
      <w:bookmarkStart w:id="457" w:name="_Toc26054"/>
      <w:bookmarkStart w:id="458" w:name="_Toc5079"/>
      <w:bookmarkStart w:id="459" w:name="_Toc9757"/>
      <w:r>
        <w:rPr>
          <w:rFonts w:hint="eastAsia" w:ascii="仿宋_GB2312" w:hAnsi="仿宋_GB2312" w:eastAsia="仿宋_GB2312" w:cs="仿宋_GB2312"/>
          <w:sz w:val="32"/>
          <w:szCs w:val="32"/>
          <w:lang w:val="en-US" w:eastAsia="zh-CN"/>
        </w:rPr>
        <w:t>（3）造成环境污染和生态破坏事件的主要原因有：</w:t>
      </w:r>
      <w:bookmarkEnd w:id="457"/>
      <w:bookmarkEnd w:id="458"/>
      <w:bookmarkEnd w:id="45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1、人类利用资源的不合理，滥采滥用自然资源。包括修筑交通设施而滥伐森林，滥捕滥杀野生动物，破坏了自然界的生态平衡；滥垦草原，造成</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"https://baike.sogou.com/v37152.htm?ch=ww.wap.chain.baike" \t "_blank"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土地沙漠化</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；无节制抽取地下水，使</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"https://baike.sogou.com/v477420.htm?ch=ww.wap.chain.baike" \t "_blank"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地下水位</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下降，引起地面下沉；滥采滥用矿产资源，对有害元素挖掘后不加妥善处理，导致污染环境。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2、运输工具排放有害物质，包括废气，废水，废物。危害人类健康。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3、城市发展引起一系列环境问题，包括产生垃圾、污水、噪声、</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"https://baike.sogou.com/v3517194.htm?ch=ww.wap.chain.baike" \t "_blank"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车船尾气</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4、工程建设不当，未注意生态平衡问题，引起</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"https://baike.sogou.com/v1843730.htm?ch=ww.wap.chain.baike" \t "_blank"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土壤盐碱化</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、鱼类绝迹等。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华容县近3年来未发生过重大环境污染和生态破坏事件。</w:t>
      </w:r>
    </w:p>
    <w:p>
      <w:pPr>
        <w:pStyle w:val="5"/>
        <w:pageBreakBefore w:val="0"/>
        <w:widowControl w:val="0"/>
        <w:kinsoku/>
        <w:wordWrap/>
        <w:overflowPunct/>
        <w:topLinePunct w:val="0"/>
        <w:autoSpaceDE/>
        <w:autoSpaceDN/>
        <w:bidi w:val="0"/>
        <w:adjustRightInd/>
        <w:snapToGrid/>
        <w:spacing w:before="0" w:after="0" w:line="560" w:lineRule="exact"/>
        <w:ind w:firstLine="640" w:firstLineChars="200"/>
        <w:textAlignment w:val="auto"/>
        <w:outlineLvl w:val="1"/>
        <w:rPr>
          <w:rFonts w:hint="eastAsia" w:ascii="楷体_GB2312" w:hAnsi="楷体" w:eastAsia="楷体_GB2312" w:cstheme="majorBidi"/>
          <w:b w:val="0"/>
          <w:bCs/>
          <w:color w:val="000000" w:themeColor="text1"/>
          <w:kern w:val="2"/>
          <w:sz w:val="32"/>
          <w:szCs w:val="32"/>
          <w:lang w:val="zh-CN" w:eastAsia="zh-CN" w:bidi="ar-SA"/>
          <w14:textFill>
            <w14:solidFill>
              <w14:schemeClr w14:val="tx1"/>
            </w14:solidFill>
          </w14:textFill>
        </w:rPr>
      </w:pPr>
      <w:bookmarkStart w:id="460" w:name="_Toc31341"/>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1.3.2</w:t>
      </w:r>
      <w:r>
        <w:rPr>
          <w:rFonts w:hint="eastAsia" w:ascii="楷体_GB2312" w:hAnsi="楷体" w:eastAsia="楷体_GB2312" w:cstheme="majorBidi"/>
          <w:b w:val="0"/>
          <w:bCs/>
          <w:color w:val="000000" w:themeColor="text1"/>
          <w:kern w:val="2"/>
          <w:sz w:val="32"/>
          <w:szCs w:val="32"/>
          <w:lang w:val="zh-CN" w:eastAsia="zh-CN" w:bidi="ar-SA"/>
          <w14:textFill>
            <w14:solidFill>
              <w14:schemeClr w14:val="tx1"/>
            </w14:solidFill>
          </w14:textFill>
        </w:rPr>
        <w:t>群体性不明原因疾病事件风险辨识与分析</w:t>
      </w:r>
      <w:bookmarkEnd w:id="46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群体性不明原因疾病是指在一定时间内，某个相对集中的区域内同时或者相继出现多个共同临床表现患者，又暂时不能明确诊断的疾病。这种疾病可能是</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"http://www.med66.com/webhtml/project/neikexue/chuanranbingxue.htm" \t "_blank" \o "传染病"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传染病</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可能是群体性癔病，也可能是某种中毒。如传染性非典型肺炎疫情发生之初，由于对病原方面认识不清，虽然知道这是一组同一症状的疾病，但对其发病机制、诊断标准、流行途径等认识不清，这便是群体性不明原因疾病的典型案例。</w:t>
      </w:r>
    </w:p>
    <w:p>
      <w:pPr>
        <w:pStyle w:val="5"/>
        <w:pageBreakBefore w:val="0"/>
        <w:widowControl w:val="0"/>
        <w:kinsoku/>
        <w:wordWrap/>
        <w:overflowPunct/>
        <w:topLinePunct w:val="0"/>
        <w:autoSpaceDE/>
        <w:autoSpaceDN/>
        <w:bidi w:val="0"/>
        <w:adjustRightInd/>
        <w:snapToGrid/>
        <w:spacing w:before="0" w:after="0" w:line="560" w:lineRule="exact"/>
        <w:ind w:firstLine="640" w:firstLineChars="200"/>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61" w:name="_Toc1237"/>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1.3.3传染病疫情</w:t>
      </w:r>
      <w:r>
        <w:rPr>
          <w:rFonts w:hint="eastAsia" w:ascii="楷体_GB2312" w:hAnsi="楷体" w:eastAsia="楷体_GB2312" w:cstheme="majorBidi"/>
          <w:b w:val="0"/>
          <w:bCs/>
          <w:color w:val="000000" w:themeColor="text1"/>
          <w:kern w:val="2"/>
          <w:sz w:val="32"/>
          <w:szCs w:val="32"/>
          <w:lang w:val="zh-CN" w:eastAsia="zh-CN" w:bidi="ar-SA"/>
          <w14:textFill>
            <w14:solidFill>
              <w14:schemeClr w14:val="tx1"/>
            </w14:solidFill>
          </w14:textFill>
        </w:rPr>
        <w:t>风险辨识与分析</w:t>
      </w:r>
      <w:bookmarkEnd w:id="461"/>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根据《中国疾病预防控制信息系统》报告统计，2016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2019年度华容县报告的甲乙类传染病共10余种，无甲类传染病病例；甲乙类传染病报告病例数居前三位的分别是肺结核、肝炎、梅毒。</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62" w:name="_Toc21876"/>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1.3.4对策及建议</w:t>
      </w:r>
      <w:bookmarkEnd w:id="46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sz w:val="32"/>
          <w:szCs w:val="32"/>
        </w:rPr>
      </w:pPr>
      <w:bookmarkStart w:id="463" w:name="_Toc31040"/>
      <w:bookmarkStart w:id="464" w:name="_Toc12869"/>
      <w:bookmarkStart w:id="465" w:name="_Toc2496"/>
      <w:bookmarkStart w:id="466" w:name="_Toc8606"/>
      <w:r>
        <w:rPr>
          <w:rFonts w:hint="eastAsia" w:ascii="仿宋_GB2312" w:hAnsi="仿宋_GB2312" w:eastAsia="仿宋_GB2312" w:cs="仿宋_GB2312"/>
          <w:bCs/>
          <w:kern w:val="2"/>
          <w:sz w:val="32"/>
          <w:szCs w:val="32"/>
          <w:lang w:val="en-US" w:eastAsia="zh-CN" w:bidi="ar-SA"/>
        </w:rPr>
        <w:t>交通运输部门积极配合卫生健康部门，坚持“防输入、防反弹”“动态清零”“封闭运行”，落实“四早”要求，压实四方责任。严密防范输入，把好防护关，筑牢防护墙；建立预案应急机制，关口前移；建立快速处置机制，应隔尽隔；提升防控能力，提升信息化处置水平。</w:t>
      </w:r>
      <w:bookmarkEnd w:id="463"/>
      <w:bookmarkEnd w:id="464"/>
      <w:bookmarkEnd w:id="465"/>
      <w:bookmarkEnd w:id="466"/>
    </w:p>
    <w:p>
      <w:pPr>
        <w:keepNext w:val="0"/>
        <w:keepLines w:val="0"/>
        <w:pageBreakBefore w:val="0"/>
        <w:kinsoku/>
        <w:wordWrap/>
        <w:overflowPunct/>
        <w:topLinePunct w:val="0"/>
        <w:autoSpaceDE/>
        <w:autoSpaceDN/>
        <w:bidi w:val="0"/>
        <w:adjustRightInd/>
        <w:snapToGrid/>
        <w:spacing w:line="560" w:lineRule="exact"/>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67" w:name="_Toc13427"/>
      <w:bookmarkStart w:id="468" w:name="_Toc23889"/>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1.4社会安全事件</w:t>
      </w:r>
      <w:bookmarkEnd w:id="467"/>
      <w:bookmarkEnd w:id="46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bCs/>
          <w:kern w:val="2"/>
          <w:sz w:val="32"/>
          <w:szCs w:val="32"/>
          <w:lang w:val="en-US" w:eastAsia="zh-CN" w:bidi="ar-SA"/>
        </w:rPr>
      </w:pPr>
      <w:bookmarkStart w:id="469" w:name="_Toc20850"/>
      <w:bookmarkStart w:id="470" w:name="_Toc9804"/>
      <w:bookmarkStart w:id="471" w:name="_Toc12638"/>
      <w:bookmarkStart w:id="472" w:name="_Toc15929"/>
      <w:r>
        <w:rPr>
          <w:rFonts w:hint="eastAsia" w:ascii="仿宋_GB2312" w:hAnsi="仿宋_GB2312" w:eastAsia="仿宋_GB2312" w:cs="仿宋_GB2312"/>
          <w:bCs/>
          <w:kern w:val="2"/>
          <w:sz w:val="32"/>
          <w:szCs w:val="32"/>
          <w:lang w:val="en-US" w:eastAsia="zh-CN" w:bidi="ar-SA"/>
        </w:rPr>
        <w:t>从国家整体社会安全分析、区域社会安全分析。国家整体社会安全分析要从政治形势、社会安全形势、主要势力等分析；区域社会安全分析要从政局动荡、军事斗争或打击、恐怖袭击、绑架、持枪抢劫、炸弹地雷、敲诈勒索、种族（社区）冲突、入室盗窃、街头犯罪、其他。</w:t>
      </w:r>
      <w:bookmarkEnd w:id="469"/>
      <w:bookmarkEnd w:id="470"/>
      <w:bookmarkEnd w:id="471"/>
      <w:bookmarkEnd w:id="47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bCs/>
          <w:kern w:val="2"/>
          <w:sz w:val="32"/>
          <w:szCs w:val="32"/>
          <w:lang w:val="en-US" w:eastAsia="zh-CN" w:bidi="ar-SA"/>
        </w:rPr>
      </w:pPr>
      <w:bookmarkStart w:id="473" w:name="_Toc6316"/>
      <w:bookmarkStart w:id="474" w:name="_Toc25217"/>
      <w:bookmarkStart w:id="475" w:name="_Toc29985"/>
      <w:bookmarkStart w:id="476" w:name="_Toc10243"/>
      <w:r>
        <w:rPr>
          <w:rFonts w:hint="eastAsia" w:ascii="仿宋_GB2312" w:hAnsi="仿宋_GB2312" w:eastAsia="仿宋_GB2312" w:cs="仿宋_GB2312"/>
          <w:bCs/>
          <w:kern w:val="2"/>
          <w:sz w:val="32"/>
          <w:szCs w:val="32"/>
          <w:lang w:val="en-US" w:eastAsia="zh-CN" w:bidi="ar-SA"/>
        </w:rPr>
        <w:t>主要分析所面临的社会安全威胁，分析威胁的类型、可能性、严重性等进行分析判断，整体风险等级依据“就高不就低</w:t>
      </w:r>
      <w:r>
        <w:rPr>
          <w:rFonts w:hint="eastAsia" w:ascii="仿宋_GB2312" w:hAnsi="仿宋_GB2312" w:eastAsia="仿宋_GB2312" w:cs="仿宋_GB2312"/>
          <w:bCs/>
          <w:kern w:val="2"/>
          <w:sz w:val="32"/>
          <w:szCs w:val="32"/>
          <w:lang w:val="zh-CN" w:eastAsia="zh-CN" w:bidi="ar-SA"/>
        </w:rPr>
        <w:t>”的原</w:t>
      </w:r>
      <w:r>
        <w:rPr>
          <w:rFonts w:hint="eastAsia" w:ascii="仿宋_GB2312" w:hAnsi="仿宋_GB2312" w:eastAsia="仿宋_GB2312" w:cs="仿宋_GB2312"/>
          <w:bCs/>
          <w:kern w:val="2"/>
          <w:sz w:val="32"/>
          <w:szCs w:val="32"/>
          <w:lang w:val="en-US" w:eastAsia="zh-CN" w:bidi="ar-SA"/>
        </w:rPr>
        <w:t>则进行判断，根据总体评判标准、可能引发风险事件评判标准、风险事件参与人数评判标准、单因素风险程度评判标准及 综合风险指数评判标准等评判标准。</w:t>
      </w:r>
      <w:bookmarkEnd w:id="473"/>
      <w:bookmarkEnd w:id="474"/>
      <w:bookmarkEnd w:id="475"/>
      <w:bookmarkEnd w:id="47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宋体"/>
          <w:b/>
          <w:bCs/>
          <w:color w:val="000000" w:themeColor="text1"/>
          <w:kern w:val="0"/>
          <w:sz w:val="32"/>
          <w:szCs w:val="32"/>
          <w:lang w:val="en-US" w:eastAsia="zh-CN" w:bidi="ar-SA"/>
          <w14:textFill>
            <w14:solidFill>
              <w14:schemeClr w14:val="tx1"/>
            </w14:solidFill>
          </w14:textFill>
        </w:rPr>
      </w:pPr>
      <w:bookmarkStart w:id="477" w:name="_Toc22411"/>
      <w:bookmarkStart w:id="478" w:name="_Toc4005"/>
      <w:bookmarkStart w:id="479" w:name="_Toc5763"/>
      <w:bookmarkStart w:id="480" w:name="_Toc9641"/>
      <w:r>
        <w:rPr>
          <w:rFonts w:hint="eastAsia" w:ascii="仿宋_GB2312" w:hAnsi="仿宋_GB2312" w:eastAsia="仿宋_GB2312" w:cs="仿宋_GB2312"/>
          <w:bCs/>
          <w:kern w:val="2"/>
          <w:sz w:val="32"/>
          <w:szCs w:val="32"/>
          <w:lang w:val="en-US" w:eastAsia="zh-CN" w:bidi="ar-SA"/>
        </w:rPr>
        <w:t>运用脆弱性分析、威胁评分矩阵分析，华容县的社会安全事件发生可能为低风险。</w:t>
      </w:r>
      <w:bookmarkEnd w:id="477"/>
      <w:bookmarkEnd w:id="478"/>
      <w:bookmarkEnd w:id="479"/>
      <w:bookmarkEnd w:id="480"/>
    </w:p>
    <w:p>
      <w:pPr>
        <w:keepNext w:val="0"/>
        <w:keepLines w:val="0"/>
        <w:pageBreakBefore w:val="0"/>
        <w:kinsoku/>
        <w:wordWrap/>
        <w:overflowPunct/>
        <w:topLinePunct w:val="0"/>
        <w:autoSpaceDE/>
        <w:autoSpaceDN/>
        <w:bidi w:val="0"/>
        <w:adjustRightInd/>
        <w:snapToGrid/>
        <w:spacing w:line="560" w:lineRule="exact"/>
        <w:textAlignment w:val="auto"/>
        <w:outlineLvl w:val="0"/>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81" w:name="_Toc18988"/>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2、事故灾难风险分析</w:t>
      </w:r>
      <w:bookmarkEnd w:id="481"/>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bCs/>
          <w:kern w:val="0"/>
          <w:sz w:val="32"/>
          <w:szCs w:val="32"/>
        </w:rPr>
      </w:pPr>
      <w:r>
        <w:rPr>
          <w:rFonts w:hint="eastAsia" w:ascii="仿宋_GB2312" w:hAnsi="仿宋_GB2312" w:eastAsia="仿宋_GB2312" w:cs="仿宋_GB2312"/>
          <w:color w:val="000000"/>
          <w:sz w:val="32"/>
          <w:szCs w:val="32"/>
        </w:rPr>
        <w:t>事故</w:t>
      </w:r>
      <w:r>
        <w:rPr>
          <w:rFonts w:hint="eastAsia" w:ascii="仿宋_GB2312" w:hAnsi="仿宋_GB2312" w:eastAsia="仿宋_GB2312" w:cs="仿宋_GB2312"/>
          <w:color w:val="000000"/>
          <w:sz w:val="32"/>
          <w:szCs w:val="32"/>
          <w:lang w:val="en-US" w:eastAsia="zh-CN"/>
        </w:rPr>
        <w:t>灾难</w:t>
      </w:r>
      <w:r>
        <w:rPr>
          <w:rFonts w:hint="eastAsia" w:ascii="仿宋_GB2312" w:hAnsi="仿宋_GB2312" w:eastAsia="仿宋_GB2312" w:cs="仿宋_GB2312"/>
          <w:color w:val="000000"/>
          <w:sz w:val="32"/>
          <w:szCs w:val="32"/>
        </w:rPr>
        <w:t>风险分析主要描述本</w:t>
      </w:r>
      <w:r>
        <w:rPr>
          <w:rFonts w:hint="eastAsia" w:ascii="仿宋_GB2312" w:hAnsi="仿宋_GB2312" w:eastAsia="仿宋_GB2312" w:cs="仿宋_GB2312"/>
          <w:color w:val="000000"/>
          <w:sz w:val="32"/>
          <w:szCs w:val="32"/>
          <w:lang w:val="en-US" w:eastAsia="zh-CN"/>
        </w:rPr>
        <w:t>县</w:t>
      </w:r>
      <w:r>
        <w:rPr>
          <w:rFonts w:hint="eastAsia" w:ascii="仿宋_GB2312" w:hAnsi="仿宋_GB2312" w:eastAsia="仿宋_GB2312" w:cs="仿宋_GB2312"/>
          <w:color w:val="000000"/>
          <w:sz w:val="32"/>
          <w:szCs w:val="32"/>
        </w:rPr>
        <w:t>事故风险的类型、事故发生的可能性、危害后果和影响范围，经评估，</w:t>
      </w:r>
      <w:r>
        <w:rPr>
          <w:rFonts w:hint="eastAsia" w:ascii="仿宋_GB2312" w:hAnsi="仿宋_GB2312" w:eastAsia="仿宋_GB2312" w:cs="仿宋_GB2312"/>
          <w:color w:val="000000"/>
          <w:sz w:val="32"/>
          <w:szCs w:val="32"/>
          <w:lang w:val="en-US" w:eastAsia="zh-CN"/>
        </w:rPr>
        <w:t>县交通运输</w:t>
      </w:r>
      <w:r>
        <w:rPr>
          <w:rFonts w:hint="eastAsia" w:ascii="仿宋_GB2312" w:hAnsi="仿宋_GB2312" w:eastAsia="仿宋_GB2312" w:cs="仿宋_GB2312"/>
          <w:bCs/>
          <w:kern w:val="0"/>
          <w:sz w:val="32"/>
          <w:szCs w:val="32"/>
        </w:rPr>
        <w:t>主要：</w:t>
      </w:r>
      <w:r>
        <w:rPr>
          <w:rFonts w:hint="eastAsia" w:ascii="仿宋_GB2312" w:hAnsi="仿宋_GB2312" w:eastAsia="仿宋_GB2312" w:cs="仿宋_GB2312"/>
          <w:bCs/>
          <w:kern w:val="0"/>
          <w:sz w:val="32"/>
          <w:szCs w:val="32"/>
          <w:lang w:val="en-US" w:eastAsia="zh-CN"/>
        </w:rPr>
        <w:t>事故灾难突发事件</w:t>
      </w:r>
      <w:r>
        <w:rPr>
          <w:rFonts w:hint="eastAsia" w:ascii="仿宋_GB2312" w:hAnsi="仿宋_GB2312" w:eastAsia="仿宋_GB2312" w:cs="仿宋_GB2312"/>
          <w:bCs/>
          <w:kern w:val="0"/>
          <w:sz w:val="32"/>
          <w:szCs w:val="32"/>
        </w:rPr>
        <w:t>危险有害因素为</w:t>
      </w:r>
      <w:r>
        <w:rPr>
          <w:rFonts w:hint="eastAsia" w:ascii="仿宋_GB2312" w:hAnsi="仿宋_GB2312" w:eastAsia="仿宋_GB2312" w:cs="仿宋_GB2312"/>
          <w:bCs/>
          <w:kern w:val="0"/>
          <w:sz w:val="32"/>
          <w:szCs w:val="32"/>
          <w:lang w:val="en-US" w:eastAsia="zh-CN"/>
        </w:rPr>
        <w:t>：</w:t>
      </w:r>
      <w:r>
        <w:rPr>
          <w:rFonts w:hint="eastAsia" w:ascii="仿宋_GB2312" w:hAnsi="仿宋_GB2312" w:eastAsia="仿宋_GB2312" w:cs="仿宋_GB2312"/>
          <w:bCs/>
          <w:kern w:val="0"/>
          <w:sz w:val="32"/>
          <w:szCs w:val="32"/>
          <w:lang w:eastAsia="zh-CN"/>
        </w:rPr>
        <w:t>道路</w:t>
      </w:r>
      <w:r>
        <w:rPr>
          <w:rFonts w:hint="eastAsia" w:ascii="仿宋_GB2312" w:hAnsi="仿宋_GB2312" w:eastAsia="仿宋_GB2312" w:cs="仿宋_GB2312"/>
          <w:bCs/>
          <w:kern w:val="0"/>
          <w:sz w:val="32"/>
          <w:szCs w:val="32"/>
        </w:rPr>
        <w:t>交通事故、</w:t>
      </w:r>
      <w:r>
        <w:rPr>
          <w:rFonts w:hint="eastAsia" w:ascii="仿宋_GB2312" w:hAnsi="仿宋_GB2312" w:eastAsia="仿宋_GB2312" w:cs="仿宋_GB2312"/>
          <w:bCs/>
          <w:kern w:val="0"/>
          <w:sz w:val="32"/>
          <w:szCs w:val="32"/>
          <w:lang w:val="en-US" w:eastAsia="zh-CN"/>
        </w:rPr>
        <w:t>水运交通事故、工程建设突发事故。以</w:t>
      </w:r>
      <w:r>
        <w:rPr>
          <w:rFonts w:hint="eastAsia" w:ascii="仿宋_GB2312" w:hAnsi="仿宋_GB2312" w:eastAsia="仿宋_GB2312" w:cs="仿宋_GB2312"/>
          <w:bCs/>
          <w:kern w:val="0"/>
          <w:sz w:val="32"/>
          <w:szCs w:val="32"/>
        </w:rPr>
        <w:t>火灾</w:t>
      </w:r>
      <w:r>
        <w:rPr>
          <w:rFonts w:hint="eastAsia" w:ascii="仿宋_GB2312" w:hAnsi="仿宋_GB2312" w:eastAsia="仿宋_GB2312" w:cs="仿宋_GB2312"/>
          <w:bCs/>
          <w:kern w:val="0"/>
          <w:sz w:val="32"/>
          <w:szCs w:val="32"/>
          <w:lang w:eastAsia="zh-CN"/>
        </w:rPr>
        <w:t>爆炸</w:t>
      </w:r>
      <w:r>
        <w:rPr>
          <w:rFonts w:hint="eastAsia" w:ascii="仿宋_GB2312" w:hAnsi="仿宋_GB2312" w:eastAsia="仿宋_GB2312" w:cs="仿宋_GB2312"/>
          <w:bCs/>
          <w:kern w:val="0"/>
          <w:sz w:val="32"/>
          <w:szCs w:val="32"/>
        </w:rPr>
        <w:t>、触电、</w:t>
      </w:r>
      <w:r>
        <w:rPr>
          <w:rFonts w:hint="eastAsia" w:ascii="仿宋_GB2312" w:hAnsi="仿宋_GB2312" w:eastAsia="仿宋_GB2312" w:cs="仿宋_GB2312"/>
          <w:bCs/>
          <w:kern w:val="0"/>
          <w:sz w:val="32"/>
          <w:szCs w:val="32"/>
          <w:lang w:eastAsia="zh-CN"/>
        </w:rPr>
        <w:t>泄露</w:t>
      </w:r>
      <w:r>
        <w:rPr>
          <w:rFonts w:hint="eastAsia"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lang w:eastAsia="zh-CN"/>
        </w:rPr>
        <w:t>中毒</w:t>
      </w:r>
      <w:r>
        <w:rPr>
          <w:rFonts w:hint="eastAsia" w:ascii="仿宋_GB2312" w:hAnsi="仿宋_GB2312" w:eastAsia="仿宋_GB2312" w:cs="仿宋_GB2312"/>
          <w:bCs/>
          <w:kern w:val="0"/>
          <w:sz w:val="32"/>
          <w:szCs w:val="32"/>
          <w:lang w:val="en-US" w:eastAsia="zh-CN"/>
        </w:rPr>
        <w:t>窒息</w:t>
      </w:r>
      <w:r>
        <w:rPr>
          <w:rFonts w:hint="eastAsia" w:ascii="仿宋_GB2312" w:hAnsi="仿宋_GB2312" w:eastAsia="仿宋_GB2312" w:cs="仿宋_GB2312"/>
          <w:bCs/>
          <w:kern w:val="0"/>
          <w:sz w:val="32"/>
          <w:szCs w:val="32"/>
          <w:lang w:eastAsia="zh-CN"/>
        </w:rPr>
        <w:t>、灼伤、高处坠落、</w:t>
      </w:r>
      <w:r>
        <w:rPr>
          <w:rFonts w:hint="eastAsia" w:ascii="仿宋_GB2312" w:hAnsi="仿宋_GB2312" w:eastAsia="仿宋_GB2312" w:cs="仿宋_GB2312"/>
          <w:bCs/>
          <w:kern w:val="0"/>
          <w:sz w:val="32"/>
          <w:szCs w:val="32"/>
          <w:lang w:val="en-US" w:eastAsia="zh-CN"/>
        </w:rPr>
        <w:t>有限空间、</w:t>
      </w:r>
      <w:r>
        <w:rPr>
          <w:rFonts w:hint="eastAsia" w:ascii="仿宋_GB2312" w:hAnsi="仿宋_GB2312" w:eastAsia="仿宋_GB2312" w:cs="仿宋_GB2312"/>
          <w:bCs/>
          <w:kern w:val="0"/>
          <w:sz w:val="32"/>
          <w:szCs w:val="32"/>
        </w:rPr>
        <w:t>其他伤害等</w:t>
      </w:r>
      <w:r>
        <w:rPr>
          <w:rFonts w:hint="eastAsia" w:ascii="仿宋_GB2312" w:hAnsi="仿宋_GB2312" w:eastAsia="仿宋_GB2312" w:cs="仿宋_GB2312"/>
          <w:bCs/>
          <w:kern w:val="0"/>
          <w:sz w:val="32"/>
          <w:szCs w:val="32"/>
          <w:lang w:val="en-US" w:eastAsia="zh-CN"/>
        </w:rPr>
        <w:t>发生可能性、严重程度大的事故类型分析</w:t>
      </w:r>
      <w:r>
        <w:rPr>
          <w:rFonts w:hint="eastAsia" w:ascii="仿宋_GB2312" w:hAnsi="仿宋_GB2312" w:eastAsia="仿宋_GB2312" w:cs="仿宋_GB2312"/>
          <w:bCs/>
          <w:kern w:val="0"/>
          <w:sz w:val="32"/>
          <w:szCs w:val="32"/>
        </w:rPr>
        <w:t>。</w:t>
      </w:r>
    </w:p>
    <w:p>
      <w:pPr>
        <w:keepNext w:val="0"/>
        <w:keepLines w:val="0"/>
        <w:pageBreakBefore w:val="0"/>
        <w:kinsoku/>
        <w:wordWrap/>
        <w:overflowPunct/>
        <w:topLinePunct w:val="0"/>
        <w:autoSpaceDE/>
        <w:autoSpaceDN/>
        <w:bidi w:val="0"/>
        <w:adjustRightInd/>
        <w:snapToGrid/>
        <w:spacing w:line="560" w:lineRule="exact"/>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82" w:name="_Toc27647"/>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2.1 火灾爆炸事故</w:t>
      </w:r>
      <w:bookmarkEnd w:id="482"/>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办公场所</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工程工地等</w:t>
      </w:r>
      <w:r>
        <w:rPr>
          <w:rFonts w:hint="eastAsia" w:ascii="仿宋_GB2312" w:hAnsi="仿宋_GB2312" w:eastAsia="仿宋_GB2312" w:cs="仿宋_GB2312"/>
          <w:color w:val="000000"/>
          <w:sz w:val="32"/>
          <w:szCs w:val="32"/>
        </w:rPr>
        <w:t>电线线路铺设不合理，引发电线发热、短路；办公人员吸烟随手丢烟头，未熄灭，引燃办公场所易燃物品；雷雨天气造成电线起火，夏季炎热天气引发易燃易爆物品起火。火灾易造成巨大的财产损失；严重时危害生命安全。</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车辆、船舶行驶过程中，由于车辆自身故障、所载货物自燃、人为纵火或碰撞起火等原因，导致车辆发生自燃。</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val="en-US" w:eastAsia="zh-CN"/>
        </w:rPr>
        <w:t>因车辆等设备设施自身故障导致的自燃现象主要有发动机舱起火、轮胎起火和电气线路起火等。货物自燃包括普通货物燃烧和危险化学品燃烧爆炸等。</w:t>
      </w:r>
    </w:p>
    <w:p>
      <w:pPr>
        <w:keepNext w:val="0"/>
        <w:keepLines w:val="0"/>
        <w:pageBreakBefore w:val="0"/>
        <w:kinsoku/>
        <w:wordWrap/>
        <w:overflowPunct/>
        <w:topLinePunct w:val="0"/>
        <w:autoSpaceDE/>
        <w:autoSpaceDN/>
        <w:bidi w:val="0"/>
        <w:adjustRightInd/>
        <w:snapToGrid/>
        <w:spacing w:line="560" w:lineRule="exact"/>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83" w:name="_Toc24898"/>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2.2 触电事故</w:t>
      </w:r>
      <w:bookmarkEnd w:id="483"/>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办公场所、交通工程建设工地和停车场（场站），若电气线路或电气设备安装操作不当，保养不善，接地、接零或防雷电设施等损坏或失效等，将会引起电气设备绝缘、防爆性能降低或保护失效有可能造成漏电或遭受雷击，引发电气事故或电气伤害。静电也会引发火灾、爆炸事故。</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电缆绝缘腐蚀老化，电路故障或荷载过大，均可能引起电缆着火，如扑救不及时，有烧毁电器、仪表使火灾蔓延的可能。电气着火还能引起二次火灾。</w:t>
      </w:r>
    </w:p>
    <w:p>
      <w:pPr>
        <w:keepNext w:val="0"/>
        <w:keepLines w:val="0"/>
        <w:pageBreakBefore w:val="0"/>
        <w:kinsoku/>
        <w:wordWrap/>
        <w:overflowPunct/>
        <w:topLinePunct w:val="0"/>
        <w:autoSpaceDE/>
        <w:autoSpaceDN/>
        <w:bidi w:val="0"/>
        <w:adjustRightInd/>
        <w:snapToGrid/>
        <w:spacing w:line="560" w:lineRule="exact"/>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84" w:name="_Toc17526"/>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2.3道路交通事故</w:t>
      </w:r>
      <w:bookmarkEnd w:id="484"/>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道路运输车辆在运输（包含作业场所）过程中，由于驾驶员操作失误、路况不佳、疲劳驾驶、酒后驾驶，交通标志混乱或错误，爆胎，车辆技术状况不良、车辆安全装置失效、遇极端天气等遇自然灾害等都有可能造成车辆货物受损、人员伤害的交通事故。</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道路运输车辆在道路上行驶被发生事故情况较多，其他车辆、行人、非机动车违规行为，危化品车辆无法避让、采取措施不及或不到位，伤害危化品运输车辆，造成车辆被撞击，倾翻、受损等，导致衍生装载危化品泄露、燃烧、爆炸事故发生。</w:t>
      </w:r>
    </w:p>
    <w:p>
      <w:pPr>
        <w:keepNext w:val="0"/>
        <w:keepLines w:val="0"/>
        <w:pageBreakBefore w:val="0"/>
        <w:kinsoku/>
        <w:wordWrap/>
        <w:overflowPunct/>
        <w:topLinePunct w:val="0"/>
        <w:autoSpaceDE/>
        <w:autoSpaceDN/>
        <w:bidi w:val="0"/>
        <w:adjustRightInd/>
        <w:snapToGrid/>
        <w:spacing w:line="560" w:lineRule="exact"/>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85" w:name="_Toc6222"/>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2.4水运交通事故</w:t>
      </w:r>
      <w:bookmarkEnd w:id="485"/>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2"/>
          <w:sz w:val="32"/>
          <w:szCs w:val="32"/>
          <w:lang w:val="en-US" w:eastAsia="zh-CN" w:bidi="ar-SA"/>
        </w:rPr>
        <w:t>水运交通事故主要运输环境恶劣，遇险滩、激流、旋涡、山区水库、横风横浪、穿山风、山凹风口水域、水下障碍物、船舶流量大等；交通信号、信息或标志混乱或错误，</w:t>
      </w:r>
      <w:r>
        <w:rPr>
          <w:rFonts w:hint="eastAsia" w:ascii="仿宋_GB2312" w:hAnsi="仿宋_GB2312" w:eastAsia="仿宋_GB2312" w:cs="仿宋_GB2312"/>
          <w:color w:val="000000"/>
          <w:sz w:val="32"/>
          <w:szCs w:val="32"/>
          <w:lang w:val="en-US" w:eastAsia="zh-CN"/>
        </w:rPr>
        <w:t>遇极端天气等遇自然灾害等都有可能造成船舶货物受损、人员伤害的水上交通事故。</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kern w:val="2"/>
          <w:sz w:val="32"/>
          <w:szCs w:val="32"/>
          <w:lang w:val="en-US" w:eastAsia="zh-CN" w:bidi="ar-SA"/>
        </w:rPr>
        <w:t>客渡船、货船超载运输旅客、货物；驾驶员或船员观察不足；违反内河避碰规则；危化品运输船舶违规装载、物质特性规定，</w:t>
      </w:r>
      <w:r>
        <w:rPr>
          <w:rFonts w:hint="eastAsia" w:ascii="仿宋_GB2312" w:hAnsi="仿宋_GB2312" w:eastAsia="仿宋_GB2312" w:cs="仿宋_GB2312"/>
          <w:color w:val="000000"/>
          <w:sz w:val="32"/>
          <w:szCs w:val="32"/>
          <w:lang w:val="en-US" w:eastAsia="zh-CN"/>
        </w:rPr>
        <w:t>倾翻、受损等，导致衍生装载危化品泄露、燃烧、爆炸事故发生。</w:t>
      </w:r>
    </w:p>
    <w:p>
      <w:pPr>
        <w:keepNext w:val="0"/>
        <w:keepLines w:val="0"/>
        <w:pageBreakBefore w:val="0"/>
        <w:kinsoku/>
        <w:wordWrap/>
        <w:overflowPunct/>
        <w:topLinePunct w:val="0"/>
        <w:autoSpaceDE/>
        <w:autoSpaceDN/>
        <w:bidi w:val="0"/>
        <w:adjustRightInd/>
        <w:snapToGrid/>
        <w:spacing w:line="560" w:lineRule="exact"/>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86" w:name="_Toc4381"/>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2.5泄漏环境污染</w:t>
      </w:r>
      <w:bookmarkEnd w:id="486"/>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color w:val="000000"/>
          <w:sz w:val="32"/>
          <w:szCs w:val="32"/>
          <w:lang w:val="en-US" w:eastAsia="zh-CN"/>
        </w:rPr>
      </w:pPr>
      <w:bookmarkStart w:id="487" w:name="_Toc3539"/>
      <w:bookmarkStart w:id="488" w:name="_Toc17308"/>
      <w:r>
        <w:rPr>
          <w:rFonts w:hint="eastAsia" w:ascii="仿宋_GB2312" w:hAnsi="仿宋_GB2312" w:eastAsia="仿宋_GB2312" w:cs="仿宋_GB2312"/>
          <w:color w:val="000000"/>
          <w:sz w:val="32"/>
          <w:szCs w:val="32"/>
          <w:lang w:val="en-US" w:eastAsia="zh-CN"/>
        </w:rPr>
        <w:t>液体危险货物罐体存在罐体壁厚不达标、未按要求配备安全附件等安全隐患；碰撞、安全阀损坏、密封件不密封、超载等造成运输危险化学品泄漏。</w:t>
      </w:r>
      <w:bookmarkEnd w:id="487"/>
      <w:bookmarkEnd w:id="488"/>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危化品车辆承运的危险货物运输：如化学品废物、废水、汽油、柴油、煤油、甲醇、醇、丙醇、液化气、天然气、甲烷、炔、氮气、二氧化碳、烟花鞭炮、液氧、液氮等。这些介质有一定的空间污染、急性中毒和冻伤及对人体有伤害的特征。如在运输过程中未使用厢式货车密封运输，随意将物品暴露在空气中，日光暴晒；或在运输时不按规定路线行驶，在居民区和人口稠密区停留；导致运输危险货物泄露，混入生活垃圾、流散到人们生活环境中，会污染大气、水源、土地以及动植物，造成疾病传播，严重危害人的身心健康。导致环境受到污染。</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船舶燃油、生活垃圾、运输物质包装破损、安全阀损坏、密封件不密封、超载等因风浪、碰撞造成运输泄露，污染水域。</w:t>
      </w:r>
    </w:p>
    <w:p>
      <w:pPr>
        <w:keepNext w:val="0"/>
        <w:keepLines w:val="0"/>
        <w:pageBreakBefore w:val="0"/>
        <w:kinsoku/>
        <w:wordWrap/>
        <w:overflowPunct/>
        <w:topLinePunct w:val="0"/>
        <w:autoSpaceDE/>
        <w:autoSpaceDN/>
        <w:bidi w:val="0"/>
        <w:adjustRightInd/>
        <w:snapToGrid/>
        <w:spacing w:line="560" w:lineRule="exact"/>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89" w:name="_Toc10115"/>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2.6中毒和窒息事故</w:t>
      </w:r>
      <w:bookmarkEnd w:id="489"/>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在运输过程中，可能发生中毒事故主要体现在作业环境存在的各种毒气、现场运输的有毒物质中含有毒物质或泄漏等。一旦发现中毒和窒息事故，将会导致现场人员的生命健康受到威胁和直接的经济损失。</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受限空间违规作业，通风不彻底、检测不到位，极易造成受限空间有毒有害聚集，而造成人员中毒窒息。</w:t>
      </w:r>
    </w:p>
    <w:p>
      <w:pPr>
        <w:keepNext w:val="0"/>
        <w:keepLines w:val="0"/>
        <w:pageBreakBefore w:val="0"/>
        <w:kinsoku/>
        <w:wordWrap/>
        <w:overflowPunct/>
        <w:topLinePunct w:val="0"/>
        <w:autoSpaceDE/>
        <w:autoSpaceDN/>
        <w:bidi w:val="0"/>
        <w:adjustRightInd/>
        <w:snapToGrid/>
        <w:spacing w:line="560" w:lineRule="exact"/>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90" w:name="_Toc21268"/>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2.7灼伤</w:t>
      </w:r>
      <w:bookmarkEnd w:id="490"/>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color w:val="000000"/>
          <w:kern w:val="2"/>
          <w:sz w:val="32"/>
          <w:szCs w:val="32"/>
          <w:lang w:val="en-US" w:eastAsia="zh-CN" w:bidi="ar-SA"/>
        </w:rPr>
      </w:pPr>
      <w:bookmarkStart w:id="491" w:name="_Toc11842"/>
      <w:r>
        <w:rPr>
          <w:rFonts w:hint="eastAsia" w:ascii="仿宋_GB2312" w:hAnsi="仿宋_GB2312" w:eastAsia="仿宋_GB2312" w:cs="仿宋_GB2312"/>
          <w:color w:val="000000"/>
          <w:kern w:val="2"/>
          <w:sz w:val="32"/>
          <w:szCs w:val="32"/>
          <w:lang w:val="en-US" w:eastAsia="zh-CN" w:bidi="ar-SA"/>
        </w:rPr>
        <w:t>灼伤包括高温（火焰、沸水、蒸气、热油、灼热金属）、化学物质（强酸、强碱）、电流（高压电）及</w:t>
      </w:r>
      <w:r>
        <w:rPr>
          <w:rFonts w:hint="eastAsia" w:ascii="仿宋_GB2312" w:hAnsi="仿宋_GB2312" w:eastAsia="仿宋_GB2312" w:cs="仿宋_GB2312"/>
          <w:color w:val="000000"/>
          <w:kern w:val="2"/>
          <w:sz w:val="32"/>
          <w:szCs w:val="32"/>
          <w:lang w:val="en-US" w:eastAsia="zh-CN" w:bidi="ar-SA"/>
        </w:rPr>
        <w:fldChar w:fldCharType="begin"/>
      </w:r>
      <w:r>
        <w:rPr>
          <w:rFonts w:hint="eastAsia" w:ascii="仿宋_GB2312" w:hAnsi="仿宋_GB2312" w:eastAsia="仿宋_GB2312" w:cs="仿宋_GB2312"/>
          <w:color w:val="000000"/>
          <w:kern w:val="2"/>
          <w:sz w:val="32"/>
          <w:szCs w:val="32"/>
          <w:lang w:val="en-US" w:eastAsia="zh-CN" w:bidi="ar-SA"/>
        </w:rPr>
        <w:instrText xml:space="preserve"> HYPERLINK "https://www.yixue.com/%E6%94%BE%E5%B0%84%E7%BA%BF" \o "放射线" </w:instrText>
      </w:r>
      <w:r>
        <w:rPr>
          <w:rFonts w:hint="eastAsia" w:ascii="仿宋_GB2312" w:hAnsi="仿宋_GB2312" w:eastAsia="仿宋_GB2312" w:cs="仿宋_GB2312"/>
          <w:color w:val="000000"/>
          <w:kern w:val="2"/>
          <w:sz w:val="32"/>
          <w:szCs w:val="32"/>
          <w:lang w:val="en-US" w:eastAsia="zh-CN" w:bidi="ar-SA"/>
        </w:rPr>
        <w:fldChar w:fldCharType="separate"/>
      </w:r>
      <w:r>
        <w:rPr>
          <w:rFonts w:hint="eastAsia" w:ascii="仿宋_GB2312" w:hAnsi="仿宋_GB2312" w:eastAsia="仿宋_GB2312" w:cs="仿宋_GB2312"/>
          <w:color w:val="000000"/>
          <w:kern w:val="2"/>
          <w:sz w:val="32"/>
          <w:szCs w:val="32"/>
          <w:lang w:val="en-US" w:eastAsia="zh-CN" w:bidi="ar-SA"/>
        </w:rPr>
        <w:t>放射线</w:t>
      </w:r>
      <w:r>
        <w:rPr>
          <w:rFonts w:hint="eastAsia" w:ascii="仿宋_GB2312" w:hAnsi="仿宋_GB2312" w:eastAsia="仿宋_GB2312" w:cs="仿宋_GB2312"/>
          <w:color w:val="000000"/>
          <w:kern w:val="2"/>
          <w:sz w:val="32"/>
          <w:szCs w:val="32"/>
          <w:lang w:val="en-US" w:eastAsia="zh-CN" w:bidi="ar-SA"/>
        </w:rPr>
        <w:fldChar w:fldCharType="end"/>
      </w:r>
      <w:r>
        <w:rPr>
          <w:rFonts w:hint="eastAsia" w:ascii="仿宋_GB2312" w:hAnsi="仿宋_GB2312" w:eastAsia="仿宋_GB2312" w:cs="仿宋_GB2312"/>
          <w:color w:val="000000"/>
          <w:kern w:val="2"/>
          <w:sz w:val="32"/>
          <w:szCs w:val="32"/>
          <w:lang w:val="en-US" w:eastAsia="zh-CN" w:bidi="ar-SA"/>
        </w:rPr>
        <w:t>（X</w:t>
      </w:r>
      <w:r>
        <w:rPr>
          <w:rFonts w:hint="eastAsia" w:ascii="仿宋_GB2312" w:hAnsi="仿宋_GB2312" w:eastAsia="仿宋_GB2312" w:cs="仿宋_GB2312"/>
          <w:color w:val="000000"/>
          <w:kern w:val="2"/>
          <w:sz w:val="32"/>
          <w:szCs w:val="32"/>
          <w:lang w:val="en-US" w:eastAsia="zh-CN" w:bidi="ar-SA"/>
        </w:rPr>
        <w:fldChar w:fldCharType="begin"/>
      </w:r>
      <w:r>
        <w:rPr>
          <w:rFonts w:hint="eastAsia" w:ascii="仿宋_GB2312" w:hAnsi="仿宋_GB2312" w:eastAsia="仿宋_GB2312" w:cs="仿宋_GB2312"/>
          <w:color w:val="000000"/>
          <w:kern w:val="2"/>
          <w:sz w:val="32"/>
          <w:szCs w:val="32"/>
          <w:lang w:val="en-US" w:eastAsia="zh-CN" w:bidi="ar-SA"/>
        </w:rPr>
        <w:instrText xml:space="preserve"> HYPERLINK "https://www.yixue.com/%E5%B0%84%E7%BA%BF" \o "射线" </w:instrText>
      </w:r>
      <w:r>
        <w:rPr>
          <w:rFonts w:hint="eastAsia" w:ascii="仿宋_GB2312" w:hAnsi="仿宋_GB2312" w:eastAsia="仿宋_GB2312" w:cs="仿宋_GB2312"/>
          <w:color w:val="000000"/>
          <w:kern w:val="2"/>
          <w:sz w:val="32"/>
          <w:szCs w:val="32"/>
          <w:lang w:val="en-US" w:eastAsia="zh-CN" w:bidi="ar-SA"/>
        </w:rPr>
        <w:fldChar w:fldCharType="separate"/>
      </w:r>
      <w:r>
        <w:rPr>
          <w:rFonts w:hint="eastAsia" w:ascii="仿宋_GB2312" w:hAnsi="仿宋_GB2312" w:eastAsia="仿宋_GB2312" w:cs="仿宋_GB2312"/>
          <w:color w:val="000000"/>
          <w:kern w:val="2"/>
          <w:sz w:val="32"/>
          <w:szCs w:val="32"/>
          <w:lang w:val="en-US" w:eastAsia="zh-CN" w:bidi="ar-SA"/>
        </w:rPr>
        <w:t>射线</w:t>
      </w:r>
      <w:r>
        <w:rPr>
          <w:rFonts w:hint="eastAsia" w:ascii="仿宋_GB2312" w:hAnsi="仿宋_GB2312" w:eastAsia="仿宋_GB2312" w:cs="仿宋_GB2312"/>
          <w:color w:val="000000"/>
          <w:kern w:val="2"/>
          <w:sz w:val="32"/>
          <w:szCs w:val="32"/>
          <w:lang w:val="en-US" w:eastAsia="zh-CN" w:bidi="ar-SA"/>
        </w:rPr>
        <w:fldChar w:fldCharType="end"/>
      </w:r>
      <w:r>
        <w:rPr>
          <w:rFonts w:hint="eastAsia" w:ascii="仿宋_GB2312" w:hAnsi="仿宋_GB2312" w:eastAsia="仿宋_GB2312" w:cs="仿宋_GB2312"/>
          <w:color w:val="000000"/>
          <w:kern w:val="2"/>
          <w:sz w:val="32"/>
          <w:szCs w:val="32"/>
          <w:lang w:val="en-US" w:eastAsia="zh-CN" w:bidi="ar-SA"/>
        </w:rPr>
        <w:t>、γ射线）等引起的机体组织灼伤。</w:t>
      </w:r>
      <w:bookmarkEnd w:id="491"/>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在运输过程中，可能发生介质泄露或飞溅，强酸、强碱等化学物品因热力或化学物质作用于身体，引起局部组织损伤，并通过受损的皮肤、粘膜组织导致全身病理生理改变；有些化学物质还可以被从创面吸收，引起全身中毒。主要体现在作业环境存在的各种腐蚀性液体、固体等涉及人的身体引起机体组织伤害。</w:t>
      </w:r>
    </w:p>
    <w:p>
      <w:pPr>
        <w:keepNext w:val="0"/>
        <w:keepLines w:val="0"/>
        <w:pageBreakBefore w:val="0"/>
        <w:kinsoku/>
        <w:wordWrap/>
        <w:overflowPunct/>
        <w:topLinePunct w:val="0"/>
        <w:autoSpaceDE/>
        <w:autoSpaceDN/>
        <w:bidi w:val="0"/>
        <w:adjustRightInd/>
        <w:snapToGrid/>
        <w:spacing w:line="560" w:lineRule="exact"/>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92" w:name="_Toc6149"/>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2.8高处坠落</w:t>
      </w:r>
      <w:bookmarkEnd w:id="492"/>
    </w:p>
    <w:p>
      <w:pPr>
        <w:keepNext w:val="0"/>
        <w:keepLines w:val="0"/>
        <w:pageBreakBefore w:val="0"/>
        <w:widowControl/>
        <w:kinsoku/>
        <w:wordWrap/>
        <w:overflowPunct/>
        <w:topLinePunct w:val="0"/>
        <w:autoSpaceDE/>
        <w:autoSpaceDN/>
        <w:bidi w:val="0"/>
        <w:spacing w:line="560" w:lineRule="exact"/>
        <w:ind w:firstLine="640" w:firstLineChars="200"/>
        <w:textAlignment w:val="auto"/>
        <w:outlineLvl w:val="1"/>
        <w:rPr>
          <w:rFonts w:hint="eastAsia" w:ascii="仿宋_GB2312" w:hAnsi="仿宋_GB2312" w:eastAsia="仿宋_GB2312" w:cs="仿宋_GB2312"/>
          <w:color w:val="000000"/>
          <w:kern w:val="2"/>
          <w:sz w:val="32"/>
          <w:szCs w:val="32"/>
          <w:lang w:val="en-US" w:eastAsia="zh-CN" w:bidi="ar-SA"/>
        </w:rPr>
      </w:pPr>
      <w:bookmarkStart w:id="493" w:name="_Toc8834"/>
      <w:bookmarkStart w:id="494" w:name="_Toc14156"/>
      <w:bookmarkStart w:id="495" w:name="_Toc18095"/>
      <w:bookmarkStart w:id="496" w:name="_Toc27137"/>
      <w:bookmarkStart w:id="497" w:name="_Toc9910"/>
      <w:r>
        <w:rPr>
          <w:rFonts w:hint="eastAsia" w:ascii="仿宋_GB2312" w:hAnsi="仿宋_GB2312" w:eastAsia="仿宋_GB2312" w:cs="仿宋_GB2312"/>
          <w:color w:val="000000"/>
          <w:kern w:val="2"/>
          <w:sz w:val="32"/>
          <w:szCs w:val="32"/>
          <w:lang w:val="en-US" w:eastAsia="zh-CN" w:bidi="ar-SA"/>
        </w:rPr>
        <w:t>本处的高柱坠落是指攀登作业高处坠落事故。根据《</w:t>
      </w:r>
      <w:r>
        <w:rPr>
          <w:rFonts w:hint="default" w:ascii="仿宋_GB2312" w:hAnsi="仿宋_GB2312" w:eastAsia="仿宋_GB2312" w:cs="仿宋_GB2312"/>
          <w:color w:val="000000"/>
          <w:kern w:val="2"/>
          <w:sz w:val="32"/>
          <w:szCs w:val="32"/>
          <w:lang w:val="en-US" w:eastAsia="zh-CN" w:bidi="ar-SA"/>
        </w:rPr>
        <w:fldChar w:fldCharType="begin"/>
      </w:r>
      <w:r>
        <w:rPr>
          <w:rFonts w:hint="default" w:ascii="仿宋_GB2312" w:hAnsi="仿宋_GB2312" w:eastAsia="仿宋_GB2312" w:cs="仿宋_GB2312"/>
          <w:color w:val="000000"/>
          <w:kern w:val="2"/>
          <w:sz w:val="32"/>
          <w:szCs w:val="32"/>
          <w:lang w:val="en-US" w:eastAsia="zh-CN" w:bidi="ar-SA"/>
        </w:rPr>
        <w:instrText xml:space="preserve"> HYPERLINK "https://baike.so.com/doc/4360793-4566365.html" \t "https://baike.so.com/doc/_blank" </w:instrText>
      </w:r>
      <w:r>
        <w:rPr>
          <w:rFonts w:hint="default" w:ascii="仿宋_GB2312" w:hAnsi="仿宋_GB2312" w:eastAsia="仿宋_GB2312" w:cs="仿宋_GB2312"/>
          <w:color w:val="000000"/>
          <w:kern w:val="2"/>
          <w:sz w:val="32"/>
          <w:szCs w:val="32"/>
          <w:lang w:val="en-US" w:eastAsia="zh-CN" w:bidi="ar-SA"/>
        </w:rPr>
        <w:fldChar w:fldCharType="separate"/>
      </w:r>
      <w:r>
        <w:rPr>
          <w:rFonts w:hint="default" w:ascii="仿宋_GB2312" w:hAnsi="仿宋_GB2312" w:eastAsia="仿宋_GB2312" w:cs="仿宋_GB2312"/>
          <w:color w:val="000000"/>
          <w:kern w:val="2"/>
          <w:sz w:val="32"/>
          <w:szCs w:val="32"/>
          <w:lang w:val="en-US" w:eastAsia="zh-CN" w:bidi="ar-SA"/>
        </w:rPr>
        <w:t>高处作业分级</w:t>
      </w:r>
      <w:r>
        <w:rPr>
          <w:rFonts w:hint="default" w:ascii="仿宋_GB2312" w:hAnsi="仿宋_GB2312" w:eastAsia="仿宋_GB2312" w:cs="仿宋_GB2312"/>
          <w:color w:val="000000"/>
          <w:kern w:val="2"/>
          <w:sz w:val="32"/>
          <w:szCs w:val="32"/>
          <w:lang w:val="en-US" w:eastAsia="zh-CN" w:bidi="ar-SA"/>
        </w:rPr>
        <w:fldChar w:fldCharType="end"/>
      </w:r>
      <w:r>
        <w:rPr>
          <w:rFonts w:hint="default" w:ascii="仿宋_GB2312" w:hAnsi="仿宋_GB2312" w:eastAsia="仿宋_GB2312" w:cs="仿宋_GB2312"/>
          <w:color w:val="000000"/>
          <w:kern w:val="2"/>
          <w:sz w:val="32"/>
          <w:szCs w:val="32"/>
          <w:lang w:val="en-US" w:eastAsia="zh-CN" w:bidi="ar-SA"/>
        </w:rPr>
        <w:t>》(GB/T 3608-2008</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的规定，凡在坠落高度基准面2m以上(含2m</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有可能坠落的高处进行的作业</w:t>
      </w:r>
      <w:r>
        <w:rPr>
          <w:rFonts w:hint="eastAsia" w:ascii="仿宋_GB2312" w:hAnsi="仿宋_GB2312" w:eastAsia="仿宋_GB2312" w:cs="仿宋_GB2312"/>
          <w:color w:val="000000"/>
          <w:kern w:val="2"/>
          <w:sz w:val="32"/>
          <w:szCs w:val="32"/>
          <w:lang w:val="en-US" w:eastAsia="zh-CN" w:bidi="ar-SA"/>
        </w:rPr>
        <w:t>。从业人员攀登车顶、工作平台等处置阀门或作业，违章指挥、违章作业、防护不当、操作错误、防护设备设施老化、强度不够、安装不良等导致从车顶坠落，造成骨折、人员休克、死亡等人员伤害。</w:t>
      </w:r>
      <w:bookmarkEnd w:id="493"/>
      <w:bookmarkEnd w:id="494"/>
      <w:r>
        <w:rPr>
          <w:rFonts w:hint="eastAsia" w:ascii="仿宋_GB2312" w:hAnsi="仿宋_GB2312" w:eastAsia="仿宋_GB2312" w:cs="仿宋_GB2312"/>
          <w:color w:val="000000"/>
          <w:kern w:val="2"/>
          <w:sz w:val="32"/>
          <w:szCs w:val="32"/>
          <w:lang w:val="en-US" w:eastAsia="zh-CN" w:bidi="ar-SA"/>
        </w:rPr>
        <w:t>特别是检维修人员不习惯穿戴安全带登高作业，侥幸心理影响。</w:t>
      </w:r>
      <w:bookmarkEnd w:id="495"/>
      <w:bookmarkEnd w:id="496"/>
      <w:bookmarkEnd w:id="497"/>
    </w:p>
    <w:p>
      <w:pPr>
        <w:keepNext w:val="0"/>
        <w:keepLines w:val="0"/>
        <w:pageBreakBefore w:val="0"/>
        <w:kinsoku/>
        <w:wordWrap/>
        <w:overflowPunct/>
        <w:topLinePunct w:val="0"/>
        <w:autoSpaceDE/>
        <w:autoSpaceDN/>
        <w:bidi w:val="0"/>
        <w:adjustRightInd/>
        <w:snapToGrid/>
        <w:spacing w:line="560" w:lineRule="exact"/>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98" w:name="_Toc689"/>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2.9有限空间</w:t>
      </w:r>
      <w:bookmarkEnd w:id="498"/>
    </w:p>
    <w:p>
      <w:pPr>
        <w:keepNext w:val="0"/>
        <w:keepLines w:val="0"/>
        <w:pageBreakBefore w:val="0"/>
        <w:widowControl/>
        <w:kinsoku/>
        <w:wordWrap/>
        <w:overflowPunct/>
        <w:topLinePunct w:val="0"/>
        <w:autoSpaceDE/>
        <w:autoSpaceDN/>
        <w:bidi w:val="0"/>
        <w:spacing w:line="560" w:lineRule="exact"/>
        <w:ind w:firstLine="640" w:firstLineChars="200"/>
        <w:textAlignment w:val="auto"/>
        <w:outlineLvl w:val="1"/>
        <w:rPr>
          <w:rFonts w:hint="default" w:ascii="仿宋_GB2312" w:hAnsi="仿宋_GB2312" w:eastAsia="仿宋_GB2312" w:cs="仿宋_GB2312"/>
          <w:color w:val="000000"/>
          <w:kern w:val="2"/>
          <w:sz w:val="32"/>
          <w:szCs w:val="32"/>
          <w:lang w:val="en-US" w:eastAsia="zh-CN" w:bidi="ar-SA"/>
        </w:rPr>
      </w:pPr>
      <w:bookmarkStart w:id="499" w:name="_Toc5992"/>
      <w:bookmarkStart w:id="500" w:name="_Toc1369"/>
      <w:r>
        <w:rPr>
          <w:rFonts w:hint="eastAsia" w:ascii="仿宋_GB2312" w:hAnsi="仿宋_GB2312" w:eastAsia="仿宋_GB2312" w:cs="仿宋_GB2312"/>
          <w:color w:val="000000"/>
          <w:kern w:val="2"/>
          <w:sz w:val="32"/>
          <w:szCs w:val="32"/>
          <w:lang w:val="en-US" w:eastAsia="zh-CN" w:bidi="ar-SA"/>
        </w:rPr>
        <w:t>对交通工具的密闭容器作业发生的有限空间事件。在涂装、防腐、防水作业；设备的安装、更换、巡检、检修作业；清污、清淤、焊接作业时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自然通风不良，易造成有毒有害、易燃易爆物质积聚或者氧含量不足，</w:t>
      </w:r>
      <w:r>
        <w:rPr>
          <w:rFonts w:hint="eastAsia" w:ascii="仿宋_GB2312" w:hAnsi="仿宋_GB2312" w:eastAsia="仿宋_GB2312" w:cs="仿宋_GB2312"/>
          <w:color w:val="000000"/>
          <w:kern w:val="2"/>
          <w:sz w:val="32"/>
          <w:szCs w:val="32"/>
          <w:lang w:val="en-US" w:eastAsia="zh-CN" w:bidi="ar-SA"/>
        </w:rPr>
        <w:t>违章指挥、违章作业、防护不当等，以及人员盲目进入容器内，或者密闭容器外侧盲目施工（如焊接）等，极易造成中毒窒息、爆炸风险。</w:t>
      </w:r>
      <w:bookmarkEnd w:id="499"/>
      <w:bookmarkEnd w:id="500"/>
    </w:p>
    <w:p>
      <w:pPr>
        <w:pStyle w:val="5"/>
        <w:keepNext w:val="0"/>
        <w:keepLines w:val="0"/>
        <w:pageBreakBefore w:val="0"/>
        <w:widowControl w:val="0"/>
        <w:kinsoku/>
        <w:wordWrap/>
        <w:overflowPunct/>
        <w:topLinePunct w:val="0"/>
        <w:bidi w:val="0"/>
        <w:adjustRightInd/>
        <w:snapToGrid/>
        <w:spacing w:before="0" w:after="0" w:line="560" w:lineRule="exact"/>
        <w:textAlignment w:val="auto"/>
        <w:outlineLvl w:val="0"/>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501" w:name="_Toc23774"/>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3事故风险评价</w:t>
      </w:r>
      <w:bookmarkEnd w:id="501"/>
    </w:p>
    <w:p>
      <w:pPr>
        <w:keepNext w:val="0"/>
        <w:keepLines w:val="0"/>
        <w:pageBreakBefore w:val="0"/>
        <w:kinsoku/>
        <w:wordWrap/>
        <w:overflowPunct/>
        <w:topLinePunct w:val="0"/>
        <w:autoSpaceDE/>
        <w:autoSpaceDN/>
        <w:bidi w:val="0"/>
        <w:adjustRightInd/>
        <w:snapToGrid/>
        <w:spacing w:line="560" w:lineRule="exact"/>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502" w:name="_Toc25052"/>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3.1 风险评估指标及分级标准</w:t>
      </w:r>
      <w:bookmarkEnd w:id="502"/>
    </w:p>
    <w:p>
      <w:pPr>
        <w:keepNext w:val="0"/>
        <w:keepLines w:val="0"/>
        <w:pageBreakBefore w:val="0"/>
        <w:widowControl/>
        <w:kinsoku/>
        <w:wordWrap/>
        <w:overflowPunct/>
        <w:topLinePunct w:val="0"/>
        <w:autoSpaceDE/>
        <w:autoSpaceDN/>
        <w:bidi w:val="0"/>
        <w:spacing w:line="560" w:lineRule="exact"/>
        <w:ind w:firstLine="640" w:firstLineChars="200"/>
        <w:textAlignment w:val="auto"/>
        <w:outlineLvl w:val="2"/>
        <w:rPr>
          <w:rFonts w:hint="eastAsia" w:ascii="仿宋_GB2312" w:hAnsi="仿宋_GB2312" w:eastAsia="仿宋_GB2312" w:cs="仿宋_GB2312"/>
          <w:color w:val="000000"/>
          <w:kern w:val="2"/>
          <w:sz w:val="32"/>
          <w:szCs w:val="32"/>
          <w:lang w:val="en-US" w:eastAsia="zh-CN" w:bidi="ar-SA"/>
        </w:rPr>
      </w:pPr>
      <w:bookmarkStart w:id="503" w:name="_Toc23818"/>
      <w:bookmarkStart w:id="504" w:name="_Toc3985"/>
      <w:bookmarkStart w:id="505" w:name="_Toc29230"/>
      <w:bookmarkStart w:id="506" w:name="_Toc26336"/>
      <w:r>
        <w:rPr>
          <w:rFonts w:hint="eastAsia" w:ascii="仿宋_GB2312" w:hAnsi="仿宋_GB2312" w:eastAsia="仿宋_GB2312" w:cs="仿宋_GB2312"/>
          <w:color w:val="000000"/>
          <w:kern w:val="2"/>
          <w:sz w:val="32"/>
          <w:szCs w:val="32"/>
          <w:lang w:val="en-US" w:eastAsia="zh-CN" w:bidi="ar-SA"/>
        </w:rPr>
        <w:t>风险评估指标包括风险事件发生的可能性(L) 、后果严重程度(C）两个指标。</w:t>
      </w:r>
      <w:bookmarkEnd w:id="503"/>
      <w:bookmarkEnd w:id="504"/>
      <w:bookmarkEnd w:id="505"/>
      <w:bookmarkEnd w:id="506"/>
    </w:p>
    <w:p>
      <w:pPr>
        <w:keepNext w:val="0"/>
        <w:keepLines w:val="0"/>
        <w:pageBreakBefore w:val="0"/>
        <w:widowControl/>
        <w:kinsoku/>
        <w:wordWrap/>
        <w:overflowPunct/>
        <w:topLinePunct w:val="0"/>
        <w:autoSpaceDE/>
        <w:autoSpaceDN/>
        <w:bidi w:val="0"/>
        <w:spacing w:line="560" w:lineRule="exact"/>
        <w:ind w:firstLine="640" w:firstLineChars="200"/>
        <w:textAlignment w:val="auto"/>
        <w:outlineLvl w:val="1"/>
        <w:rPr>
          <w:rFonts w:hint="eastAsia" w:ascii="仿宋_GB2312" w:hAnsi="仿宋_GB2312" w:eastAsia="仿宋_GB2312" w:cs="仿宋_GB2312"/>
          <w:color w:val="000000"/>
          <w:kern w:val="2"/>
          <w:sz w:val="32"/>
          <w:szCs w:val="32"/>
          <w:lang w:val="en-US" w:eastAsia="zh-CN" w:bidi="ar-SA"/>
        </w:rPr>
      </w:pPr>
      <w:bookmarkStart w:id="507" w:name="_Toc29459"/>
      <w:bookmarkStart w:id="508" w:name="_Toc20171"/>
      <w:bookmarkStart w:id="509" w:name="_Toc17666"/>
      <w:bookmarkStart w:id="510" w:name="_Toc9680"/>
      <w:r>
        <w:rPr>
          <w:rFonts w:hint="eastAsia" w:ascii="仿宋_GB2312" w:hAnsi="仿宋_GB2312" w:eastAsia="仿宋_GB2312" w:cs="仿宋_GB2312"/>
          <w:color w:val="000000"/>
          <w:kern w:val="2"/>
          <w:sz w:val="32"/>
          <w:szCs w:val="32"/>
          <w:lang w:val="en-US" w:eastAsia="zh-CN" w:bidi="ar-SA"/>
        </w:rPr>
        <w:t>可能性统一划分为五个级别：极高、高、中等、低、极低。可能性判断标准及指标取值见表3-1。</w:t>
      </w:r>
      <w:bookmarkEnd w:id="507"/>
      <w:bookmarkEnd w:id="508"/>
      <w:bookmarkEnd w:id="509"/>
      <w:bookmarkEnd w:id="510"/>
    </w:p>
    <w:p>
      <w:pPr>
        <w:keepNext w:val="0"/>
        <w:keepLines w:val="0"/>
        <w:pageBreakBefore w:val="0"/>
        <w:kinsoku/>
        <w:wordWrap/>
        <w:overflowPunct/>
        <w:topLinePunct w:val="0"/>
        <w:autoSpaceDE/>
        <w:autoSpaceDN/>
        <w:bidi w:val="0"/>
        <w:spacing w:line="560" w:lineRule="exact"/>
        <w:ind w:firstLine="1687" w:firstLineChars="600"/>
        <w:textAlignment w:val="auto"/>
        <w:rPr>
          <w:rFonts w:ascii="Arial"/>
          <w:sz w:val="2"/>
        </w:rPr>
      </w:pPr>
      <w:r>
        <w:rPr>
          <w:rFonts w:hint="eastAsia" w:ascii="仿宋_GB2312" w:hAnsi="仿宋_GB2312" w:eastAsia="仿宋_GB2312" w:cs="仿宋_GB2312"/>
          <w:b/>
          <w:bCs/>
          <w:sz w:val="28"/>
          <w:szCs w:val="28"/>
        </w:rPr>
        <w:t>表</w:t>
      </w:r>
      <w:r>
        <w:rPr>
          <w:rFonts w:hint="eastAsia" w:ascii="仿宋_GB2312" w:hAnsi="仿宋_GB2312" w:eastAsia="仿宋_GB2312" w:cs="仿宋_GB2312"/>
          <w:b/>
          <w:bCs/>
          <w:sz w:val="28"/>
          <w:szCs w:val="28"/>
          <w:lang w:val="en-US" w:eastAsia="zh-CN"/>
        </w:rPr>
        <w:t>3-1</w:t>
      </w:r>
      <w:r>
        <w:rPr>
          <w:rFonts w:hint="eastAsia" w:ascii="仿宋_GB2312" w:hAnsi="仿宋_GB2312" w:eastAsia="仿宋_GB2312" w:cs="仿宋_GB2312"/>
          <w:b/>
          <w:bCs/>
          <w:sz w:val="28"/>
          <w:szCs w:val="28"/>
        </w:rPr>
        <w:t xml:space="preserve">  可能性判断标准及指标取值</w:t>
      </w:r>
    </w:p>
    <w:tbl>
      <w:tblPr>
        <w:tblStyle w:val="33"/>
        <w:tblW w:w="8119" w:type="dxa"/>
        <w:tblInd w:w="3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09"/>
        <w:gridCol w:w="2442"/>
        <w:gridCol w:w="36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exact"/>
        </w:trPr>
        <w:tc>
          <w:tcPr>
            <w:tcW w:w="2009" w:type="dxa"/>
            <w:vAlign w:val="top"/>
          </w:tcPr>
          <w:p>
            <w:pPr>
              <w:keepNext w:val="0"/>
              <w:keepLines w:val="0"/>
              <w:pageBreakBefore w:val="0"/>
              <w:kinsoku/>
              <w:wordWrap/>
              <w:overflowPunct/>
              <w:topLinePunct w:val="0"/>
              <w:autoSpaceDE/>
              <w:autoSpaceDN/>
              <w:bidi w:val="0"/>
              <w:spacing w:line="560" w:lineRule="exact"/>
              <w:ind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可能性级别</w:t>
            </w:r>
          </w:p>
        </w:tc>
        <w:tc>
          <w:tcPr>
            <w:tcW w:w="2442" w:type="dxa"/>
            <w:vAlign w:val="top"/>
          </w:tcPr>
          <w:p>
            <w:pPr>
              <w:keepNext w:val="0"/>
              <w:keepLines w:val="0"/>
              <w:pageBreakBefore w:val="0"/>
              <w:kinsoku/>
              <w:wordWrap/>
              <w:overflowPunct/>
              <w:topLinePunct w:val="0"/>
              <w:autoSpaceDE/>
              <w:autoSpaceDN/>
              <w:bidi w:val="0"/>
              <w:spacing w:line="560" w:lineRule="exact"/>
              <w:ind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发生的可能性</w:t>
            </w:r>
          </w:p>
        </w:tc>
        <w:tc>
          <w:tcPr>
            <w:tcW w:w="3668" w:type="dxa"/>
            <w:vAlign w:val="top"/>
          </w:tcPr>
          <w:p>
            <w:pPr>
              <w:keepNext w:val="0"/>
              <w:keepLines w:val="0"/>
              <w:pageBreakBefore w:val="0"/>
              <w:kinsoku/>
              <w:wordWrap/>
              <w:overflowPunct/>
              <w:topLinePunct w:val="0"/>
              <w:autoSpaceDE/>
              <w:autoSpaceDN/>
              <w:bidi w:val="0"/>
              <w:spacing w:line="560" w:lineRule="exact"/>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可能性指标取值 (L) 区间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exact"/>
        </w:trPr>
        <w:tc>
          <w:tcPr>
            <w:tcW w:w="2009"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极高</w:t>
            </w:r>
          </w:p>
        </w:tc>
        <w:tc>
          <w:tcPr>
            <w:tcW w:w="2442"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极易</w:t>
            </w:r>
          </w:p>
        </w:tc>
        <w:tc>
          <w:tcPr>
            <w:tcW w:w="3668"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9＜L≤ 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exact"/>
        </w:trPr>
        <w:tc>
          <w:tcPr>
            <w:tcW w:w="2009"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w:t>
            </w:r>
          </w:p>
        </w:tc>
        <w:tc>
          <w:tcPr>
            <w:tcW w:w="2442"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易</w:t>
            </w:r>
          </w:p>
        </w:tc>
        <w:tc>
          <w:tcPr>
            <w:tcW w:w="3668"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6＜L≤9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exact"/>
        </w:trPr>
        <w:tc>
          <w:tcPr>
            <w:tcW w:w="2009"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中等</w:t>
            </w:r>
          </w:p>
        </w:tc>
        <w:tc>
          <w:tcPr>
            <w:tcW w:w="2442"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可能</w:t>
            </w:r>
          </w:p>
        </w:tc>
        <w:tc>
          <w:tcPr>
            <w:tcW w:w="3668"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3＜L≤6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exact"/>
        </w:trPr>
        <w:tc>
          <w:tcPr>
            <w:tcW w:w="2009"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低</w:t>
            </w:r>
          </w:p>
        </w:tc>
        <w:tc>
          <w:tcPr>
            <w:tcW w:w="2442"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不大可能</w:t>
            </w:r>
          </w:p>
        </w:tc>
        <w:tc>
          <w:tcPr>
            <w:tcW w:w="3668"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1＜L≤3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exact"/>
        </w:trPr>
        <w:tc>
          <w:tcPr>
            <w:tcW w:w="2009"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极低</w:t>
            </w:r>
          </w:p>
        </w:tc>
        <w:tc>
          <w:tcPr>
            <w:tcW w:w="2442"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极不可能</w:t>
            </w:r>
          </w:p>
        </w:tc>
        <w:tc>
          <w:tcPr>
            <w:tcW w:w="3668"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0＜L≤ 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exact"/>
        </w:trPr>
        <w:tc>
          <w:tcPr>
            <w:tcW w:w="8119" w:type="dxa"/>
            <w:gridSpan w:val="3"/>
            <w:vAlign w:val="top"/>
          </w:tcPr>
          <w:p>
            <w:pPr>
              <w:spacing w:before="71" w:line="235" w:lineRule="auto"/>
              <w:ind w:left="115"/>
              <w:rPr>
                <w:rFonts w:ascii="宋体" w:hAnsi="宋体" w:eastAsia="宋体" w:cs="宋体"/>
                <w:sz w:val="24"/>
                <w:szCs w:val="24"/>
              </w:rPr>
            </w:pPr>
            <w:r>
              <w:rPr>
                <w:rFonts w:hint="eastAsia" w:ascii="仿宋_GB2312" w:hAnsi="仿宋_GB2312" w:eastAsia="仿宋_GB2312" w:cs="仿宋_GB2312"/>
                <w:sz w:val="24"/>
                <w:szCs w:val="24"/>
              </w:rPr>
              <w:t>注：可能性指标取值为区间内的整数或最多一位小数。</w:t>
            </w:r>
          </w:p>
        </w:tc>
      </w:tr>
    </w:tbl>
    <w:p>
      <w:pPr>
        <w:keepNext w:val="0"/>
        <w:keepLines w:val="0"/>
        <w:pageBreakBefore w:val="0"/>
        <w:widowControl/>
        <w:kinsoku/>
        <w:wordWrap/>
        <w:overflowPunct/>
        <w:topLinePunct w:val="0"/>
        <w:autoSpaceDE/>
        <w:autoSpaceDN/>
        <w:bidi w:val="0"/>
        <w:spacing w:line="560" w:lineRule="exact"/>
        <w:ind w:firstLine="640" w:firstLineChars="200"/>
        <w:textAlignment w:val="auto"/>
        <w:outlineLvl w:val="1"/>
        <w:rPr>
          <w:rFonts w:hint="eastAsia" w:ascii="仿宋_GB2312" w:hAnsi="仿宋_GB2312" w:eastAsia="仿宋_GB2312" w:cs="仿宋_GB2312"/>
          <w:color w:val="000000"/>
          <w:kern w:val="2"/>
          <w:sz w:val="32"/>
          <w:szCs w:val="32"/>
          <w:lang w:val="en-US" w:eastAsia="zh-CN" w:bidi="ar-SA"/>
        </w:rPr>
      </w:pPr>
      <w:bookmarkStart w:id="511" w:name="_Toc24047"/>
      <w:bookmarkStart w:id="512" w:name="_Toc12471"/>
      <w:bookmarkStart w:id="513" w:name="_Toc7843"/>
      <w:bookmarkStart w:id="514" w:name="_Toc23577"/>
      <w:r>
        <w:rPr>
          <w:rFonts w:hint="eastAsia" w:ascii="仿宋_GB2312" w:hAnsi="仿宋_GB2312" w:eastAsia="仿宋_GB2312" w:cs="仿宋_GB2312"/>
          <w:color w:val="000000"/>
          <w:kern w:val="2"/>
          <w:sz w:val="32"/>
          <w:szCs w:val="32"/>
          <w:lang w:val="en-US" w:eastAsia="zh-CN" w:bidi="ar-SA"/>
        </w:rPr>
        <w:t>后果严重程度统一划分为四个级别：特别严重、严重、较严重、不严重。后果严重程度判断标准及指标取值见表3-2。</w:t>
      </w:r>
      <w:bookmarkEnd w:id="511"/>
      <w:bookmarkEnd w:id="512"/>
      <w:bookmarkEnd w:id="513"/>
      <w:bookmarkEnd w:id="514"/>
    </w:p>
    <w:p>
      <w:pPr>
        <w:keepNext w:val="0"/>
        <w:keepLines w:val="0"/>
        <w:pageBreakBefore w:val="0"/>
        <w:kinsoku/>
        <w:wordWrap/>
        <w:overflowPunct/>
        <w:topLinePunct w:val="0"/>
        <w:autoSpaceDE/>
        <w:autoSpaceDN/>
        <w:bidi w:val="0"/>
        <w:spacing w:line="560" w:lineRule="exact"/>
        <w:ind w:firstLine="1687" w:firstLineChars="600"/>
        <w:textAlignment w:val="auto"/>
        <w:rPr>
          <w:rFonts w:ascii="Arial"/>
          <w:sz w:val="2"/>
        </w:rPr>
      </w:pPr>
      <w:r>
        <w:rPr>
          <w:rFonts w:hint="eastAsia" w:ascii="仿宋_GB2312" w:hAnsi="仿宋_GB2312" w:eastAsia="仿宋_GB2312" w:cs="仿宋_GB2312"/>
          <w:b/>
          <w:bCs/>
          <w:sz w:val="28"/>
          <w:szCs w:val="28"/>
        </w:rPr>
        <w:t>表3</w:t>
      </w: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rPr>
        <w:t xml:space="preserve">  后果严重程度判断标准及指标取值</w:t>
      </w:r>
    </w:p>
    <w:tbl>
      <w:tblPr>
        <w:tblStyle w:val="33"/>
        <w:tblW w:w="8899" w:type="dxa"/>
        <w:tblInd w:w="13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5"/>
        <w:gridCol w:w="71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9" w:hRule="atLeast"/>
        </w:trPr>
        <w:tc>
          <w:tcPr>
            <w:tcW w:w="1795" w:type="dxa"/>
            <w:vAlign w:val="top"/>
          </w:tcPr>
          <w:p>
            <w:pPr>
              <w:keepNext w:val="0"/>
              <w:keepLines w:val="0"/>
              <w:pageBreakBefore w:val="0"/>
              <w:kinsoku/>
              <w:wordWrap/>
              <w:overflowPunct/>
              <w:topLinePunct w:val="0"/>
              <w:autoSpaceDE/>
              <w:autoSpaceDN/>
              <w:bidi w:val="0"/>
              <w:spacing w:line="560" w:lineRule="exact"/>
              <w:jc w:val="both"/>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rPr>
              <w:t>后果严重程度 (指标取值 C)</w:t>
            </w:r>
          </w:p>
        </w:tc>
        <w:tc>
          <w:tcPr>
            <w:tcW w:w="7104" w:type="dxa"/>
            <w:vAlign w:val="top"/>
          </w:tcPr>
          <w:p>
            <w:pPr>
              <w:keepNext w:val="0"/>
              <w:keepLines w:val="0"/>
              <w:pageBreakBefore w:val="0"/>
              <w:kinsoku/>
              <w:wordWrap/>
              <w:overflowPunct/>
              <w:topLinePunct w:val="0"/>
              <w:autoSpaceDE/>
              <w:autoSpaceDN/>
              <w:bidi w:val="0"/>
              <w:spacing w:line="560" w:lineRule="exact"/>
              <w:ind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后果严重程度总体判断标准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7" w:hRule="exact"/>
        </w:trPr>
        <w:tc>
          <w:tcPr>
            <w:tcW w:w="1795" w:type="dxa"/>
            <w:vAlign w:val="top"/>
          </w:tcPr>
          <w:p>
            <w:pPr>
              <w:keepNext w:val="0"/>
              <w:keepLines w:val="0"/>
              <w:pageBreakBefore w:val="0"/>
              <w:widowControl/>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color w:val="000000"/>
                <w:kern w:val="2"/>
                <w:sz w:val="24"/>
                <w:szCs w:val="24"/>
                <w:lang w:val="en-US" w:eastAsia="zh-CN" w:bidi="ar-SA"/>
              </w:rPr>
            </w:pPr>
          </w:p>
          <w:p>
            <w:pPr>
              <w:keepNext w:val="0"/>
              <w:keepLines w:val="0"/>
              <w:pageBreakBefore w:val="0"/>
              <w:widowControl/>
              <w:kinsoku/>
              <w:wordWrap/>
              <w:overflowPunct/>
              <w:topLinePunct w:val="0"/>
              <w:autoSpaceDE/>
              <w:autoSpaceDN/>
              <w:bidi w:val="0"/>
              <w:spacing w:line="560" w:lineRule="exact"/>
              <w:jc w:val="center"/>
              <w:textAlignment w:val="auto"/>
              <w:outlineLvl w:val="1"/>
              <w:rPr>
                <w:rFonts w:hint="eastAsia" w:ascii="仿宋_GB2312" w:hAnsi="仿宋_GB2312" w:eastAsia="仿宋_GB2312" w:cs="仿宋_GB2312"/>
                <w:color w:val="000000"/>
                <w:kern w:val="2"/>
                <w:sz w:val="24"/>
                <w:szCs w:val="24"/>
                <w:lang w:val="en-US" w:eastAsia="zh-CN" w:bidi="ar-SA"/>
              </w:rPr>
            </w:pPr>
            <w:bookmarkStart w:id="515" w:name="_Toc18139"/>
            <w:bookmarkStart w:id="516" w:name="_Toc17831"/>
            <w:bookmarkStart w:id="517" w:name="_Toc4514"/>
            <w:bookmarkStart w:id="518" w:name="_Toc22351"/>
            <w:r>
              <w:rPr>
                <w:rFonts w:hint="eastAsia" w:ascii="仿宋_GB2312" w:hAnsi="仿宋_GB2312" w:eastAsia="仿宋_GB2312" w:cs="仿宋_GB2312"/>
                <w:color w:val="000000"/>
                <w:kern w:val="2"/>
                <w:sz w:val="24"/>
                <w:szCs w:val="24"/>
                <w:lang w:val="en-US" w:eastAsia="zh-CN" w:bidi="ar-SA"/>
              </w:rPr>
              <w:t>特别严重</w:t>
            </w:r>
            <w:bookmarkEnd w:id="515"/>
            <w:bookmarkEnd w:id="516"/>
            <w:bookmarkEnd w:id="517"/>
            <w:bookmarkEnd w:id="518"/>
          </w:p>
          <w:p>
            <w:pPr>
              <w:keepNext w:val="0"/>
              <w:keepLines w:val="0"/>
              <w:pageBreakBefore w:val="0"/>
              <w:widowControl/>
              <w:kinsoku/>
              <w:wordWrap/>
              <w:overflowPunct/>
              <w:topLinePunct w:val="0"/>
              <w:autoSpaceDE/>
              <w:autoSpaceDN/>
              <w:bidi w:val="0"/>
              <w:spacing w:line="560" w:lineRule="exact"/>
              <w:jc w:val="center"/>
              <w:textAlignment w:val="auto"/>
              <w:outlineLvl w:val="1"/>
              <w:rPr>
                <w:rFonts w:hint="eastAsia" w:ascii="仿宋" w:hAnsi="仿宋" w:eastAsia="仿宋" w:cs="仿宋"/>
                <w:sz w:val="24"/>
                <w:szCs w:val="24"/>
              </w:rPr>
            </w:pPr>
            <w:bookmarkStart w:id="519" w:name="_Toc30184"/>
            <w:bookmarkStart w:id="520" w:name="_Toc15185"/>
            <w:bookmarkStart w:id="521" w:name="_Toc15455"/>
            <w:bookmarkStart w:id="522" w:name="_Toc5808"/>
            <w:r>
              <w:rPr>
                <w:rFonts w:hint="eastAsia" w:ascii="仿宋_GB2312" w:hAnsi="仿宋_GB2312" w:eastAsia="仿宋_GB2312" w:cs="仿宋_GB2312"/>
                <w:color w:val="000000"/>
                <w:kern w:val="2"/>
                <w:sz w:val="24"/>
                <w:szCs w:val="24"/>
                <w:lang w:val="en-US" w:eastAsia="zh-CN" w:bidi="ar-SA"/>
              </w:rPr>
              <w:t>(10分）</w:t>
            </w:r>
            <w:bookmarkEnd w:id="519"/>
            <w:bookmarkEnd w:id="520"/>
            <w:bookmarkEnd w:id="521"/>
            <w:bookmarkEnd w:id="522"/>
          </w:p>
        </w:tc>
        <w:tc>
          <w:tcPr>
            <w:tcW w:w="7104" w:type="dxa"/>
            <w:vAlign w:val="center"/>
          </w:tcPr>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仿宋_GB2312" w:hAnsi="仿宋_GB2312" w:eastAsia="仿宋_GB2312" w:cs="仿宋_GB2312"/>
                <w:color w:val="000000"/>
                <w:kern w:val="2"/>
                <w:sz w:val="24"/>
                <w:szCs w:val="24"/>
                <w:lang w:val="en-US" w:eastAsia="zh-CN" w:bidi="ar-SA"/>
              </w:rPr>
            </w:pPr>
            <w:bookmarkStart w:id="523" w:name="_Toc31907"/>
            <w:bookmarkStart w:id="524" w:name="_Toc17048"/>
            <w:bookmarkStart w:id="525" w:name="_Toc11828"/>
            <w:bookmarkStart w:id="526" w:name="_Toc25796"/>
            <w:r>
              <w:rPr>
                <w:rFonts w:hint="eastAsia" w:ascii="仿宋_GB2312" w:hAnsi="仿宋_GB2312" w:eastAsia="仿宋_GB2312" w:cs="仿宋_GB2312"/>
                <w:color w:val="000000"/>
                <w:kern w:val="2"/>
                <w:sz w:val="24"/>
                <w:szCs w:val="24"/>
                <w:lang w:val="en-US" w:eastAsia="zh-CN" w:bidi="ar-SA"/>
              </w:rPr>
              <w:t>(1) 人员伤亡：可能发生人员伤亡数量达到《生产安全事故报告和调查处理条例》中特别重大事故 伤亡标准；</w:t>
            </w:r>
            <w:bookmarkEnd w:id="523"/>
            <w:bookmarkEnd w:id="524"/>
            <w:bookmarkEnd w:id="525"/>
            <w:bookmarkEnd w:id="526"/>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仿宋_GB2312" w:hAnsi="仿宋_GB2312" w:eastAsia="仿宋_GB2312" w:cs="仿宋_GB2312"/>
                <w:color w:val="000000"/>
                <w:kern w:val="2"/>
                <w:sz w:val="24"/>
                <w:szCs w:val="24"/>
                <w:lang w:val="en-US" w:eastAsia="zh-CN" w:bidi="ar-SA"/>
              </w:rPr>
            </w:pPr>
            <w:bookmarkStart w:id="527" w:name="_Toc21710"/>
            <w:bookmarkStart w:id="528" w:name="_Toc29398"/>
            <w:bookmarkStart w:id="529" w:name="_Toc27805"/>
            <w:bookmarkStart w:id="530" w:name="_Toc27250"/>
            <w:r>
              <w:rPr>
                <w:rFonts w:hint="eastAsia" w:ascii="仿宋_GB2312" w:hAnsi="仿宋_GB2312" w:eastAsia="仿宋_GB2312" w:cs="仿宋_GB2312"/>
                <w:color w:val="000000"/>
                <w:kern w:val="2"/>
                <w:sz w:val="24"/>
                <w:szCs w:val="24"/>
                <w:lang w:val="en-US" w:eastAsia="zh-CN" w:bidi="ar-SA"/>
              </w:rPr>
              <w:t>(2) 经济损失：可能发生经济损失达到《生产安全事故报告和调查处理条例》中特别重大事故经济 损失标准；</w:t>
            </w:r>
            <w:bookmarkEnd w:id="527"/>
            <w:bookmarkEnd w:id="528"/>
            <w:bookmarkEnd w:id="529"/>
            <w:bookmarkEnd w:id="530"/>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仿宋_GB2312" w:hAnsi="仿宋_GB2312" w:eastAsia="仿宋_GB2312" w:cs="仿宋_GB2312"/>
                <w:color w:val="000000"/>
                <w:kern w:val="2"/>
                <w:sz w:val="24"/>
                <w:szCs w:val="24"/>
                <w:lang w:val="en-US" w:eastAsia="zh-CN" w:bidi="ar-SA"/>
              </w:rPr>
            </w:pPr>
            <w:bookmarkStart w:id="531" w:name="_Toc3236"/>
            <w:bookmarkStart w:id="532" w:name="_Toc422"/>
            <w:bookmarkStart w:id="533" w:name="_Toc20657"/>
            <w:bookmarkStart w:id="534" w:name="_Toc18173"/>
            <w:r>
              <w:rPr>
                <w:rFonts w:hint="eastAsia" w:ascii="仿宋_GB2312" w:hAnsi="仿宋_GB2312" w:eastAsia="仿宋_GB2312" w:cs="仿宋_GB2312"/>
                <w:color w:val="000000"/>
                <w:kern w:val="2"/>
                <w:sz w:val="24"/>
                <w:szCs w:val="24"/>
                <w:lang w:val="en-US" w:eastAsia="zh-CN" w:bidi="ar-SA"/>
              </w:rPr>
              <w:t>(3) 环境污染：可能造成特别重大生态环境灾害或公共卫生事件，或达到《国家突发环境事件应急 预案》中特别重大突发环境事件标准的；</w:t>
            </w:r>
            <w:bookmarkEnd w:id="531"/>
            <w:bookmarkEnd w:id="532"/>
            <w:bookmarkEnd w:id="533"/>
            <w:bookmarkEnd w:id="534"/>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仿宋_GB2312" w:hAnsi="仿宋_GB2312" w:eastAsia="仿宋_GB2312" w:cs="仿宋_GB2312"/>
                <w:color w:val="000000"/>
                <w:kern w:val="2"/>
                <w:sz w:val="24"/>
                <w:szCs w:val="24"/>
                <w:lang w:val="en-US" w:eastAsia="zh-CN" w:bidi="ar-SA"/>
              </w:rPr>
            </w:pPr>
            <w:bookmarkStart w:id="535" w:name="_Toc28586"/>
            <w:bookmarkStart w:id="536" w:name="_Toc31738"/>
            <w:bookmarkStart w:id="537" w:name="_Toc30804"/>
            <w:r>
              <w:rPr>
                <w:rFonts w:hint="eastAsia" w:ascii="仿宋_GB2312" w:hAnsi="仿宋_GB2312" w:eastAsia="仿宋_GB2312" w:cs="仿宋_GB2312"/>
                <w:color w:val="000000"/>
                <w:kern w:val="2"/>
                <w:sz w:val="24"/>
                <w:szCs w:val="24"/>
                <w:lang w:val="en-US" w:eastAsia="zh-CN" w:bidi="ar-SA"/>
              </w:rPr>
              <w:t>(4) 社会影响：可能对国家或区域的社会、经济、外交、军事、政治等产生特别重大影响。</w:t>
            </w:r>
            <w:bookmarkEnd w:id="535"/>
            <w:bookmarkEnd w:id="536"/>
            <w:bookmarkEnd w:id="537"/>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79" w:hRule="exact"/>
        </w:trPr>
        <w:tc>
          <w:tcPr>
            <w:tcW w:w="1795" w:type="dxa"/>
            <w:vAlign w:val="top"/>
          </w:tcPr>
          <w:p>
            <w:pPr>
              <w:keepNext w:val="0"/>
              <w:keepLines w:val="0"/>
              <w:pageBreakBefore w:val="0"/>
              <w:widowControl/>
              <w:kinsoku/>
              <w:wordWrap/>
              <w:overflowPunct/>
              <w:topLinePunct w:val="0"/>
              <w:autoSpaceDE/>
              <w:autoSpaceDN/>
              <w:bidi w:val="0"/>
              <w:spacing w:line="560" w:lineRule="exact"/>
              <w:jc w:val="center"/>
              <w:textAlignment w:val="auto"/>
              <w:outlineLvl w:val="1"/>
              <w:rPr>
                <w:rFonts w:hint="eastAsia" w:ascii="仿宋_GB2312" w:hAnsi="仿宋_GB2312" w:eastAsia="仿宋_GB2312" w:cs="仿宋_GB2312"/>
                <w:color w:val="000000"/>
                <w:kern w:val="2"/>
                <w:sz w:val="24"/>
                <w:szCs w:val="24"/>
                <w:lang w:val="en-US" w:eastAsia="zh-CN" w:bidi="ar-SA"/>
              </w:rPr>
            </w:pPr>
            <w:bookmarkStart w:id="538" w:name="_Toc1241"/>
            <w:bookmarkStart w:id="539" w:name="_Toc19177"/>
            <w:bookmarkStart w:id="540" w:name="_Toc25324"/>
            <w:bookmarkStart w:id="541" w:name="_Toc14175"/>
            <w:r>
              <w:rPr>
                <w:rFonts w:hint="eastAsia" w:ascii="仿宋_GB2312" w:hAnsi="仿宋_GB2312" w:eastAsia="仿宋_GB2312" w:cs="仿宋_GB2312"/>
                <w:color w:val="000000"/>
                <w:kern w:val="2"/>
                <w:sz w:val="24"/>
                <w:szCs w:val="24"/>
                <w:lang w:val="en-US" w:eastAsia="zh-CN" w:bidi="ar-SA"/>
              </w:rPr>
              <w:t>严重</w:t>
            </w:r>
            <w:bookmarkEnd w:id="538"/>
            <w:bookmarkEnd w:id="539"/>
            <w:bookmarkEnd w:id="540"/>
            <w:bookmarkEnd w:id="541"/>
          </w:p>
          <w:p>
            <w:pPr>
              <w:keepNext w:val="0"/>
              <w:keepLines w:val="0"/>
              <w:pageBreakBefore w:val="0"/>
              <w:widowControl/>
              <w:kinsoku/>
              <w:wordWrap/>
              <w:overflowPunct/>
              <w:topLinePunct w:val="0"/>
              <w:autoSpaceDE/>
              <w:autoSpaceDN/>
              <w:bidi w:val="0"/>
              <w:spacing w:line="560" w:lineRule="exact"/>
              <w:jc w:val="center"/>
              <w:textAlignment w:val="auto"/>
              <w:outlineLvl w:val="1"/>
              <w:rPr>
                <w:rFonts w:hint="eastAsia" w:ascii="仿宋_GB2312" w:hAnsi="仿宋_GB2312" w:eastAsia="仿宋_GB2312" w:cs="仿宋_GB2312"/>
                <w:color w:val="000000"/>
                <w:kern w:val="2"/>
                <w:sz w:val="24"/>
                <w:szCs w:val="24"/>
                <w:lang w:val="en-US" w:eastAsia="zh-CN" w:bidi="ar-SA"/>
              </w:rPr>
            </w:pPr>
            <w:bookmarkStart w:id="542" w:name="_Toc23884"/>
            <w:bookmarkStart w:id="543" w:name="_Toc20626"/>
            <w:bookmarkStart w:id="544" w:name="_Toc16939"/>
            <w:bookmarkStart w:id="545" w:name="_Toc132"/>
            <w:r>
              <w:rPr>
                <w:rFonts w:hint="eastAsia" w:ascii="仿宋_GB2312" w:hAnsi="仿宋_GB2312" w:eastAsia="仿宋_GB2312" w:cs="仿宋_GB2312"/>
                <w:color w:val="000000"/>
                <w:kern w:val="2"/>
                <w:sz w:val="24"/>
                <w:szCs w:val="24"/>
                <w:lang w:val="en-US" w:eastAsia="zh-CN" w:bidi="ar-SA"/>
              </w:rPr>
              <w:t>(5分）</w:t>
            </w:r>
            <w:bookmarkEnd w:id="542"/>
            <w:bookmarkEnd w:id="543"/>
            <w:bookmarkEnd w:id="544"/>
            <w:bookmarkEnd w:id="545"/>
          </w:p>
        </w:tc>
        <w:tc>
          <w:tcPr>
            <w:tcW w:w="7104" w:type="dxa"/>
            <w:vAlign w:val="center"/>
          </w:tcPr>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仿宋_GB2312" w:hAnsi="仿宋_GB2312" w:eastAsia="仿宋_GB2312" w:cs="仿宋_GB2312"/>
                <w:color w:val="000000"/>
                <w:kern w:val="2"/>
                <w:sz w:val="24"/>
                <w:szCs w:val="24"/>
                <w:lang w:val="en-US" w:eastAsia="zh-CN" w:bidi="ar-SA"/>
              </w:rPr>
            </w:pPr>
            <w:bookmarkStart w:id="546" w:name="_Toc26239"/>
            <w:bookmarkStart w:id="547" w:name="_Toc29723"/>
            <w:bookmarkStart w:id="548" w:name="_Toc10980"/>
            <w:bookmarkStart w:id="549" w:name="_Toc19531"/>
            <w:r>
              <w:rPr>
                <w:rFonts w:hint="eastAsia" w:ascii="仿宋_GB2312" w:hAnsi="仿宋_GB2312" w:eastAsia="仿宋_GB2312" w:cs="仿宋_GB2312"/>
                <w:color w:val="000000"/>
                <w:kern w:val="2"/>
                <w:sz w:val="24"/>
                <w:szCs w:val="24"/>
                <w:lang w:val="en-US" w:eastAsia="zh-CN" w:bidi="ar-SA"/>
              </w:rPr>
              <w:t>(1) 人员伤亡：可能发生人员伤亡数量达到《生产安全事故报告和调查处理条例》中重大事故 伤亡标准；</w:t>
            </w:r>
            <w:bookmarkEnd w:id="546"/>
            <w:bookmarkEnd w:id="547"/>
            <w:bookmarkEnd w:id="548"/>
            <w:bookmarkEnd w:id="549"/>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仿宋_GB2312" w:hAnsi="仿宋_GB2312" w:eastAsia="仿宋_GB2312" w:cs="仿宋_GB2312"/>
                <w:color w:val="000000"/>
                <w:kern w:val="2"/>
                <w:sz w:val="24"/>
                <w:szCs w:val="24"/>
                <w:lang w:val="en-US" w:eastAsia="zh-CN" w:bidi="ar-SA"/>
              </w:rPr>
            </w:pPr>
            <w:bookmarkStart w:id="550" w:name="_Toc2678"/>
            <w:bookmarkStart w:id="551" w:name="_Toc23758"/>
            <w:bookmarkStart w:id="552" w:name="_Toc29955"/>
            <w:bookmarkStart w:id="553" w:name="_Toc14924"/>
            <w:r>
              <w:rPr>
                <w:rFonts w:hint="eastAsia" w:ascii="仿宋_GB2312" w:hAnsi="仿宋_GB2312" w:eastAsia="仿宋_GB2312" w:cs="仿宋_GB2312"/>
                <w:color w:val="000000"/>
                <w:kern w:val="2"/>
                <w:sz w:val="24"/>
                <w:szCs w:val="24"/>
                <w:lang w:val="en-US" w:eastAsia="zh-CN" w:bidi="ar-SA"/>
              </w:rPr>
              <w:t>(2) 经济损失：可能发生经济损失达到《生产安全事故报告和调查处理条例》中重大事故经济 损失标准；</w:t>
            </w:r>
            <w:bookmarkEnd w:id="550"/>
            <w:bookmarkEnd w:id="551"/>
            <w:bookmarkEnd w:id="552"/>
            <w:bookmarkEnd w:id="553"/>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仿宋_GB2312" w:hAnsi="仿宋_GB2312" w:eastAsia="仿宋_GB2312" w:cs="仿宋_GB2312"/>
                <w:color w:val="000000"/>
                <w:kern w:val="2"/>
                <w:sz w:val="24"/>
                <w:szCs w:val="24"/>
                <w:lang w:val="en-US" w:eastAsia="zh-CN" w:bidi="ar-SA"/>
              </w:rPr>
            </w:pPr>
            <w:bookmarkStart w:id="554" w:name="_Toc27421"/>
            <w:bookmarkStart w:id="555" w:name="_Toc14854"/>
            <w:bookmarkStart w:id="556" w:name="_Toc5697"/>
            <w:bookmarkStart w:id="557" w:name="_Toc4021"/>
            <w:r>
              <w:rPr>
                <w:rFonts w:hint="eastAsia" w:ascii="仿宋_GB2312" w:hAnsi="仿宋_GB2312" w:eastAsia="仿宋_GB2312" w:cs="仿宋_GB2312"/>
                <w:color w:val="000000"/>
                <w:kern w:val="2"/>
                <w:sz w:val="24"/>
                <w:szCs w:val="24"/>
                <w:lang w:val="en-US" w:eastAsia="zh-CN" w:bidi="ar-SA"/>
              </w:rPr>
              <w:t>(3) 环境污染：可能造成重大生态环境灾害或公共卫生事件，或达到《国家突发环境事件应急 预案》中重大突发环境事件标准的；</w:t>
            </w:r>
            <w:bookmarkEnd w:id="554"/>
            <w:bookmarkEnd w:id="555"/>
            <w:bookmarkEnd w:id="556"/>
            <w:bookmarkEnd w:id="557"/>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仿宋_GB2312" w:hAnsi="仿宋_GB2312" w:eastAsia="仿宋_GB2312" w:cs="仿宋_GB2312"/>
                <w:color w:val="000000"/>
                <w:kern w:val="2"/>
                <w:sz w:val="24"/>
                <w:szCs w:val="24"/>
                <w:lang w:val="en-US" w:eastAsia="zh-CN" w:bidi="ar-SA"/>
              </w:rPr>
            </w:pPr>
            <w:bookmarkStart w:id="558" w:name="_Toc14568"/>
            <w:bookmarkStart w:id="559" w:name="_Toc9087"/>
            <w:bookmarkStart w:id="560" w:name="_Toc5493"/>
            <w:bookmarkStart w:id="561" w:name="_Toc448"/>
            <w:r>
              <w:rPr>
                <w:rFonts w:hint="eastAsia" w:ascii="仿宋_GB2312" w:hAnsi="仿宋_GB2312" w:eastAsia="仿宋_GB2312" w:cs="仿宋_GB2312"/>
                <w:color w:val="000000"/>
                <w:kern w:val="2"/>
                <w:sz w:val="24"/>
                <w:szCs w:val="24"/>
                <w:lang w:val="en-US" w:eastAsia="zh-CN" w:bidi="ar-SA"/>
              </w:rPr>
              <w:t>(4) 社会影响：可能对国家或区域的社会、经济、外交、军事、政治等产生重大影响。</w:t>
            </w:r>
            <w:bookmarkEnd w:id="558"/>
            <w:bookmarkEnd w:id="559"/>
            <w:bookmarkEnd w:id="560"/>
            <w:bookmarkEnd w:id="561"/>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3" w:hRule="exact"/>
        </w:trPr>
        <w:tc>
          <w:tcPr>
            <w:tcW w:w="1795" w:type="dxa"/>
            <w:vAlign w:val="top"/>
          </w:tcPr>
          <w:p>
            <w:pPr>
              <w:keepNext w:val="0"/>
              <w:keepLines w:val="0"/>
              <w:pageBreakBefore w:val="0"/>
              <w:widowControl/>
              <w:kinsoku/>
              <w:wordWrap/>
              <w:overflowPunct/>
              <w:topLinePunct w:val="0"/>
              <w:autoSpaceDE/>
              <w:autoSpaceDN/>
              <w:bidi w:val="0"/>
              <w:spacing w:line="560" w:lineRule="exact"/>
              <w:jc w:val="center"/>
              <w:textAlignment w:val="auto"/>
              <w:outlineLvl w:val="1"/>
              <w:rPr>
                <w:rFonts w:hint="eastAsia" w:ascii="仿宋_GB2312" w:hAnsi="仿宋_GB2312" w:eastAsia="仿宋_GB2312" w:cs="仿宋_GB2312"/>
                <w:color w:val="000000"/>
                <w:kern w:val="2"/>
                <w:sz w:val="24"/>
                <w:szCs w:val="24"/>
                <w:lang w:val="en-US" w:eastAsia="zh-CN" w:bidi="ar-SA"/>
              </w:rPr>
            </w:pPr>
          </w:p>
          <w:p>
            <w:pPr>
              <w:keepNext w:val="0"/>
              <w:keepLines w:val="0"/>
              <w:pageBreakBefore w:val="0"/>
              <w:widowControl/>
              <w:kinsoku/>
              <w:wordWrap/>
              <w:overflowPunct/>
              <w:topLinePunct w:val="0"/>
              <w:autoSpaceDE/>
              <w:autoSpaceDN/>
              <w:bidi w:val="0"/>
              <w:spacing w:line="560" w:lineRule="exact"/>
              <w:jc w:val="center"/>
              <w:textAlignment w:val="auto"/>
              <w:outlineLvl w:val="1"/>
              <w:rPr>
                <w:rFonts w:hint="eastAsia" w:ascii="仿宋_GB2312" w:hAnsi="仿宋_GB2312" w:eastAsia="仿宋_GB2312" w:cs="仿宋_GB2312"/>
                <w:color w:val="000000"/>
                <w:kern w:val="2"/>
                <w:sz w:val="24"/>
                <w:szCs w:val="24"/>
                <w:lang w:val="en-US" w:eastAsia="zh-CN" w:bidi="ar-SA"/>
              </w:rPr>
            </w:pPr>
            <w:bookmarkStart w:id="562" w:name="_Toc12292"/>
            <w:bookmarkStart w:id="563" w:name="_Toc22726"/>
            <w:bookmarkStart w:id="564" w:name="_Toc17059"/>
            <w:bookmarkStart w:id="565" w:name="_Toc28720"/>
            <w:r>
              <w:rPr>
                <w:rFonts w:hint="eastAsia" w:ascii="仿宋_GB2312" w:hAnsi="仿宋_GB2312" w:eastAsia="仿宋_GB2312" w:cs="仿宋_GB2312"/>
                <w:color w:val="000000"/>
                <w:kern w:val="2"/>
                <w:sz w:val="24"/>
                <w:szCs w:val="24"/>
                <w:lang w:val="en-US" w:eastAsia="zh-CN" w:bidi="ar-SA"/>
              </w:rPr>
              <w:t>较严重</w:t>
            </w:r>
            <w:bookmarkEnd w:id="562"/>
            <w:bookmarkEnd w:id="563"/>
            <w:bookmarkEnd w:id="564"/>
            <w:bookmarkEnd w:id="565"/>
          </w:p>
          <w:p>
            <w:pPr>
              <w:keepNext w:val="0"/>
              <w:keepLines w:val="0"/>
              <w:pageBreakBefore w:val="0"/>
              <w:widowControl/>
              <w:kinsoku/>
              <w:wordWrap/>
              <w:overflowPunct/>
              <w:topLinePunct w:val="0"/>
              <w:autoSpaceDE/>
              <w:autoSpaceDN/>
              <w:bidi w:val="0"/>
              <w:spacing w:line="560" w:lineRule="exact"/>
              <w:jc w:val="center"/>
              <w:textAlignment w:val="auto"/>
              <w:outlineLvl w:val="1"/>
              <w:rPr>
                <w:rFonts w:hint="eastAsia" w:ascii="仿宋_GB2312" w:hAnsi="仿宋_GB2312" w:eastAsia="仿宋_GB2312" w:cs="仿宋_GB2312"/>
                <w:color w:val="000000"/>
                <w:kern w:val="2"/>
                <w:sz w:val="24"/>
                <w:szCs w:val="24"/>
                <w:lang w:val="en-US" w:eastAsia="zh-CN" w:bidi="ar-SA"/>
              </w:rPr>
            </w:pPr>
            <w:bookmarkStart w:id="566" w:name="_Toc29290"/>
            <w:bookmarkStart w:id="567" w:name="_Toc15073"/>
            <w:bookmarkStart w:id="568" w:name="_Toc5506"/>
            <w:bookmarkStart w:id="569" w:name="_Toc8431"/>
            <w:r>
              <w:rPr>
                <w:rFonts w:hint="eastAsia" w:ascii="仿宋_GB2312" w:hAnsi="仿宋_GB2312" w:eastAsia="仿宋_GB2312" w:cs="仿宋_GB2312"/>
                <w:color w:val="000000"/>
                <w:kern w:val="2"/>
                <w:sz w:val="24"/>
                <w:szCs w:val="24"/>
                <w:lang w:val="en-US" w:eastAsia="zh-CN" w:bidi="ar-SA"/>
              </w:rPr>
              <w:t>(2分）</w:t>
            </w:r>
            <w:bookmarkEnd w:id="566"/>
            <w:bookmarkEnd w:id="567"/>
            <w:bookmarkEnd w:id="568"/>
            <w:bookmarkEnd w:id="569"/>
          </w:p>
        </w:tc>
        <w:tc>
          <w:tcPr>
            <w:tcW w:w="7104" w:type="dxa"/>
            <w:vAlign w:val="center"/>
          </w:tcPr>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仿宋_GB2312" w:hAnsi="仿宋_GB2312" w:eastAsia="仿宋_GB2312" w:cs="仿宋_GB2312"/>
                <w:color w:val="000000"/>
                <w:kern w:val="2"/>
                <w:sz w:val="24"/>
                <w:szCs w:val="24"/>
                <w:lang w:val="en-US" w:eastAsia="zh-CN" w:bidi="ar-SA"/>
              </w:rPr>
            </w:pPr>
            <w:bookmarkStart w:id="570" w:name="_Toc22034"/>
            <w:bookmarkStart w:id="571" w:name="_Toc21697"/>
            <w:bookmarkStart w:id="572" w:name="_Toc8873"/>
            <w:bookmarkStart w:id="573" w:name="_Toc20289"/>
            <w:r>
              <w:rPr>
                <w:rFonts w:hint="eastAsia" w:ascii="仿宋_GB2312" w:hAnsi="仿宋_GB2312" w:eastAsia="仿宋_GB2312" w:cs="仿宋_GB2312"/>
                <w:color w:val="000000"/>
                <w:kern w:val="2"/>
                <w:sz w:val="24"/>
                <w:szCs w:val="24"/>
                <w:lang w:val="en-US" w:eastAsia="zh-CN" w:bidi="ar-SA"/>
              </w:rPr>
              <w:t>(1) 人员伤亡：可能发生人员伤亡数量达到《生产安全事故报告和调查处理条例》中较大事故 伤亡标准；</w:t>
            </w:r>
            <w:bookmarkEnd w:id="570"/>
            <w:bookmarkEnd w:id="571"/>
            <w:bookmarkEnd w:id="572"/>
            <w:bookmarkEnd w:id="573"/>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仿宋_GB2312" w:hAnsi="仿宋_GB2312" w:eastAsia="仿宋_GB2312" w:cs="仿宋_GB2312"/>
                <w:color w:val="000000"/>
                <w:kern w:val="2"/>
                <w:sz w:val="24"/>
                <w:szCs w:val="24"/>
                <w:lang w:val="en-US" w:eastAsia="zh-CN" w:bidi="ar-SA"/>
              </w:rPr>
            </w:pPr>
            <w:bookmarkStart w:id="574" w:name="_Toc18263"/>
            <w:bookmarkStart w:id="575" w:name="_Toc9576"/>
            <w:bookmarkStart w:id="576" w:name="_Toc27278"/>
            <w:bookmarkStart w:id="577" w:name="_Toc17236"/>
            <w:r>
              <w:rPr>
                <w:rFonts w:hint="eastAsia" w:ascii="仿宋_GB2312" w:hAnsi="仿宋_GB2312" w:eastAsia="仿宋_GB2312" w:cs="仿宋_GB2312"/>
                <w:color w:val="000000"/>
                <w:kern w:val="2"/>
                <w:sz w:val="24"/>
                <w:szCs w:val="24"/>
                <w:lang w:val="en-US" w:eastAsia="zh-CN" w:bidi="ar-SA"/>
              </w:rPr>
              <w:t>(2) 经济损失：可能发生经济损失达到《生产安全事故报告和调查处理条例》中较大事故经济 损失标准；</w:t>
            </w:r>
            <w:bookmarkEnd w:id="574"/>
            <w:bookmarkEnd w:id="575"/>
            <w:bookmarkEnd w:id="576"/>
            <w:bookmarkEnd w:id="577"/>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仿宋_GB2312" w:hAnsi="仿宋_GB2312" w:eastAsia="仿宋_GB2312" w:cs="仿宋_GB2312"/>
                <w:color w:val="000000"/>
                <w:kern w:val="2"/>
                <w:sz w:val="24"/>
                <w:szCs w:val="24"/>
                <w:lang w:val="en-US" w:eastAsia="zh-CN" w:bidi="ar-SA"/>
              </w:rPr>
            </w:pPr>
            <w:bookmarkStart w:id="578" w:name="_Toc12079"/>
            <w:bookmarkStart w:id="579" w:name="_Toc22553"/>
            <w:bookmarkStart w:id="580" w:name="_Toc26582"/>
            <w:bookmarkStart w:id="581" w:name="_Toc32574"/>
            <w:r>
              <w:rPr>
                <w:rFonts w:hint="eastAsia" w:ascii="仿宋_GB2312" w:hAnsi="仿宋_GB2312" w:eastAsia="仿宋_GB2312" w:cs="仿宋_GB2312"/>
                <w:color w:val="000000"/>
                <w:kern w:val="2"/>
                <w:sz w:val="24"/>
                <w:szCs w:val="24"/>
                <w:lang w:val="en-US" w:eastAsia="zh-CN" w:bidi="ar-SA"/>
              </w:rPr>
              <w:t>(3) 环境污染：可能造成较大生态环境灾害或公共卫生事件，或达到《国家突发环境事件应急 预案》中较大突发环境事件标准的；</w:t>
            </w:r>
            <w:bookmarkEnd w:id="578"/>
            <w:bookmarkEnd w:id="579"/>
            <w:bookmarkEnd w:id="580"/>
            <w:bookmarkEnd w:id="581"/>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ascii="宋体" w:hAnsi="宋体" w:eastAsia="宋体" w:cs="宋体"/>
                <w:sz w:val="28"/>
                <w:szCs w:val="28"/>
              </w:rPr>
            </w:pPr>
            <w:bookmarkStart w:id="582" w:name="_Toc21267"/>
            <w:bookmarkStart w:id="583" w:name="_Toc16413"/>
            <w:bookmarkStart w:id="584" w:name="_Toc2572"/>
            <w:bookmarkStart w:id="585" w:name="_Toc28769"/>
            <w:r>
              <w:rPr>
                <w:rFonts w:hint="eastAsia" w:ascii="仿宋_GB2312" w:hAnsi="仿宋_GB2312" w:eastAsia="仿宋_GB2312" w:cs="仿宋_GB2312"/>
                <w:color w:val="000000"/>
                <w:kern w:val="2"/>
                <w:sz w:val="24"/>
                <w:szCs w:val="24"/>
                <w:lang w:val="en-US" w:eastAsia="zh-CN" w:bidi="ar-SA"/>
              </w:rPr>
              <w:t>(4) 社会影响：可能对国家或区域的社会、经济、外交、军事、政治等产生较大影响。</w:t>
            </w:r>
            <w:bookmarkEnd w:id="582"/>
            <w:bookmarkEnd w:id="583"/>
            <w:bookmarkEnd w:id="584"/>
            <w:bookmarkEnd w:id="585"/>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0" w:hRule="exact"/>
        </w:trPr>
        <w:tc>
          <w:tcPr>
            <w:tcW w:w="1795" w:type="dxa"/>
            <w:vAlign w:val="top"/>
          </w:tcPr>
          <w:p>
            <w:pPr>
              <w:keepNext w:val="0"/>
              <w:keepLines w:val="0"/>
              <w:pageBreakBefore w:val="0"/>
              <w:widowControl/>
              <w:kinsoku/>
              <w:wordWrap/>
              <w:overflowPunct/>
              <w:topLinePunct w:val="0"/>
              <w:autoSpaceDE/>
              <w:autoSpaceDN/>
              <w:bidi w:val="0"/>
              <w:spacing w:line="560" w:lineRule="exact"/>
              <w:jc w:val="center"/>
              <w:textAlignment w:val="auto"/>
              <w:outlineLvl w:val="1"/>
              <w:rPr>
                <w:rFonts w:hint="eastAsia" w:ascii="仿宋_GB2312" w:hAnsi="仿宋_GB2312" w:eastAsia="仿宋_GB2312" w:cs="仿宋_GB2312"/>
                <w:color w:val="000000"/>
                <w:kern w:val="2"/>
                <w:sz w:val="24"/>
                <w:szCs w:val="24"/>
                <w:lang w:val="en-US" w:eastAsia="zh-CN" w:bidi="ar-SA"/>
              </w:rPr>
            </w:pPr>
          </w:p>
          <w:p>
            <w:pPr>
              <w:keepNext w:val="0"/>
              <w:keepLines w:val="0"/>
              <w:pageBreakBefore w:val="0"/>
              <w:widowControl/>
              <w:kinsoku/>
              <w:wordWrap/>
              <w:overflowPunct/>
              <w:topLinePunct w:val="0"/>
              <w:autoSpaceDE/>
              <w:autoSpaceDN/>
              <w:bidi w:val="0"/>
              <w:spacing w:line="560" w:lineRule="exact"/>
              <w:jc w:val="center"/>
              <w:textAlignment w:val="auto"/>
              <w:outlineLvl w:val="1"/>
              <w:rPr>
                <w:rFonts w:hint="eastAsia" w:ascii="仿宋_GB2312" w:hAnsi="仿宋_GB2312" w:eastAsia="仿宋_GB2312" w:cs="仿宋_GB2312"/>
                <w:color w:val="000000"/>
                <w:kern w:val="2"/>
                <w:sz w:val="24"/>
                <w:szCs w:val="24"/>
                <w:lang w:val="en-US" w:eastAsia="zh-CN" w:bidi="ar-SA"/>
              </w:rPr>
            </w:pPr>
            <w:bookmarkStart w:id="586" w:name="_Toc32356"/>
            <w:bookmarkStart w:id="587" w:name="_Toc18667"/>
            <w:bookmarkStart w:id="588" w:name="_Toc31741"/>
            <w:bookmarkStart w:id="589" w:name="_Toc4666"/>
            <w:r>
              <w:rPr>
                <w:rFonts w:hint="eastAsia" w:ascii="仿宋_GB2312" w:hAnsi="仿宋_GB2312" w:eastAsia="仿宋_GB2312" w:cs="仿宋_GB2312"/>
                <w:color w:val="000000"/>
                <w:kern w:val="2"/>
                <w:sz w:val="24"/>
                <w:szCs w:val="24"/>
                <w:lang w:val="en-US" w:eastAsia="zh-CN" w:bidi="ar-SA"/>
              </w:rPr>
              <w:t>不严重</w:t>
            </w:r>
            <w:bookmarkEnd w:id="586"/>
            <w:bookmarkEnd w:id="587"/>
            <w:bookmarkEnd w:id="588"/>
            <w:bookmarkEnd w:id="589"/>
          </w:p>
          <w:p>
            <w:pPr>
              <w:keepNext w:val="0"/>
              <w:keepLines w:val="0"/>
              <w:pageBreakBefore w:val="0"/>
              <w:widowControl/>
              <w:kinsoku/>
              <w:wordWrap/>
              <w:overflowPunct/>
              <w:topLinePunct w:val="0"/>
              <w:autoSpaceDE/>
              <w:autoSpaceDN/>
              <w:bidi w:val="0"/>
              <w:spacing w:line="560" w:lineRule="exact"/>
              <w:jc w:val="center"/>
              <w:textAlignment w:val="auto"/>
              <w:outlineLvl w:val="1"/>
              <w:rPr>
                <w:rFonts w:hint="eastAsia" w:ascii="仿宋_GB2312" w:hAnsi="仿宋_GB2312" w:eastAsia="仿宋_GB2312" w:cs="仿宋_GB2312"/>
                <w:color w:val="000000"/>
                <w:kern w:val="2"/>
                <w:sz w:val="24"/>
                <w:szCs w:val="24"/>
                <w:lang w:val="en-US" w:eastAsia="zh-CN" w:bidi="ar-SA"/>
              </w:rPr>
            </w:pPr>
            <w:bookmarkStart w:id="590" w:name="_Toc30423"/>
            <w:bookmarkStart w:id="591" w:name="_Toc13889"/>
            <w:bookmarkStart w:id="592" w:name="_Toc10124"/>
            <w:bookmarkStart w:id="593" w:name="_Toc12767"/>
            <w:r>
              <w:rPr>
                <w:rFonts w:hint="eastAsia" w:ascii="仿宋_GB2312" w:hAnsi="仿宋_GB2312" w:eastAsia="仿宋_GB2312" w:cs="仿宋_GB2312"/>
                <w:color w:val="000000"/>
                <w:kern w:val="2"/>
                <w:sz w:val="24"/>
                <w:szCs w:val="24"/>
                <w:lang w:val="en-US" w:eastAsia="zh-CN" w:bidi="ar-SA"/>
              </w:rPr>
              <w:t>(1分）</w:t>
            </w:r>
            <w:bookmarkEnd w:id="590"/>
            <w:bookmarkEnd w:id="591"/>
            <w:bookmarkEnd w:id="592"/>
            <w:bookmarkEnd w:id="593"/>
          </w:p>
        </w:tc>
        <w:tc>
          <w:tcPr>
            <w:tcW w:w="7104" w:type="dxa"/>
            <w:vAlign w:val="center"/>
          </w:tcPr>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仿宋_GB2312" w:hAnsi="仿宋_GB2312" w:eastAsia="仿宋_GB2312" w:cs="仿宋_GB2312"/>
                <w:color w:val="000000"/>
                <w:kern w:val="2"/>
                <w:sz w:val="24"/>
                <w:szCs w:val="24"/>
                <w:lang w:val="en-US" w:eastAsia="zh-CN" w:bidi="ar-SA"/>
              </w:rPr>
            </w:pPr>
            <w:bookmarkStart w:id="594" w:name="_Toc16789"/>
            <w:bookmarkStart w:id="595" w:name="_Toc20510"/>
            <w:bookmarkStart w:id="596" w:name="_Toc20123"/>
            <w:bookmarkStart w:id="597" w:name="_Toc18832"/>
            <w:r>
              <w:rPr>
                <w:rFonts w:hint="eastAsia" w:ascii="仿宋_GB2312" w:hAnsi="仿宋_GB2312" w:eastAsia="仿宋_GB2312" w:cs="仿宋_GB2312"/>
                <w:color w:val="000000"/>
                <w:kern w:val="2"/>
                <w:sz w:val="24"/>
                <w:szCs w:val="24"/>
                <w:lang w:val="en-US" w:eastAsia="zh-CN" w:bidi="ar-SA"/>
              </w:rPr>
              <w:t>(1) 人员伤亡：可能发生人员伤亡数量达到《生产安全事故报告和调查处理条例》中一般事故伤亡标准；</w:t>
            </w:r>
            <w:bookmarkEnd w:id="594"/>
            <w:bookmarkEnd w:id="595"/>
            <w:bookmarkEnd w:id="596"/>
            <w:bookmarkEnd w:id="597"/>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仿宋_GB2312" w:hAnsi="仿宋_GB2312" w:eastAsia="仿宋_GB2312" w:cs="仿宋_GB2312"/>
                <w:color w:val="000000"/>
                <w:kern w:val="2"/>
                <w:sz w:val="24"/>
                <w:szCs w:val="24"/>
                <w:lang w:val="en-US" w:eastAsia="zh-CN" w:bidi="ar-SA"/>
              </w:rPr>
            </w:pPr>
            <w:bookmarkStart w:id="598" w:name="_Toc23399"/>
            <w:bookmarkStart w:id="599" w:name="_Toc17993"/>
            <w:bookmarkStart w:id="600" w:name="_Toc18618"/>
            <w:bookmarkStart w:id="601" w:name="_Toc16625"/>
            <w:r>
              <w:rPr>
                <w:rFonts w:hint="eastAsia" w:ascii="仿宋_GB2312" w:hAnsi="仿宋_GB2312" w:eastAsia="仿宋_GB2312" w:cs="仿宋_GB2312"/>
                <w:color w:val="000000"/>
                <w:kern w:val="2"/>
                <w:sz w:val="24"/>
                <w:szCs w:val="24"/>
                <w:lang w:val="en-US" w:eastAsia="zh-CN" w:bidi="ar-SA"/>
              </w:rPr>
              <w:t>(2) 经济损失：可能发生经济损失达到《生产安全事故报告和调查处理条例》中一般事故经济损失标准；</w:t>
            </w:r>
            <w:bookmarkEnd w:id="598"/>
            <w:bookmarkEnd w:id="599"/>
            <w:bookmarkEnd w:id="600"/>
            <w:bookmarkEnd w:id="601"/>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ascii="宋体" w:hAnsi="宋体" w:eastAsia="宋体" w:cs="宋体"/>
                <w:sz w:val="28"/>
                <w:szCs w:val="28"/>
              </w:rPr>
            </w:pPr>
            <w:bookmarkStart w:id="602" w:name="_Toc14239"/>
            <w:bookmarkStart w:id="603" w:name="_Toc28823"/>
            <w:bookmarkStart w:id="604" w:name="_Toc9419"/>
            <w:bookmarkStart w:id="605" w:name="_Toc27586"/>
            <w:r>
              <w:rPr>
                <w:rFonts w:hint="eastAsia" w:ascii="仿宋_GB2312" w:hAnsi="仿宋_GB2312" w:eastAsia="仿宋_GB2312" w:cs="仿宋_GB2312"/>
                <w:color w:val="000000"/>
                <w:kern w:val="2"/>
                <w:sz w:val="24"/>
                <w:szCs w:val="24"/>
                <w:lang w:val="en-US" w:eastAsia="zh-CN" w:bidi="ar-SA"/>
              </w:rPr>
              <w:t>(3) 环境污染：可能造成一般生态环境灾害或公共卫生事件，或达到响：可能对国家或区域的社会、经济、外交、军事、政治等产生较小影响。</w:t>
            </w:r>
            <w:bookmarkEnd w:id="602"/>
            <w:bookmarkEnd w:id="603"/>
            <w:bookmarkEnd w:id="604"/>
            <w:bookmarkEnd w:id="605"/>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7" w:hRule="atLeast"/>
        </w:trPr>
        <w:tc>
          <w:tcPr>
            <w:tcW w:w="8899" w:type="dxa"/>
            <w:gridSpan w:val="2"/>
            <w:vAlign w:val="top"/>
          </w:tcPr>
          <w:p>
            <w:pPr>
              <w:spacing w:before="99" w:line="231" w:lineRule="auto"/>
              <w:ind w:left="120"/>
              <w:rPr>
                <w:rFonts w:ascii="宋体" w:hAnsi="宋体" w:eastAsia="宋体" w:cs="宋体"/>
                <w:spacing w:val="22"/>
                <w:sz w:val="20"/>
                <w:szCs w:val="20"/>
              </w:rPr>
            </w:pPr>
            <w:r>
              <w:rPr>
                <w:rFonts w:hint="eastAsia" w:ascii="仿宋_GB2312" w:hAnsi="仿宋_GB2312" w:eastAsia="仿宋_GB2312" w:cs="仿宋_GB2312"/>
                <w:color w:val="000000"/>
                <w:kern w:val="2"/>
                <w:sz w:val="24"/>
                <w:szCs w:val="24"/>
                <w:lang w:val="en-US" w:eastAsia="zh-CN" w:bidi="ar-SA"/>
              </w:rPr>
              <w:t>注：表中同一等级的不同后果之间为“或”关系，即满足条件之一即可。括号中为取值分数。</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pPr>
    </w:p>
    <w:p>
      <w:pPr>
        <w:pStyle w:val="5"/>
        <w:keepNext w:val="0"/>
        <w:keepLines w:val="0"/>
        <w:pageBreakBefore w:val="0"/>
        <w:widowControl w:val="0"/>
        <w:kinsoku/>
        <w:wordWrap/>
        <w:overflowPunct/>
        <w:topLinePunct w:val="0"/>
        <w:bidi w:val="0"/>
        <w:adjustRightInd/>
        <w:snapToGrid/>
        <w:spacing w:before="0" w:after="0" w:line="560" w:lineRule="exact"/>
        <w:ind w:firstLine="640" w:firstLineChars="200"/>
        <w:textAlignment w:val="auto"/>
        <w:outlineLvl w:val="2"/>
        <w:rPr>
          <w:rFonts w:hint="eastAsia" w:ascii="仿宋_GB2312" w:hAnsi="仿宋_GB2312" w:eastAsia="仿宋_GB2312" w:cs="仿宋_GB2312"/>
          <w:b w:val="0"/>
          <w:bCs w:val="0"/>
          <w:kern w:val="2"/>
          <w:sz w:val="32"/>
          <w:szCs w:val="32"/>
          <w:lang w:val="en-US" w:eastAsia="zh-CN" w:bidi="ar-SA"/>
        </w:rPr>
      </w:pPr>
      <w:bookmarkStart w:id="606" w:name="_Toc27878"/>
      <w:r>
        <w:rPr>
          <w:rFonts w:hint="eastAsia" w:ascii="仿宋_GB2312" w:hAnsi="仿宋_GB2312" w:eastAsia="仿宋_GB2312" w:cs="仿宋_GB2312"/>
          <w:b w:val="0"/>
          <w:bCs w:val="0"/>
          <w:kern w:val="2"/>
          <w:sz w:val="32"/>
          <w:szCs w:val="32"/>
          <w:lang w:val="en-US" w:eastAsia="zh-CN" w:bidi="ar-SA"/>
        </w:rPr>
        <w:t>3.1.1  风险等级评估</w:t>
      </w:r>
      <w:bookmarkEnd w:id="606"/>
    </w:p>
    <w:p>
      <w:pPr>
        <w:pStyle w:val="5"/>
        <w:keepNext w:val="0"/>
        <w:keepLines w:val="0"/>
        <w:pageBreakBefore w:val="0"/>
        <w:widowControl w:val="0"/>
        <w:kinsoku/>
        <w:wordWrap/>
        <w:overflowPunct/>
        <w:topLinePunct w:val="0"/>
        <w:bidi w:val="0"/>
        <w:adjustRightInd/>
        <w:snapToGrid/>
        <w:spacing w:before="0" w:after="0" w:line="560" w:lineRule="exact"/>
        <w:ind w:firstLine="640" w:firstLineChars="200"/>
        <w:textAlignment w:val="auto"/>
        <w:outlineLvl w:val="0"/>
        <w:rPr>
          <w:rFonts w:hint="eastAsia" w:ascii="仿宋_GB2312" w:hAnsi="仿宋_GB2312" w:eastAsia="仿宋_GB2312" w:cs="仿宋_GB2312"/>
          <w:b w:val="0"/>
          <w:bCs w:val="0"/>
          <w:kern w:val="2"/>
          <w:sz w:val="32"/>
          <w:szCs w:val="32"/>
          <w:lang w:val="en-US" w:eastAsia="zh-CN" w:bidi="ar-SA"/>
        </w:rPr>
      </w:pPr>
      <w:bookmarkStart w:id="607" w:name="_Toc22759"/>
      <w:bookmarkStart w:id="608" w:name="_Toc17223"/>
      <w:bookmarkStart w:id="609" w:name="_Toc13239"/>
      <w:bookmarkStart w:id="610" w:name="_Toc2732"/>
      <w:r>
        <w:rPr>
          <w:rFonts w:hint="eastAsia" w:ascii="仿宋_GB2312" w:hAnsi="仿宋_GB2312" w:eastAsia="仿宋_GB2312" w:cs="仿宋_GB2312"/>
          <w:b w:val="0"/>
          <w:bCs w:val="0"/>
          <w:kern w:val="2"/>
          <w:sz w:val="32"/>
          <w:szCs w:val="32"/>
          <w:lang w:val="en-US" w:eastAsia="zh-CN" w:bidi="ar-SA"/>
        </w:rPr>
        <w:t>3.1.1.1 可能性评估</w:t>
      </w:r>
      <w:bookmarkEnd w:id="607"/>
      <w:bookmarkEnd w:id="608"/>
      <w:bookmarkEnd w:id="609"/>
      <w:bookmarkEnd w:id="610"/>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 建立事故可能性评估指标</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kern w:val="2"/>
          <w:sz w:val="32"/>
          <w:szCs w:val="32"/>
          <w:lang w:val="en-US" w:eastAsia="zh-CN" w:bidi="ar-SA"/>
        </w:rPr>
        <w:t>建立本县交通运输可能性评估指标，主要致险因素从线路、设备、从业人员、管理制度、运营现状5个方面着手，按百分制进行风险评估，其中线路10分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车辆20分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从业人员30分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管理制度20分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运营现状20分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满分总计100分。</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具体单项评估指标扣分分值见表</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spacing w:line="560" w:lineRule="exact"/>
        <w:ind w:firstLine="1687" w:firstLineChars="600"/>
        <w:textAlignment w:val="auto"/>
        <w:rPr>
          <w:rFonts w:ascii="Arial"/>
          <w:b/>
          <w:bCs/>
          <w:sz w:val="28"/>
          <w:szCs w:val="28"/>
        </w:rPr>
      </w:pPr>
      <w:r>
        <w:rPr>
          <w:rFonts w:hint="eastAsia" w:ascii="仿宋_GB2312" w:hAnsi="仿宋_GB2312" w:eastAsia="仿宋_GB2312" w:cs="仿宋_GB2312"/>
          <w:b/>
          <w:bCs/>
          <w:sz w:val="28"/>
          <w:szCs w:val="28"/>
        </w:rPr>
        <w:t>表</w:t>
      </w:r>
      <w:r>
        <w:rPr>
          <w:rFonts w:hint="eastAsia" w:ascii="仿宋_GB2312" w:hAnsi="仿宋_GB2312" w:eastAsia="仿宋_GB2312" w:cs="仿宋_GB2312"/>
          <w:b/>
          <w:bCs/>
          <w:sz w:val="28"/>
          <w:szCs w:val="28"/>
          <w:lang w:val="en-US" w:eastAsia="zh-CN"/>
        </w:rPr>
        <w:t>3-3</w:t>
      </w:r>
      <w:r>
        <w:rPr>
          <w:rFonts w:hint="eastAsia" w:ascii="仿宋_GB2312" w:hAnsi="仿宋_GB2312" w:eastAsia="仿宋_GB2312" w:cs="仿宋_GB2312"/>
          <w:b/>
          <w:bCs/>
          <w:sz w:val="28"/>
          <w:szCs w:val="28"/>
        </w:rPr>
        <w:t xml:space="preserve">  碰撞事故可能性评估指标体系</w:t>
      </w:r>
    </w:p>
    <w:tbl>
      <w:tblPr>
        <w:tblStyle w:val="33"/>
        <w:tblW w:w="95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8"/>
        <w:gridCol w:w="1767"/>
        <w:gridCol w:w="3912"/>
        <w:gridCol w:w="774"/>
        <w:gridCol w:w="19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138" w:type="dxa"/>
            <w:vAlign w:val="top"/>
          </w:tcPr>
          <w:p>
            <w:pPr>
              <w:spacing w:before="126" w:line="229" w:lineRule="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评估类目</w:t>
            </w:r>
          </w:p>
        </w:tc>
        <w:tc>
          <w:tcPr>
            <w:tcW w:w="1767" w:type="dxa"/>
            <w:vAlign w:val="top"/>
          </w:tcPr>
          <w:p>
            <w:pPr>
              <w:spacing w:before="126" w:line="229" w:lineRule="auto"/>
              <w:ind w:left="31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评估项目</w:t>
            </w:r>
          </w:p>
        </w:tc>
        <w:tc>
          <w:tcPr>
            <w:tcW w:w="3912" w:type="dxa"/>
            <w:vAlign w:val="top"/>
          </w:tcPr>
          <w:p>
            <w:pPr>
              <w:spacing w:before="126" w:line="229" w:lineRule="auto"/>
              <w:ind w:left="310" w:firstLine="723" w:firstLineChars="3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评估标准</w:t>
            </w:r>
          </w:p>
        </w:tc>
        <w:tc>
          <w:tcPr>
            <w:tcW w:w="774" w:type="dxa"/>
            <w:vAlign w:val="top"/>
          </w:tcPr>
          <w:p>
            <w:pPr>
              <w:spacing w:before="126" w:line="229" w:lineRule="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扣分值</w:t>
            </w:r>
          </w:p>
        </w:tc>
        <w:tc>
          <w:tcPr>
            <w:tcW w:w="1926" w:type="dxa"/>
            <w:vAlign w:val="top"/>
          </w:tcPr>
          <w:p>
            <w:pPr>
              <w:spacing w:before="126" w:line="229" w:lineRule="auto"/>
              <w:ind w:left="31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138" w:type="dxa"/>
            <w:vMerge w:val="restart"/>
            <w:tcBorders>
              <w:bottom w:val="nil"/>
            </w:tcBorders>
            <w:vAlign w:val="top"/>
          </w:tcPr>
          <w:p>
            <w:pPr>
              <w:spacing w:line="264" w:lineRule="auto"/>
              <w:rPr>
                <w:rFonts w:ascii="Arial"/>
                <w:sz w:val="24"/>
                <w:szCs w:val="24"/>
              </w:rPr>
            </w:pPr>
          </w:p>
          <w:p>
            <w:pPr>
              <w:spacing w:line="264" w:lineRule="auto"/>
              <w:rPr>
                <w:rFonts w:ascii="Arial"/>
                <w:sz w:val="24"/>
                <w:szCs w:val="24"/>
              </w:rPr>
            </w:pPr>
          </w:p>
          <w:p>
            <w:pPr>
              <w:spacing w:line="265" w:lineRule="auto"/>
              <w:rPr>
                <w:rFonts w:ascii="Arial"/>
                <w:sz w:val="24"/>
                <w:szCs w:val="24"/>
              </w:rPr>
            </w:pPr>
          </w:p>
          <w:p>
            <w:pPr>
              <w:spacing w:before="56" w:line="268" w:lineRule="auto"/>
              <w:ind w:right="20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路线 A1</w:t>
            </w:r>
          </w:p>
          <w:p>
            <w:pPr>
              <w:spacing w:before="56" w:line="268" w:lineRule="auto"/>
              <w:ind w:right="204"/>
              <w:rPr>
                <w:rFonts w:ascii="宋体" w:hAnsi="宋体" w:eastAsia="宋体" w:cs="宋体"/>
                <w:sz w:val="24"/>
                <w:szCs w:val="24"/>
              </w:rPr>
            </w:pPr>
            <w:r>
              <w:rPr>
                <w:rFonts w:hint="eastAsia" w:ascii="仿宋_GB2312" w:hAnsi="仿宋_GB2312" w:eastAsia="仿宋_GB2312" w:cs="仿宋_GB2312"/>
                <w:sz w:val="24"/>
                <w:szCs w:val="24"/>
              </w:rPr>
              <w:t>(10分</w:t>
            </w:r>
            <w:r>
              <w:rPr>
                <w:rFonts w:hint="eastAsia" w:ascii="仿宋_GB2312" w:hAnsi="仿宋_GB2312" w:eastAsia="仿宋_GB2312" w:cs="仿宋_GB2312"/>
                <w:sz w:val="24"/>
                <w:szCs w:val="24"/>
                <w:lang w:eastAsia="zh-CN"/>
              </w:rPr>
              <w:t>）</w:t>
            </w:r>
          </w:p>
        </w:tc>
        <w:tc>
          <w:tcPr>
            <w:tcW w:w="1767" w:type="dxa"/>
            <w:vAlign w:val="center"/>
          </w:tcPr>
          <w:p>
            <w:pPr>
              <w:spacing w:before="56" w:line="268" w:lineRule="auto"/>
              <w:ind w:right="20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运营里程</w:t>
            </w:r>
          </w:p>
          <w:p>
            <w:pPr>
              <w:spacing w:before="56" w:line="268" w:lineRule="auto"/>
              <w:ind w:right="20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 分</w:t>
            </w:r>
            <w:r>
              <w:rPr>
                <w:rFonts w:hint="eastAsia" w:ascii="仿宋_GB2312" w:hAnsi="仿宋_GB2312" w:eastAsia="仿宋_GB2312" w:cs="仿宋_GB2312"/>
                <w:sz w:val="24"/>
                <w:szCs w:val="24"/>
                <w:lang w:eastAsia="zh-CN"/>
              </w:rPr>
              <w:t>）</w:t>
            </w:r>
          </w:p>
        </w:tc>
        <w:tc>
          <w:tcPr>
            <w:tcW w:w="391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路线里程在800km以下不扣分，800km- 1000km 之 间扣1分，100km- 1200km 之间扣2分，1200km及以上扣3分。</w:t>
            </w:r>
          </w:p>
        </w:tc>
        <w:tc>
          <w:tcPr>
            <w:tcW w:w="774" w:type="dxa"/>
            <w:vAlign w:val="center"/>
          </w:tcPr>
          <w:p>
            <w:pPr>
              <w:spacing w:before="56" w:line="268" w:lineRule="auto"/>
              <w:ind w:right="204"/>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p>
        </w:tc>
        <w:tc>
          <w:tcPr>
            <w:tcW w:w="1926" w:type="dxa"/>
            <w:vAlign w:val="center"/>
          </w:tcPr>
          <w:p>
            <w:pPr>
              <w:spacing w:before="56" w:line="268" w:lineRule="auto"/>
              <w:ind w:right="204"/>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800km 以下</w:t>
            </w:r>
            <w:r>
              <w:rPr>
                <w:rFonts w:hint="eastAsia" w:ascii="仿宋_GB2312" w:hAnsi="仿宋_GB2312" w:eastAsia="仿宋_GB2312" w:cs="仿宋_GB2312"/>
                <w:sz w:val="24"/>
                <w:szCs w:val="24"/>
                <w:lang w:eastAsia="zh-CN"/>
              </w:rPr>
              <w:t>路线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5" w:hRule="atLeast"/>
        </w:trPr>
        <w:tc>
          <w:tcPr>
            <w:tcW w:w="1138" w:type="dxa"/>
            <w:vMerge w:val="continue"/>
            <w:tcBorders>
              <w:top w:val="nil"/>
              <w:bottom w:val="nil"/>
            </w:tcBorders>
            <w:vAlign w:val="top"/>
          </w:tcPr>
          <w:p>
            <w:pPr>
              <w:rPr>
                <w:rFonts w:ascii="Arial"/>
                <w:sz w:val="24"/>
                <w:szCs w:val="24"/>
              </w:rPr>
            </w:pPr>
          </w:p>
        </w:tc>
        <w:tc>
          <w:tcPr>
            <w:tcW w:w="1767" w:type="dxa"/>
            <w:vAlign w:val="center"/>
          </w:tcPr>
          <w:p>
            <w:pPr>
              <w:spacing w:before="56" w:line="268" w:lineRule="auto"/>
              <w:ind w:right="20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途经</w:t>
            </w:r>
            <w:r>
              <w:rPr>
                <w:rFonts w:hint="eastAsia" w:ascii="仿宋_GB2312" w:hAnsi="仿宋_GB2312" w:eastAsia="仿宋_GB2312" w:cs="仿宋_GB2312"/>
                <w:sz w:val="24"/>
                <w:szCs w:val="24"/>
              </w:rPr>
              <w:t>高风险路段(4分</w:t>
            </w:r>
            <w:r>
              <w:rPr>
                <w:rFonts w:hint="eastAsia" w:ascii="仿宋_GB2312" w:hAnsi="仿宋_GB2312" w:eastAsia="仿宋_GB2312" w:cs="仿宋_GB2312"/>
                <w:sz w:val="24"/>
                <w:szCs w:val="24"/>
                <w:lang w:eastAsia="zh-CN"/>
              </w:rPr>
              <w:t>）</w:t>
            </w:r>
          </w:p>
        </w:tc>
        <w:tc>
          <w:tcPr>
            <w:tcW w:w="391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途经事故</w:t>
            </w:r>
            <w:r>
              <w:rPr>
                <w:rFonts w:hint="eastAsia" w:ascii="仿宋_GB2312" w:hAnsi="仿宋_GB2312" w:eastAsia="仿宋_GB2312" w:cs="仿宋_GB2312"/>
                <w:sz w:val="24"/>
                <w:szCs w:val="24"/>
              </w:rPr>
              <w:t>易发路段、特长隧道、特大桥或连续长下坡等路段，</w:t>
            </w:r>
            <w:r>
              <w:rPr>
                <w:rFonts w:hint="eastAsia" w:ascii="仿宋_GB2312" w:hAnsi="仿宋_GB2312" w:eastAsia="仿宋_GB2312" w:cs="仿宋_GB2312"/>
                <w:sz w:val="24"/>
                <w:szCs w:val="24"/>
                <w:lang w:val="en-US" w:eastAsia="zh-CN"/>
              </w:rPr>
              <w:t>横风大浪高风险水域、</w:t>
            </w:r>
            <w:r>
              <w:rPr>
                <w:rFonts w:hint="eastAsia" w:ascii="仿宋_GB2312" w:hAnsi="仿宋_GB2312" w:eastAsia="仿宋_GB2312" w:cs="仿宋_GB2312"/>
                <w:sz w:val="24"/>
                <w:szCs w:val="24"/>
              </w:rPr>
              <w:t>每</w:t>
            </w:r>
            <w:r>
              <w:rPr>
                <w:rFonts w:hint="eastAsia" w:ascii="仿宋_GB2312" w:hAnsi="仿宋_GB2312" w:eastAsia="仿宋_GB2312" w:cs="仿宋_GB2312"/>
                <w:sz w:val="24"/>
                <w:szCs w:val="24"/>
                <w:lang w:eastAsia="zh-CN"/>
              </w:rPr>
              <w:t>途经</w:t>
            </w:r>
            <w:r>
              <w:rPr>
                <w:rFonts w:hint="eastAsia" w:ascii="仿宋_GB2312" w:hAnsi="仿宋_GB2312" w:eastAsia="仿宋_GB2312" w:cs="仿宋_GB2312"/>
                <w:sz w:val="24"/>
                <w:szCs w:val="24"/>
              </w:rPr>
              <w:t>1处扣1分，最多不超过4分。</w:t>
            </w:r>
          </w:p>
        </w:tc>
        <w:tc>
          <w:tcPr>
            <w:tcW w:w="774" w:type="dxa"/>
            <w:vAlign w:val="center"/>
          </w:tcPr>
          <w:p>
            <w:pPr>
              <w:spacing w:before="56" w:line="268" w:lineRule="auto"/>
              <w:ind w:right="20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92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途经事故</w:t>
            </w:r>
            <w:r>
              <w:rPr>
                <w:rFonts w:hint="eastAsia" w:ascii="仿宋_GB2312" w:hAnsi="仿宋_GB2312" w:eastAsia="仿宋_GB2312" w:cs="仿宋_GB2312"/>
                <w:sz w:val="24"/>
                <w:szCs w:val="24"/>
              </w:rPr>
              <w:t>易发路段、连续长下坡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横风大浪</w:t>
            </w:r>
            <w:r>
              <w:rPr>
                <w:rFonts w:hint="eastAsia" w:ascii="仿宋_GB2312" w:hAnsi="仿宋_GB2312" w:eastAsia="仿宋_GB2312" w:cs="仿宋_GB2312"/>
                <w:sz w:val="24"/>
                <w:szCs w:val="24"/>
              </w:rPr>
              <w:t>各2处</w:t>
            </w:r>
            <w:r>
              <w:rPr>
                <w:rFonts w:hint="eastAsia" w:ascii="仿宋_GB2312" w:hAnsi="仿宋_GB2312" w:eastAsia="仿宋_GB2312" w:cs="仿宋_GB2312"/>
                <w:sz w:val="24"/>
                <w:szCs w:val="24"/>
                <w:lang w:val="en-US" w:eastAsia="zh-CN"/>
              </w:rPr>
              <w:t>以上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6" w:hRule="atLeast"/>
        </w:trPr>
        <w:tc>
          <w:tcPr>
            <w:tcW w:w="1138" w:type="dxa"/>
            <w:vMerge w:val="continue"/>
            <w:tcBorders>
              <w:top w:val="nil"/>
            </w:tcBorders>
            <w:vAlign w:val="top"/>
          </w:tcPr>
          <w:p>
            <w:pPr>
              <w:rPr>
                <w:rFonts w:ascii="Arial"/>
                <w:sz w:val="24"/>
                <w:szCs w:val="24"/>
              </w:rPr>
            </w:pPr>
          </w:p>
        </w:tc>
        <w:tc>
          <w:tcPr>
            <w:tcW w:w="1767" w:type="dxa"/>
            <w:vAlign w:val="center"/>
          </w:tcPr>
          <w:p>
            <w:pPr>
              <w:spacing w:before="56" w:line="268" w:lineRule="auto"/>
              <w:ind w:right="20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运输计划</w:t>
            </w:r>
          </w:p>
          <w:p>
            <w:pPr>
              <w:spacing w:before="56" w:line="268" w:lineRule="auto"/>
              <w:ind w:right="20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 分</w:t>
            </w:r>
            <w:r>
              <w:rPr>
                <w:rFonts w:hint="eastAsia" w:ascii="仿宋_GB2312" w:hAnsi="仿宋_GB2312" w:eastAsia="仿宋_GB2312" w:cs="仿宋_GB2312"/>
                <w:sz w:val="24"/>
                <w:szCs w:val="24"/>
                <w:lang w:eastAsia="zh-CN"/>
              </w:rPr>
              <w:t>）</w:t>
            </w:r>
          </w:p>
        </w:tc>
        <w:tc>
          <w:tcPr>
            <w:tcW w:w="391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夜间 (22 时至次日6时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运营时长2 小时以下不扣分，运营时长2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4小时扣1分， 运营时长4</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6小时扣2 分，运营时长6</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8小时扣3分。</w:t>
            </w:r>
          </w:p>
        </w:tc>
        <w:tc>
          <w:tcPr>
            <w:tcW w:w="774" w:type="dxa"/>
            <w:vAlign w:val="center"/>
          </w:tcPr>
          <w:p>
            <w:pPr>
              <w:spacing w:before="56" w:line="268" w:lineRule="auto"/>
              <w:ind w:right="204"/>
              <w:jc w:val="center"/>
              <w:rPr>
                <w:rFonts w:hint="eastAsia" w:ascii="仿宋_GB2312" w:hAnsi="仿宋_GB2312" w:eastAsia="仿宋_GB2312" w:cs="仿宋_GB2312"/>
                <w:sz w:val="24"/>
                <w:szCs w:val="24"/>
              </w:rPr>
            </w:pPr>
          </w:p>
          <w:p>
            <w:pPr>
              <w:spacing w:before="56" w:line="268" w:lineRule="auto"/>
              <w:ind w:right="204"/>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p>
        </w:tc>
        <w:tc>
          <w:tcPr>
            <w:tcW w:w="1926" w:type="dxa"/>
            <w:vAlign w:val="center"/>
          </w:tcPr>
          <w:p>
            <w:pPr>
              <w:spacing w:before="56" w:line="268" w:lineRule="auto"/>
              <w:ind w:right="204"/>
              <w:jc w:val="center"/>
              <w:rPr>
                <w:rFonts w:hint="eastAsia" w:ascii="仿宋_GB2312" w:hAnsi="仿宋_GB2312" w:eastAsia="仿宋_GB2312" w:cs="仿宋_GB2312"/>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4" w:hRule="atLeast"/>
        </w:trPr>
        <w:tc>
          <w:tcPr>
            <w:tcW w:w="1138" w:type="dxa"/>
            <w:vMerge w:val="restart"/>
            <w:tcBorders>
              <w:bottom w:val="nil"/>
            </w:tcBorders>
            <w:vAlign w:val="top"/>
          </w:tcPr>
          <w:p>
            <w:pPr>
              <w:pStyle w:val="2"/>
              <w:ind w:left="0" w:leftChars="0" w:firstLine="0" w:firstLineChars="0"/>
              <w:rPr>
                <w:rFonts w:hint="eastAsia"/>
              </w:rPr>
            </w:pPr>
          </w:p>
          <w:p>
            <w:pPr>
              <w:spacing w:before="56" w:line="268" w:lineRule="auto"/>
              <w:ind w:right="20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车辆</w:t>
            </w:r>
            <w:r>
              <w:rPr>
                <w:rFonts w:hint="eastAsia" w:ascii="仿宋_GB2312" w:hAnsi="仿宋_GB2312" w:eastAsia="仿宋_GB2312" w:cs="仿宋_GB2312"/>
                <w:sz w:val="24"/>
                <w:szCs w:val="24"/>
                <w:lang w:val="en-US" w:eastAsia="zh-CN"/>
              </w:rPr>
              <w:t>船舶</w:t>
            </w:r>
            <w:r>
              <w:rPr>
                <w:rFonts w:hint="eastAsia" w:ascii="仿宋_GB2312" w:hAnsi="仿宋_GB2312" w:eastAsia="仿宋_GB2312" w:cs="仿宋_GB2312"/>
                <w:sz w:val="24"/>
                <w:szCs w:val="24"/>
              </w:rPr>
              <w:t>A2</w:t>
            </w:r>
          </w:p>
          <w:p>
            <w:pPr>
              <w:spacing w:before="56" w:line="268" w:lineRule="auto"/>
              <w:ind w:right="204"/>
              <w:rPr>
                <w:rFonts w:ascii="宋体" w:hAnsi="宋体" w:eastAsia="宋体" w:cs="宋体"/>
                <w:sz w:val="24"/>
                <w:szCs w:val="24"/>
              </w:rPr>
            </w:pPr>
            <w:r>
              <w:rPr>
                <w:rFonts w:hint="eastAsia" w:ascii="仿宋_GB2312" w:hAnsi="仿宋_GB2312" w:eastAsia="仿宋_GB2312" w:cs="仿宋_GB2312"/>
                <w:sz w:val="24"/>
                <w:szCs w:val="24"/>
              </w:rPr>
              <w:t xml:space="preserve"> (20分</w:t>
            </w:r>
            <w:r>
              <w:rPr>
                <w:rFonts w:hint="eastAsia" w:ascii="仿宋_GB2312" w:hAnsi="仿宋_GB2312" w:eastAsia="仿宋_GB2312" w:cs="仿宋_GB2312"/>
                <w:sz w:val="24"/>
                <w:szCs w:val="24"/>
                <w:lang w:eastAsia="zh-CN"/>
              </w:rPr>
              <w:t>）</w:t>
            </w:r>
          </w:p>
        </w:tc>
        <w:tc>
          <w:tcPr>
            <w:tcW w:w="1767" w:type="dxa"/>
            <w:vAlign w:val="center"/>
          </w:tcPr>
          <w:p>
            <w:pPr>
              <w:spacing w:before="56" w:line="268" w:lineRule="auto"/>
              <w:ind w:right="20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车辆</w:t>
            </w:r>
            <w:r>
              <w:rPr>
                <w:rFonts w:hint="eastAsia" w:ascii="仿宋_GB2312" w:hAnsi="仿宋_GB2312" w:eastAsia="仿宋_GB2312" w:cs="仿宋_GB2312"/>
                <w:sz w:val="24"/>
                <w:szCs w:val="24"/>
                <w:lang w:val="en-US" w:eastAsia="zh-CN"/>
              </w:rPr>
              <w:t>船舶</w:t>
            </w:r>
            <w:r>
              <w:rPr>
                <w:rFonts w:hint="eastAsia" w:ascii="仿宋_GB2312" w:hAnsi="仿宋_GB2312" w:eastAsia="仿宋_GB2312" w:cs="仿宋_GB2312"/>
                <w:sz w:val="24"/>
                <w:szCs w:val="24"/>
              </w:rPr>
              <w:t>基本情况(8 分</w:t>
            </w:r>
            <w:r>
              <w:rPr>
                <w:rFonts w:hint="eastAsia" w:ascii="仿宋_GB2312" w:hAnsi="仿宋_GB2312" w:eastAsia="仿宋_GB2312" w:cs="仿宋_GB2312"/>
                <w:sz w:val="24"/>
                <w:szCs w:val="24"/>
                <w:lang w:eastAsia="zh-CN"/>
              </w:rPr>
              <w:t>）</w:t>
            </w:r>
          </w:p>
        </w:tc>
        <w:tc>
          <w:tcPr>
            <w:tcW w:w="391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ind w:firstLine="240" w:firstLineChars="1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行驶里程超出 80 万公里﹑ 使用年限超出8 年等， 每存在一项扣2 分，最多不超过 8 分。</w:t>
            </w:r>
          </w:p>
        </w:tc>
        <w:tc>
          <w:tcPr>
            <w:tcW w:w="774" w:type="dxa"/>
            <w:vAlign w:val="center"/>
          </w:tcPr>
          <w:p>
            <w:pPr>
              <w:spacing w:before="56" w:line="268" w:lineRule="auto"/>
              <w:ind w:right="204"/>
              <w:jc w:val="center"/>
              <w:rPr>
                <w:rFonts w:hint="eastAsia" w:ascii="仿宋_GB2312" w:hAnsi="仿宋_GB2312" w:eastAsia="仿宋_GB2312" w:cs="仿宋_GB2312"/>
                <w:sz w:val="24"/>
                <w:szCs w:val="24"/>
              </w:rPr>
            </w:pPr>
          </w:p>
          <w:p>
            <w:pPr>
              <w:spacing w:before="56" w:line="268" w:lineRule="auto"/>
              <w:ind w:right="204"/>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p>
        </w:tc>
        <w:tc>
          <w:tcPr>
            <w:tcW w:w="192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车辆行驶里程超出 80万公里﹑ 使用年限超出 8 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0" w:hRule="atLeast"/>
        </w:trPr>
        <w:tc>
          <w:tcPr>
            <w:tcW w:w="1138" w:type="dxa"/>
            <w:vMerge w:val="continue"/>
            <w:tcBorders>
              <w:top w:val="nil"/>
              <w:bottom w:val="nil"/>
            </w:tcBorders>
            <w:vAlign w:val="top"/>
          </w:tcPr>
          <w:p>
            <w:pPr>
              <w:rPr>
                <w:rFonts w:ascii="Arial"/>
                <w:sz w:val="24"/>
                <w:szCs w:val="24"/>
              </w:rPr>
            </w:pP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车辆安全装备配置情况</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 分</w:t>
            </w:r>
            <w:r>
              <w:rPr>
                <w:rFonts w:hint="eastAsia" w:ascii="仿宋_GB2312" w:hAnsi="仿宋_GB2312" w:eastAsia="仿宋_GB2312" w:cs="仿宋_GB2312"/>
                <w:sz w:val="24"/>
                <w:szCs w:val="24"/>
                <w:lang w:eastAsia="zh-CN"/>
              </w:rPr>
              <w:t>）</w:t>
            </w:r>
          </w:p>
        </w:tc>
        <w:tc>
          <w:tcPr>
            <w:tcW w:w="391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电子稳定性控制系统、车道偏离预警系统、胎压监测系统﹑ 爆胎应急安全装置﹑ 智能视频监控装置等安全装置缺失一项扣 1 分，最多不超过 5 分。</w:t>
            </w:r>
          </w:p>
        </w:tc>
        <w:tc>
          <w:tcPr>
            <w:tcW w:w="774" w:type="dxa"/>
            <w:vAlign w:val="center"/>
          </w:tcPr>
          <w:p>
            <w:pPr>
              <w:spacing w:before="56" w:line="268" w:lineRule="auto"/>
              <w:ind w:right="204"/>
              <w:jc w:val="center"/>
              <w:rPr>
                <w:rFonts w:hint="eastAsia" w:ascii="仿宋_GB2312" w:hAnsi="仿宋_GB2312" w:eastAsia="仿宋_GB2312" w:cs="仿宋_GB2312"/>
                <w:sz w:val="24"/>
                <w:szCs w:val="24"/>
              </w:rPr>
            </w:pPr>
          </w:p>
          <w:p>
            <w:pPr>
              <w:spacing w:before="56" w:line="268" w:lineRule="auto"/>
              <w:ind w:right="20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92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车辆未安装电子稳定性控制系统、车道偏离预警系统、胎压监测系统 ﹑ 爆胎应急安全装置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1138" w:type="dxa"/>
            <w:vMerge w:val="continue"/>
            <w:tcBorders>
              <w:top w:val="nil"/>
            </w:tcBorders>
            <w:vAlign w:val="top"/>
          </w:tcPr>
          <w:p>
            <w:pPr>
              <w:rPr>
                <w:rFonts w:ascii="Arial"/>
                <w:sz w:val="21"/>
              </w:rPr>
            </w:pP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车辆经营模式</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 分</w:t>
            </w:r>
            <w:r>
              <w:rPr>
                <w:rFonts w:hint="eastAsia" w:ascii="仿宋_GB2312" w:hAnsi="仿宋_GB2312" w:eastAsia="仿宋_GB2312" w:cs="仿宋_GB2312"/>
                <w:sz w:val="24"/>
                <w:szCs w:val="24"/>
                <w:lang w:eastAsia="zh-CN"/>
              </w:rPr>
              <w:t>）</w:t>
            </w:r>
          </w:p>
        </w:tc>
        <w:tc>
          <w:tcPr>
            <w:tcW w:w="391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车辆实行承包经营的扣7 分。</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0</w:t>
            </w:r>
          </w:p>
        </w:tc>
        <w:tc>
          <w:tcPr>
            <w:tcW w:w="192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车辆实行承包经营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trPr>
        <w:tc>
          <w:tcPr>
            <w:tcW w:w="1138" w:type="dxa"/>
            <w:vMerge w:val="restart"/>
            <w:tcBorders>
              <w:bottom w:val="nil"/>
            </w:tcBorders>
            <w:vAlign w:val="top"/>
          </w:tcPr>
          <w:p>
            <w:pPr>
              <w:spacing w:before="56" w:line="268" w:lineRule="auto"/>
              <w:ind w:right="204"/>
              <w:jc w:val="left"/>
              <w:rPr>
                <w:rFonts w:hint="eastAsia" w:ascii="仿宋_GB2312" w:hAnsi="仿宋_GB2312" w:eastAsia="仿宋_GB2312" w:cs="仿宋_GB2312"/>
                <w:sz w:val="24"/>
                <w:szCs w:val="24"/>
              </w:rPr>
            </w:pPr>
          </w:p>
          <w:p>
            <w:pPr>
              <w:spacing w:before="56" w:line="268" w:lineRule="auto"/>
              <w:ind w:right="204"/>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从业人员 A3</w:t>
            </w:r>
          </w:p>
          <w:p>
            <w:pPr>
              <w:spacing w:before="56" w:line="268" w:lineRule="auto"/>
              <w:ind w:right="204"/>
              <w:jc w:val="left"/>
              <w:rPr>
                <w:rFonts w:ascii="宋体" w:hAnsi="宋体" w:eastAsia="宋体" w:cs="宋体"/>
                <w:sz w:val="17"/>
                <w:szCs w:val="17"/>
              </w:rPr>
            </w:pPr>
            <w:r>
              <w:rPr>
                <w:rFonts w:hint="eastAsia" w:ascii="仿宋_GB2312" w:hAnsi="仿宋_GB2312" w:eastAsia="仿宋_GB2312" w:cs="仿宋_GB2312"/>
                <w:sz w:val="24"/>
                <w:szCs w:val="24"/>
              </w:rPr>
              <w:t>(30 分</w:t>
            </w:r>
            <w:r>
              <w:rPr>
                <w:rFonts w:hint="eastAsia" w:ascii="仿宋_GB2312" w:hAnsi="仿宋_GB2312" w:eastAsia="仿宋_GB2312" w:cs="仿宋_GB2312"/>
                <w:sz w:val="24"/>
                <w:szCs w:val="24"/>
                <w:lang w:eastAsia="zh-CN"/>
              </w:rPr>
              <w:t>）</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已聘用驾驶员</w:t>
            </w:r>
            <w:r>
              <w:rPr>
                <w:rFonts w:hint="eastAsia" w:ascii="仿宋_GB2312" w:hAnsi="仿宋_GB2312" w:eastAsia="仿宋_GB2312" w:cs="仿宋_GB2312"/>
                <w:sz w:val="24"/>
                <w:szCs w:val="24"/>
                <w:lang w:eastAsia="zh-CN"/>
              </w:rPr>
              <w:t>、押运员</w:t>
            </w:r>
            <w:r>
              <w:rPr>
                <w:rFonts w:hint="eastAsia" w:ascii="仿宋_GB2312" w:hAnsi="仿宋_GB2312" w:eastAsia="仿宋_GB2312" w:cs="仿宋_GB2312"/>
                <w:sz w:val="24"/>
                <w:szCs w:val="24"/>
              </w:rPr>
              <w:t>情况    (15 分</w:t>
            </w:r>
            <w:r>
              <w:rPr>
                <w:rFonts w:hint="eastAsia" w:ascii="仿宋_GB2312" w:hAnsi="仿宋_GB2312" w:eastAsia="仿宋_GB2312" w:cs="仿宋_GB2312"/>
                <w:sz w:val="24"/>
                <w:szCs w:val="24"/>
                <w:lang w:eastAsia="zh-CN"/>
              </w:rPr>
              <w:t>）</w:t>
            </w:r>
          </w:p>
        </w:tc>
        <w:tc>
          <w:tcPr>
            <w:tcW w:w="391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存在驾</w:t>
            </w:r>
            <w:r>
              <w:rPr>
                <w:rFonts w:hint="eastAsia" w:ascii="仿宋_GB2312" w:hAnsi="仿宋_GB2312" w:eastAsia="仿宋_GB2312" w:cs="仿宋_GB2312"/>
                <w:sz w:val="24"/>
                <w:szCs w:val="24"/>
                <w:lang w:eastAsia="zh-CN"/>
              </w:rPr>
              <w:t>押员</w:t>
            </w:r>
            <w:r>
              <w:rPr>
                <w:rFonts w:hint="eastAsia" w:ascii="仿宋_GB2312" w:hAnsi="仿宋_GB2312" w:eastAsia="仿宋_GB2312" w:cs="仿宋_GB2312"/>
                <w:sz w:val="24"/>
                <w:szCs w:val="24"/>
              </w:rPr>
              <w:t>未参加毒检的，扣 7 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存在驾</w:t>
            </w:r>
            <w:r>
              <w:rPr>
                <w:rFonts w:hint="eastAsia" w:ascii="仿宋_GB2312" w:hAnsi="仿宋_GB2312" w:eastAsia="仿宋_GB2312" w:cs="仿宋_GB2312"/>
                <w:sz w:val="24"/>
                <w:szCs w:val="24"/>
                <w:lang w:eastAsia="zh-CN"/>
              </w:rPr>
              <w:t>押</w:t>
            </w:r>
            <w:r>
              <w:rPr>
                <w:rFonts w:hint="eastAsia" w:ascii="仿宋_GB2312" w:hAnsi="仿宋_GB2312" w:eastAsia="仿宋_GB2312" w:cs="仿宋_GB2312"/>
                <w:sz w:val="24"/>
                <w:szCs w:val="24"/>
              </w:rPr>
              <w:t>员未参加安全教育培训的，扣 8 分。</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192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存在驾驶员未参加安 全教育培训，扣 8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8" w:hRule="atLeast"/>
        </w:trPr>
        <w:tc>
          <w:tcPr>
            <w:tcW w:w="1138" w:type="dxa"/>
            <w:vMerge w:val="continue"/>
            <w:tcBorders>
              <w:top w:val="nil"/>
            </w:tcBorders>
            <w:vAlign w:val="top"/>
          </w:tcPr>
          <w:p>
            <w:pPr>
              <w:rPr>
                <w:rFonts w:ascii="Arial"/>
                <w:sz w:val="21"/>
              </w:rPr>
            </w:pP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关键岗位从业人员配备情况</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 分</w:t>
            </w:r>
            <w:r>
              <w:rPr>
                <w:rFonts w:hint="eastAsia" w:ascii="仿宋_GB2312" w:hAnsi="仿宋_GB2312" w:eastAsia="仿宋_GB2312" w:cs="仿宋_GB2312"/>
                <w:sz w:val="24"/>
                <w:szCs w:val="24"/>
                <w:lang w:eastAsia="zh-CN"/>
              </w:rPr>
              <w:t>）</w:t>
            </w:r>
          </w:p>
        </w:tc>
        <w:tc>
          <w:tcPr>
            <w:tcW w:w="391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专职安全管理人员配备不符合要求，扣 3 分；动态监控人员配备不符合要求，扣3分；车辆技术管理人员配备不符合要求，扣3分；主要负责人未通过安全考核，扣3分；专职安全管理人员未通过安全考核，扣3 分。</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92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存在动态监控人员配备不符合要求，车辆技术管理人员配备不符合要求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5" w:hRule="atLeast"/>
        </w:trPr>
        <w:tc>
          <w:tcPr>
            <w:tcW w:w="1138" w:type="dxa"/>
            <w:vMerge w:val="restart"/>
            <w:vAlign w:val="top"/>
          </w:tcPr>
          <w:p>
            <w:pPr>
              <w:spacing w:line="269" w:lineRule="auto"/>
              <w:rPr>
                <w:rFonts w:ascii="Arial"/>
                <w:sz w:val="21"/>
              </w:rPr>
            </w:pPr>
          </w:p>
          <w:p>
            <w:pPr>
              <w:spacing w:line="270" w:lineRule="auto"/>
              <w:rPr>
                <w:rFonts w:ascii="Arial"/>
                <w:sz w:val="21"/>
              </w:rPr>
            </w:pPr>
          </w:p>
          <w:p>
            <w:pPr>
              <w:spacing w:line="270" w:lineRule="auto"/>
              <w:rPr>
                <w:rFonts w:ascii="Arial"/>
                <w:sz w:val="21"/>
              </w:rPr>
            </w:pPr>
          </w:p>
          <w:p>
            <w:pPr>
              <w:spacing w:before="56" w:line="268" w:lineRule="auto"/>
              <w:ind w:right="20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管理制度 A4</w:t>
            </w:r>
          </w:p>
          <w:p>
            <w:pPr>
              <w:spacing w:before="56" w:line="268" w:lineRule="auto"/>
              <w:ind w:right="204"/>
              <w:rPr>
                <w:rFonts w:ascii="宋体" w:hAnsi="宋体" w:eastAsia="宋体" w:cs="宋体"/>
                <w:sz w:val="17"/>
                <w:szCs w:val="17"/>
              </w:rPr>
            </w:pPr>
            <w:r>
              <w:rPr>
                <w:rFonts w:hint="eastAsia" w:ascii="仿宋_GB2312" w:hAnsi="仿宋_GB2312" w:eastAsia="仿宋_GB2312" w:cs="仿宋_GB2312"/>
                <w:sz w:val="24"/>
                <w:szCs w:val="24"/>
              </w:rPr>
              <w:t>(20分</w:t>
            </w:r>
            <w:r>
              <w:rPr>
                <w:rFonts w:hint="eastAsia" w:ascii="仿宋_GB2312" w:hAnsi="仿宋_GB2312" w:eastAsia="仿宋_GB2312" w:cs="仿宋_GB2312"/>
                <w:sz w:val="24"/>
                <w:szCs w:val="24"/>
                <w:lang w:eastAsia="zh-CN"/>
              </w:rPr>
              <w:t>）</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安全生产责任制落实情况(4 分</w:t>
            </w:r>
            <w:r>
              <w:rPr>
                <w:rFonts w:hint="eastAsia" w:ascii="仿宋_GB2312" w:hAnsi="仿宋_GB2312" w:eastAsia="仿宋_GB2312" w:cs="仿宋_GB2312"/>
                <w:sz w:val="24"/>
                <w:szCs w:val="24"/>
                <w:lang w:eastAsia="zh-CN"/>
              </w:rPr>
              <w:t>）</w:t>
            </w:r>
          </w:p>
        </w:tc>
        <w:tc>
          <w:tcPr>
            <w:tcW w:w="391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未落实各岗位生产责任考核的，扣 2 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未按规定投入并使用安全生产资金的，扣 2 分。</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92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生产责任考核落实不到位，未按要求投入安全生产资金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8" w:hRule="atLeast"/>
        </w:trPr>
        <w:tc>
          <w:tcPr>
            <w:tcW w:w="1138" w:type="dxa"/>
            <w:vMerge w:val="continue"/>
            <w:vAlign w:val="top"/>
          </w:tcPr>
          <w:p>
            <w:pPr>
              <w:rPr>
                <w:rFonts w:ascii="Arial"/>
                <w:sz w:val="21"/>
              </w:rPr>
            </w:pP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驾</w:t>
            </w:r>
            <w:r>
              <w:rPr>
                <w:rFonts w:hint="eastAsia" w:ascii="仿宋_GB2312" w:hAnsi="仿宋_GB2312" w:eastAsia="仿宋_GB2312" w:cs="仿宋_GB2312"/>
                <w:sz w:val="24"/>
                <w:szCs w:val="24"/>
                <w:lang w:eastAsia="zh-CN"/>
              </w:rPr>
              <w:t>押</w:t>
            </w:r>
            <w:r>
              <w:rPr>
                <w:rFonts w:hint="eastAsia" w:ascii="仿宋_GB2312" w:hAnsi="仿宋_GB2312" w:eastAsia="仿宋_GB2312" w:cs="仿宋_GB2312"/>
                <w:sz w:val="24"/>
                <w:szCs w:val="24"/>
              </w:rPr>
              <w:t>员和车辆安全生产管理制度执行情况(4 分</w:t>
            </w:r>
            <w:r>
              <w:rPr>
                <w:rFonts w:hint="eastAsia" w:ascii="仿宋_GB2312" w:hAnsi="仿宋_GB2312" w:eastAsia="仿宋_GB2312" w:cs="仿宋_GB2312"/>
                <w:sz w:val="24"/>
                <w:szCs w:val="24"/>
                <w:lang w:eastAsia="zh-CN"/>
              </w:rPr>
              <w:t>）</w:t>
            </w:r>
          </w:p>
        </w:tc>
        <w:tc>
          <w:tcPr>
            <w:tcW w:w="391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未制定规定的驾</w:t>
            </w:r>
            <w:r>
              <w:rPr>
                <w:rFonts w:hint="eastAsia" w:ascii="仿宋_GB2312" w:hAnsi="仿宋_GB2312" w:eastAsia="仿宋_GB2312" w:cs="仿宋_GB2312"/>
                <w:sz w:val="24"/>
                <w:szCs w:val="24"/>
                <w:lang w:eastAsia="zh-CN"/>
              </w:rPr>
              <w:t>押</w:t>
            </w:r>
            <w:r>
              <w:rPr>
                <w:rFonts w:hint="eastAsia" w:ascii="仿宋_GB2312" w:hAnsi="仿宋_GB2312" w:eastAsia="仿宋_GB2312" w:cs="仿宋_GB2312"/>
                <w:sz w:val="24"/>
                <w:szCs w:val="24"/>
              </w:rPr>
              <w:t>员和车辆管理制度的，扣2分；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未按规定落实驾</w:t>
            </w:r>
            <w:r>
              <w:rPr>
                <w:rFonts w:hint="eastAsia" w:ascii="仿宋_GB2312" w:hAnsi="仿宋_GB2312" w:eastAsia="仿宋_GB2312" w:cs="仿宋_GB2312"/>
                <w:sz w:val="24"/>
                <w:szCs w:val="24"/>
                <w:lang w:eastAsia="zh-CN"/>
              </w:rPr>
              <w:t>押</w:t>
            </w:r>
            <w:r>
              <w:rPr>
                <w:rFonts w:hint="eastAsia" w:ascii="仿宋_GB2312" w:hAnsi="仿宋_GB2312" w:eastAsia="仿宋_GB2312" w:cs="仿宋_GB2312"/>
                <w:sz w:val="24"/>
                <w:szCs w:val="24"/>
              </w:rPr>
              <w:t>员和车辆管理制度的，或落实不到位的，扣2分。</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92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驾驶员和车辆管理制度落实不到位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5" w:hRule="atLeast"/>
        </w:trPr>
        <w:tc>
          <w:tcPr>
            <w:tcW w:w="1138" w:type="dxa"/>
            <w:vMerge w:val="continue"/>
            <w:vAlign w:val="top"/>
          </w:tcPr>
          <w:p>
            <w:pPr>
              <w:rPr>
                <w:rFonts w:ascii="Arial"/>
                <w:sz w:val="21"/>
              </w:rPr>
            </w:pPr>
          </w:p>
        </w:tc>
        <w:tc>
          <w:tcPr>
            <w:tcW w:w="176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安全生产操作规程执行情况(4 分</w:t>
            </w:r>
            <w:r>
              <w:rPr>
                <w:rFonts w:hint="eastAsia" w:ascii="仿宋_GB2312" w:hAnsi="仿宋_GB2312" w:eastAsia="仿宋_GB2312" w:cs="仿宋_GB2312"/>
                <w:sz w:val="24"/>
                <w:szCs w:val="24"/>
                <w:lang w:eastAsia="zh-CN"/>
              </w:rPr>
              <w:t>）</w:t>
            </w:r>
          </w:p>
        </w:tc>
        <w:tc>
          <w:tcPr>
            <w:tcW w:w="3912"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未制定规定的安全生产操作规程的，扣 2 分；</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92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操作规程落实不到位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0" w:hRule="atLeast"/>
        </w:trPr>
        <w:tc>
          <w:tcPr>
            <w:tcW w:w="1138" w:type="dxa"/>
            <w:vMerge w:val="continue"/>
            <w:vAlign w:val="top"/>
          </w:tcPr>
          <w:p>
            <w:pPr>
              <w:rPr>
                <w:rFonts w:ascii="Arial"/>
                <w:sz w:val="21"/>
              </w:rPr>
            </w:pPr>
          </w:p>
        </w:tc>
        <w:tc>
          <w:tcPr>
            <w:tcW w:w="1767"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安全生产监督检查制度执行情况(8 分</w:t>
            </w:r>
            <w:r>
              <w:rPr>
                <w:rFonts w:hint="eastAsia" w:ascii="仿宋_GB2312" w:hAnsi="仿宋_GB2312" w:eastAsia="仿宋_GB2312" w:cs="仿宋_GB2312"/>
                <w:sz w:val="24"/>
                <w:szCs w:val="24"/>
                <w:lang w:eastAsia="zh-CN"/>
              </w:rPr>
              <w:t>）</w:t>
            </w:r>
          </w:p>
        </w:tc>
        <w:tc>
          <w:tcPr>
            <w:tcW w:w="391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未制定车辆动态信息处理与分析、安全风险辨识评 估和隐患排查治理、安全生产社会监督、安全生产 事故应急处置、应急救援等制度的，存在1项扣 0.5分，最多不超过2分；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车辆动态信息处理与分析、安全风险辨识评估和隐 患排查治理、安全生产社会监督、安全生产事故应急处置、应急救援等制度未落实或落实不到位的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存 在1项扣0.5分，最多不超过2分；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未在动态监控平台实现高风险路段安全提示、全程分段限速设置及提醒、驾驶员身份识别及驾驶时间记录等功能的，缺少1项功能扣1分，最多不超过4分。</w:t>
            </w:r>
          </w:p>
        </w:tc>
        <w:tc>
          <w:tcPr>
            <w:tcW w:w="774"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92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未制定和落实安全风险辨识评估和隐患排查治理、安全生产社会监督制度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1138" w:type="dxa"/>
            <w:vMerge w:val="restart"/>
            <w:vAlign w:val="top"/>
          </w:tcPr>
          <w:p>
            <w:pPr>
              <w:spacing w:before="56" w:line="268" w:lineRule="auto"/>
              <w:ind w:right="204"/>
              <w:rPr>
                <w:rFonts w:hint="eastAsia" w:ascii="仿宋_GB2312" w:hAnsi="仿宋_GB2312" w:eastAsia="仿宋_GB2312" w:cs="仿宋_GB2312"/>
                <w:sz w:val="24"/>
                <w:szCs w:val="24"/>
              </w:rPr>
            </w:pPr>
          </w:p>
          <w:p>
            <w:pPr>
              <w:spacing w:before="56" w:line="268" w:lineRule="auto"/>
              <w:ind w:right="20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运营现状 A5</w:t>
            </w:r>
          </w:p>
          <w:p>
            <w:pPr>
              <w:spacing w:before="56" w:line="268" w:lineRule="auto"/>
              <w:ind w:right="204"/>
              <w:rPr>
                <w:rFonts w:ascii="Arial"/>
                <w:sz w:val="21"/>
              </w:rPr>
            </w:pPr>
            <w:r>
              <w:rPr>
                <w:rFonts w:hint="eastAsia" w:ascii="仿宋_GB2312" w:hAnsi="仿宋_GB2312" w:eastAsia="仿宋_GB2312" w:cs="仿宋_GB2312"/>
                <w:sz w:val="24"/>
                <w:szCs w:val="24"/>
              </w:rPr>
              <w:t>(20 分</w:t>
            </w:r>
            <w:r>
              <w:rPr>
                <w:rFonts w:hint="eastAsia" w:ascii="仿宋_GB2312" w:hAnsi="仿宋_GB2312" w:eastAsia="仿宋_GB2312" w:cs="仿宋_GB2312"/>
                <w:sz w:val="24"/>
                <w:szCs w:val="24"/>
                <w:lang w:eastAsia="zh-CN"/>
              </w:rPr>
              <w:t>）</w:t>
            </w:r>
          </w:p>
        </w:tc>
        <w:tc>
          <w:tcPr>
            <w:tcW w:w="1767"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道路</w:t>
            </w:r>
            <w:r>
              <w:rPr>
                <w:rFonts w:hint="eastAsia" w:ascii="仿宋_GB2312" w:hAnsi="仿宋_GB2312" w:eastAsia="仿宋_GB2312" w:cs="仿宋_GB2312"/>
                <w:sz w:val="24"/>
                <w:szCs w:val="24"/>
                <w:lang w:eastAsia="zh-CN"/>
              </w:rPr>
              <w:t>危货</w:t>
            </w:r>
            <w:r>
              <w:rPr>
                <w:rFonts w:hint="eastAsia" w:ascii="仿宋_GB2312" w:hAnsi="仿宋_GB2312" w:eastAsia="仿宋_GB2312" w:cs="仿宋_GB2312"/>
                <w:sz w:val="24"/>
                <w:szCs w:val="24"/>
              </w:rPr>
              <w:t>生产安全责任事故情况    (10 分</w:t>
            </w:r>
            <w:r>
              <w:rPr>
                <w:rFonts w:hint="eastAsia" w:ascii="仿宋_GB2312" w:hAnsi="仿宋_GB2312" w:eastAsia="仿宋_GB2312" w:cs="仿宋_GB2312"/>
                <w:sz w:val="24"/>
                <w:szCs w:val="24"/>
                <w:lang w:eastAsia="zh-CN"/>
              </w:rPr>
              <w:t>）</w:t>
            </w:r>
          </w:p>
        </w:tc>
        <w:tc>
          <w:tcPr>
            <w:tcW w:w="391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近3年发生一般或较大安全生产责任事故的，每发生1起扣2分；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近3年发生</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起及以上重大或特别重大安全生产责任事故的，扣1</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分；</w:t>
            </w:r>
          </w:p>
        </w:tc>
        <w:tc>
          <w:tcPr>
            <w:tcW w:w="774"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192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近3年发生</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起</w:t>
            </w:r>
            <w:r>
              <w:rPr>
                <w:rFonts w:hint="eastAsia" w:ascii="仿宋_GB2312" w:hAnsi="仿宋_GB2312" w:eastAsia="仿宋_GB2312" w:cs="仿宋_GB2312"/>
                <w:sz w:val="24"/>
                <w:szCs w:val="24"/>
                <w:lang w:eastAsia="zh-CN"/>
              </w:rPr>
              <w:t>一般</w:t>
            </w:r>
            <w:r>
              <w:rPr>
                <w:rFonts w:hint="eastAsia" w:ascii="仿宋_GB2312" w:hAnsi="仿宋_GB2312" w:eastAsia="仿宋_GB2312" w:cs="仿宋_GB2312"/>
                <w:sz w:val="24"/>
                <w:szCs w:val="24"/>
              </w:rPr>
              <w:t>安全生产责任事故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trPr>
        <w:tc>
          <w:tcPr>
            <w:tcW w:w="1138" w:type="dxa"/>
            <w:vMerge w:val="continue"/>
            <w:vAlign w:val="top"/>
          </w:tcPr>
          <w:p>
            <w:pPr>
              <w:rPr>
                <w:rFonts w:ascii="Arial"/>
                <w:sz w:val="21"/>
              </w:rPr>
            </w:pPr>
          </w:p>
        </w:tc>
        <w:tc>
          <w:tcPr>
            <w:tcW w:w="1767"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质量信誉考核情况(5 分</w:t>
            </w:r>
            <w:r>
              <w:rPr>
                <w:rFonts w:hint="eastAsia" w:ascii="仿宋_GB2312" w:hAnsi="仿宋_GB2312" w:eastAsia="仿宋_GB2312" w:cs="仿宋_GB2312"/>
                <w:sz w:val="24"/>
                <w:szCs w:val="24"/>
                <w:lang w:eastAsia="zh-CN"/>
              </w:rPr>
              <w:t>）</w:t>
            </w:r>
          </w:p>
        </w:tc>
        <w:tc>
          <w:tcPr>
            <w:tcW w:w="391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近 3 年质量信誉考核结果为不合格的或，扣</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分； 近</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年质量信誉考核结果为基本合格的，扣</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分；</w:t>
            </w:r>
          </w:p>
        </w:tc>
        <w:tc>
          <w:tcPr>
            <w:tcW w:w="774"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92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近3年质量信誉考核结果为基本合格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1138" w:type="dxa"/>
            <w:vMerge w:val="continue"/>
            <w:tcBorders>
              <w:bottom w:val="single" w:color="auto" w:sz="4" w:space="0"/>
            </w:tcBorders>
            <w:vAlign w:val="top"/>
          </w:tcPr>
          <w:p>
            <w:pPr>
              <w:rPr>
                <w:rFonts w:ascii="Arial"/>
                <w:sz w:val="21"/>
              </w:rPr>
            </w:pPr>
          </w:p>
        </w:tc>
        <w:tc>
          <w:tcPr>
            <w:tcW w:w="1767"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车辆违法违规经营情况 (5 分</w:t>
            </w:r>
            <w:r>
              <w:rPr>
                <w:rFonts w:hint="eastAsia" w:ascii="仿宋_GB2312" w:hAnsi="仿宋_GB2312" w:eastAsia="仿宋_GB2312" w:cs="仿宋_GB2312"/>
                <w:sz w:val="24"/>
                <w:szCs w:val="24"/>
                <w:lang w:eastAsia="zh-CN"/>
              </w:rPr>
              <w:t>）</w:t>
            </w:r>
          </w:p>
        </w:tc>
        <w:tc>
          <w:tcPr>
            <w:tcW w:w="391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上一年度存在交通违法行为、凌晨2时至5时违规通行的，存在1次扣0.5分，最多不超过5分。</w:t>
            </w:r>
          </w:p>
        </w:tc>
        <w:tc>
          <w:tcPr>
            <w:tcW w:w="774"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92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上一年度存在交通违法行为、凌晨</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时至</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时违规通行10 次</w:t>
            </w:r>
          </w:p>
        </w:tc>
      </w:tr>
    </w:tbl>
    <w:p>
      <w:pPr>
        <w:spacing w:line="93" w:lineRule="exact"/>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计算事故可能性取值</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结合表 </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可能性指标取值区，将表</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得到的各项扣分值相加再除以10，得到</w:t>
      </w:r>
      <w:r>
        <w:rPr>
          <w:rFonts w:hint="eastAsia" w:ascii="仿宋_GB2312" w:hAnsi="仿宋_GB2312" w:eastAsia="仿宋_GB2312" w:cs="仿宋_GB2312"/>
          <w:sz w:val="32"/>
          <w:szCs w:val="32"/>
          <w:lang w:val="en-US" w:eastAsia="zh-CN"/>
        </w:rPr>
        <w:t>交通</w:t>
      </w:r>
      <w:r>
        <w:rPr>
          <w:rFonts w:hint="eastAsia" w:ascii="仿宋_GB2312" w:hAnsi="仿宋_GB2312" w:eastAsia="仿宋_GB2312" w:cs="仿宋_GB2312"/>
          <w:sz w:val="32"/>
          <w:szCs w:val="32"/>
          <w:lang w:eastAsia="zh-CN"/>
        </w:rPr>
        <w:t>运输</w:t>
      </w:r>
      <w:r>
        <w:rPr>
          <w:rFonts w:hint="eastAsia" w:ascii="仿宋_GB2312" w:hAnsi="仿宋_GB2312" w:eastAsia="仿宋_GB2312" w:cs="仿宋_GB2312"/>
          <w:sz w:val="32"/>
          <w:szCs w:val="32"/>
        </w:rPr>
        <w:t>事故可能性取值。具体计算公式如 (1) 所示。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L=(A1+A2+A3+A4+A5)/10                         (1)</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交通</w:t>
      </w:r>
      <w:r>
        <w:rPr>
          <w:rFonts w:hint="eastAsia" w:ascii="仿宋_GB2312" w:hAnsi="仿宋_GB2312" w:eastAsia="仿宋_GB2312" w:cs="仿宋_GB2312"/>
          <w:sz w:val="32"/>
          <w:szCs w:val="32"/>
        </w:rPr>
        <w:t>运输发生事故可能性取值为：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L= (</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+14+10+</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spacing w:line="560" w:lineRule="exact"/>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611" w:name="_Toc10762"/>
      <w:bookmarkStart w:id="612" w:name="_Toc3639"/>
      <w:bookmarkStart w:id="613" w:name="_Toc13737"/>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3.1.1.2 后果严重程度评估</w:t>
      </w:r>
      <w:bookmarkEnd w:id="611"/>
      <w:bookmarkEnd w:id="612"/>
      <w:bookmarkEnd w:id="613"/>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针对不同作业单元，分析风险事件发生后，可能造成的最大人员伤亡、经济损失、环境污染、社会影响，综合参考历史上类似事件后果损失，根据表</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 xml:space="preserve"> ，进行后果严重程度指标 (C) 评分。</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考虑到</w:t>
      </w:r>
      <w:r>
        <w:rPr>
          <w:rFonts w:hint="eastAsia" w:ascii="仿宋_GB2312" w:hAnsi="仿宋_GB2312" w:eastAsia="仿宋_GB2312" w:cs="仿宋_GB2312"/>
          <w:sz w:val="32"/>
          <w:szCs w:val="32"/>
          <w:lang w:val="en-US" w:eastAsia="zh-CN"/>
        </w:rPr>
        <w:t>交通</w:t>
      </w:r>
      <w:r>
        <w:rPr>
          <w:rFonts w:hint="eastAsia" w:ascii="仿宋_GB2312" w:hAnsi="仿宋_GB2312" w:eastAsia="仿宋_GB2312" w:cs="仿宋_GB2312"/>
          <w:sz w:val="32"/>
          <w:szCs w:val="32"/>
        </w:rPr>
        <w:t>运输车辆可能造成群死群伤，后果严重程度为特别严重，后果严重程度指标取值：C= 10</w:t>
      </w:r>
    </w:p>
    <w:p>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614" w:name="_Toc3928"/>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3.1.2  风险等级评估</w:t>
      </w:r>
      <w:bookmarkEnd w:id="614"/>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安全风险等级由高到低统一划分为四级：重大风险、较大风险、一般风险、较小风险。风险等级大小(D) 由风险事件发生的可能性(L) 、后果严重程度(C</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两个指标组合决定，按公式 (2) 确定。风险等级分值及对应的风险等级见表 5。</w:t>
      </w:r>
    </w:p>
    <w:p>
      <w:pPr>
        <w:keepNext w:val="0"/>
        <w:keepLines w:val="0"/>
        <w:pageBreakBefore w:val="0"/>
        <w:kinsoku/>
        <w:wordWrap/>
        <w:overflowPunct/>
        <w:topLinePunct w:val="0"/>
        <w:autoSpaceDE/>
        <w:autoSpaceDN/>
        <w:bidi w:val="0"/>
        <w:spacing w:line="560" w:lineRule="exact"/>
        <w:ind w:firstLine="640" w:firstLineChars="200"/>
        <w:textAlignment w:val="auto"/>
        <w:rPr>
          <w:rFonts w:ascii="宋体" w:hAnsi="宋体" w:eastAsia="宋体" w:cs="宋体"/>
          <w:sz w:val="20"/>
          <w:szCs w:val="20"/>
        </w:rPr>
      </w:pPr>
      <w:r>
        <w:rPr>
          <w:rFonts w:hint="eastAsia" w:ascii="仿宋_GB2312" w:hAnsi="仿宋_GB2312" w:eastAsia="仿宋_GB2312" w:cs="仿宋_GB2312"/>
          <w:sz w:val="32"/>
          <w:szCs w:val="32"/>
        </w:rPr>
        <w:t xml:space="preserve">D=L×C </w:t>
      </w: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 xml:space="preserve">                                      </w:t>
      </w:r>
      <w:r>
        <w:rPr>
          <w:rFonts w:ascii="Times New Roman" w:hAnsi="Times New Roman" w:eastAsia="Times New Roman" w:cs="Times New Roman"/>
          <w:position w:val="1"/>
          <w:sz w:val="20"/>
          <w:szCs w:val="20"/>
        </w:rPr>
        <w:t xml:space="preserve">                      </w:t>
      </w:r>
    </w:p>
    <w:p>
      <w:pPr>
        <w:topLinePunct/>
        <w:autoSpaceDE w:val="0"/>
        <w:autoSpaceDN w:val="0"/>
        <w:spacing w:line="520" w:lineRule="exact"/>
        <w:ind w:firstLine="1405" w:firstLineChars="500"/>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表</w:t>
      </w:r>
      <w:r>
        <w:rPr>
          <w:rFonts w:hint="eastAsia" w:ascii="仿宋_GB2312" w:hAnsi="仿宋_GB2312" w:eastAsia="仿宋_GB2312" w:cs="仿宋_GB2312"/>
          <w:b/>
          <w:bCs w:val="0"/>
          <w:sz w:val="28"/>
          <w:szCs w:val="28"/>
          <w:lang w:val="en-US" w:eastAsia="zh-CN"/>
        </w:rPr>
        <w:t>3-4</w:t>
      </w:r>
      <w:r>
        <w:rPr>
          <w:rFonts w:hint="eastAsia" w:ascii="仿宋_GB2312" w:hAnsi="仿宋_GB2312" w:eastAsia="仿宋_GB2312" w:cs="仿宋_GB2312"/>
          <w:b/>
          <w:bCs w:val="0"/>
          <w:sz w:val="28"/>
          <w:szCs w:val="28"/>
        </w:rPr>
        <w:t xml:space="preserve"> 风险等级分值及对应的风险等级表</w:t>
      </w:r>
    </w:p>
    <w:tbl>
      <w:tblPr>
        <w:tblStyle w:val="33"/>
        <w:tblW w:w="95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87"/>
        <w:gridCol w:w="47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exact"/>
        </w:trPr>
        <w:tc>
          <w:tcPr>
            <w:tcW w:w="4787" w:type="dxa"/>
            <w:vAlign w:val="top"/>
          </w:tcPr>
          <w:p>
            <w:pPr>
              <w:keepNext w:val="0"/>
              <w:keepLines w:val="0"/>
              <w:pageBreakBefore w:val="0"/>
              <w:kinsoku/>
              <w:wordWrap/>
              <w:overflowPunct/>
              <w:topLinePunct w:val="0"/>
              <w:autoSpaceDE/>
              <w:autoSpaceDN/>
              <w:bidi w:val="0"/>
              <w:spacing w:line="560" w:lineRule="exact"/>
              <w:ind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风险等级</w:t>
            </w:r>
          </w:p>
        </w:tc>
        <w:tc>
          <w:tcPr>
            <w:tcW w:w="4788" w:type="dxa"/>
            <w:vAlign w:val="top"/>
          </w:tcPr>
          <w:p>
            <w:pPr>
              <w:keepNext w:val="0"/>
              <w:keepLines w:val="0"/>
              <w:pageBreakBefore w:val="0"/>
              <w:kinsoku/>
              <w:wordWrap/>
              <w:overflowPunct/>
              <w:topLinePunct w:val="0"/>
              <w:autoSpaceDE/>
              <w:autoSpaceDN/>
              <w:bidi w:val="0"/>
              <w:spacing w:line="560" w:lineRule="exact"/>
              <w:ind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风险等级分值 (D)</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exact"/>
        </w:trPr>
        <w:tc>
          <w:tcPr>
            <w:tcW w:w="4787"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重大风险</w:t>
            </w:r>
          </w:p>
        </w:tc>
        <w:tc>
          <w:tcPr>
            <w:tcW w:w="4788"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55＜D≤ 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exact"/>
        </w:trPr>
        <w:tc>
          <w:tcPr>
            <w:tcW w:w="4787"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较大风险</w:t>
            </w:r>
          </w:p>
        </w:tc>
        <w:tc>
          <w:tcPr>
            <w:tcW w:w="4788"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20＜D≤55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exact"/>
        </w:trPr>
        <w:tc>
          <w:tcPr>
            <w:tcW w:w="4787"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一般风险</w:t>
            </w:r>
          </w:p>
        </w:tc>
        <w:tc>
          <w:tcPr>
            <w:tcW w:w="4788"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5＜D≤20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exact"/>
        </w:trPr>
        <w:tc>
          <w:tcPr>
            <w:tcW w:w="4787"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较小风险</w:t>
            </w:r>
          </w:p>
        </w:tc>
        <w:tc>
          <w:tcPr>
            <w:tcW w:w="4788" w:type="dxa"/>
            <w:vAlign w:val="top"/>
          </w:tcPr>
          <w:p>
            <w:pPr>
              <w:keepNext w:val="0"/>
              <w:keepLines w:val="0"/>
              <w:pageBreakBefore w:val="0"/>
              <w:kinsoku/>
              <w:wordWrap/>
              <w:overflowPunct/>
              <w:topLinePunct w:val="0"/>
              <w:autoSpaceDE/>
              <w:autoSpaceDN/>
              <w:bidi w:val="0"/>
              <w:spacing w:line="560" w:lineRule="exact"/>
              <w:ind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0＜D≤5</w:t>
            </w:r>
          </w:p>
        </w:tc>
      </w:tr>
    </w:tbl>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小结结论：交通</w:t>
      </w:r>
      <w:r>
        <w:rPr>
          <w:rFonts w:hint="eastAsia" w:ascii="仿宋_GB2312" w:hAnsi="仿宋_GB2312" w:eastAsia="仿宋_GB2312" w:cs="仿宋_GB2312"/>
          <w:sz w:val="32"/>
          <w:szCs w:val="32"/>
          <w:lang w:eastAsia="zh-CN"/>
        </w:rPr>
        <w:t>运输</w:t>
      </w:r>
      <w:r>
        <w:rPr>
          <w:rFonts w:hint="eastAsia" w:ascii="仿宋_GB2312" w:hAnsi="仿宋_GB2312" w:eastAsia="仿宋_GB2312" w:cs="仿宋_GB2312"/>
          <w:sz w:val="32"/>
          <w:szCs w:val="32"/>
        </w:rPr>
        <w:t>风险等级分值：D=</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＜55 ，风险等级为</w:t>
      </w:r>
      <w:r>
        <w:rPr>
          <w:rFonts w:hint="eastAsia" w:ascii="仿宋_GB2312" w:hAnsi="仿宋_GB2312" w:eastAsia="仿宋_GB2312" w:cs="仿宋_GB2312"/>
          <w:sz w:val="32"/>
          <w:szCs w:val="32"/>
          <w:lang w:eastAsia="zh-CN"/>
        </w:rPr>
        <w:t>较</w:t>
      </w:r>
      <w:r>
        <w:rPr>
          <w:rFonts w:hint="eastAsia" w:ascii="仿宋_GB2312" w:hAnsi="仿宋_GB2312" w:eastAsia="仿宋_GB2312" w:cs="仿宋_GB2312"/>
          <w:sz w:val="32"/>
          <w:szCs w:val="32"/>
        </w:rPr>
        <w:t>大风险</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60" w:lineRule="exact"/>
        <w:textAlignment w:val="auto"/>
        <w:outlineLvl w:val="1"/>
        <w:rPr>
          <w:rFonts w:hint="default"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615" w:name="_Toc19642"/>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3.2矩阵（LS）评价法</w:t>
      </w:r>
      <w:bookmarkEnd w:id="615"/>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b/>
          <w:bCs w:val="0"/>
          <w:sz w:val="28"/>
          <w:szCs w:val="28"/>
        </w:rPr>
      </w:pPr>
      <w:r>
        <w:rPr>
          <w:rFonts w:hint="eastAsia" w:ascii="仿宋_GB2312" w:hAnsi="仿宋_GB2312" w:eastAsia="仿宋_GB2312" w:cs="仿宋_GB2312"/>
          <w:sz w:val="32"/>
          <w:szCs w:val="32"/>
        </w:rPr>
        <w:t>根据交通运输行业的特点及作业方式，选用风险矩阵（LS）评价法较为合适，常常将事件发生的可能性L值的大小和事件后果严重性S值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分别用表明相对差距的数值来表示，然后用两者的乘积</w:t>
      </w:r>
      <w:r>
        <w:rPr>
          <w:rFonts w:hint="eastAsia" w:ascii="仿宋_GB2312" w:hAnsi="仿宋_GB2312" w:eastAsia="仿宋_GB2312" w:cs="仿宋_GB2312"/>
          <w:sz w:val="32"/>
          <w:szCs w:val="32"/>
          <w:lang w:eastAsia="zh-CN"/>
        </w:rPr>
        <w:t>反应</w:t>
      </w:r>
      <w:r>
        <w:rPr>
          <w:rFonts w:hint="eastAsia" w:ascii="仿宋_GB2312" w:hAnsi="仿宋_GB2312" w:eastAsia="仿宋_GB2312" w:cs="仿宋_GB2312"/>
          <w:sz w:val="32"/>
          <w:szCs w:val="32"/>
        </w:rPr>
        <w:t>风险程度R值的大小，即：风险值R= LS，具体判断准则见表</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、表</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、表</w:t>
      </w: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rPr>
        <w:t>、表</w:t>
      </w:r>
      <w:r>
        <w:rPr>
          <w:rFonts w:hint="eastAsia" w:ascii="仿宋_GB2312" w:hAnsi="仿宋_GB2312" w:eastAsia="仿宋_GB2312" w:cs="仿宋_GB2312"/>
          <w:sz w:val="32"/>
          <w:szCs w:val="32"/>
          <w:lang w:val="en-US" w:eastAsia="zh-CN"/>
        </w:rPr>
        <w:t>3-8</w:t>
      </w:r>
      <w:r>
        <w:rPr>
          <w:rFonts w:hint="eastAsia" w:ascii="仿宋_GB2312" w:hAnsi="仿宋_GB2312" w:eastAsia="仿宋_GB2312" w:cs="仿宋_GB2312"/>
          <w:sz w:val="32"/>
          <w:szCs w:val="32"/>
        </w:rPr>
        <w:t>。</w:t>
      </w:r>
    </w:p>
    <w:p>
      <w:pPr>
        <w:topLinePunct/>
        <w:autoSpaceDE w:val="0"/>
        <w:autoSpaceDN w:val="0"/>
        <w:spacing w:line="520" w:lineRule="exact"/>
        <w:ind w:firstLine="1405" w:firstLineChars="500"/>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表</w:t>
      </w:r>
      <w:r>
        <w:rPr>
          <w:rFonts w:hint="eastAsia" w:ascii="仿宋_GB2312" w:hAnsi="仿宋_GB2312" w:eastAsia="仿宋_GB2312" w:cs="仿宋_GB2312"/>
          <w:b/>
          <w:bCs w:val="0"/>
          <w:sz w:val="28"/>
          <w:szCs w:val="28"/>
          <w:lang w:val="en-US" w:eastAsia="zh-CN"/>
        </w:rPr>
        <w:t xml:space="preserve">3-5  </w:t>
      </w:r>
      <w:r>
        <w:rPr>
          <w:rFonts w:hint="eastAsia" w:ascii="仿宋_GB2312" w:hAnsi="仿宋_GB2312" w:eastAsia="仿宋_GB2312" w:cs="仿宋_GB2312"/>
          <w:b/>
          <w:bCs w:val="0"/>
          <w:sz w:val="28"/>
          <w:szCs w:val="28"/>
        </w:rPr>
        <w:t>事件发生的可能性（L）判断准则</w:t>
      </w:r>
    </w:p>
    <w:tbl>
      <w:tblPr>
        <w:tblStyle w:val="21"/>
        <w:tblW w:w="9999" w:type="dxa"/>
        <w:tblInd w:w="-6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9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966" w:type="dxa"/>
            <w:vAlign w:val="center"/>
          </w:tcPr>
          <w:p>
            <w:pPr>
              <w:topLinePunct/>
              <w:snapToGrid w:val="0"/>
              <w:spacing w:line="36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等级</w:t>
            </w:r>
          </w:p>
        </w:tc>
        <w:tc>
          <w:tcPr>
            <w:tcW w:w="9033" w:type="dxa"/>
            <w:vAlign w:val="center"/>
          </w:tcPr>
          <w:p>
            <w:pPr>
              <w:topLinePunct/>
              <w:snapToGrid w:val="0"/>
              <w:spacing w:line="36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966" w:type="dxa"/>
            <w:vAlign w:val="center"/>
          </w:tcPr>
          <w:p>
            <w:pPr>
              <w:topLinePunct/>
              <w:snapToGrid w:val="0"/>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6</w:t>
            </w:r>
          </w:p>
        </w:tc>
        <w:tc>
          <w:tcPr>
            <w:tcW w:w="9033" w:type="dxa"/>
            <w:vAlign w:val="center"/>
          </w:tcPr>
          <w:p>
            <w:pPr>
              <w:topLinePunct/>
              <w:snapToGrid w:val="0"/>
              <w:spacing w:line="400" w:lineRule="exact"/>
              <w:jc w:val="left"/>
              <w:rPr>
                <w:rFonts w:ascii="仿宋_GB2312" w:hAnsi="仿宋_GB2312" w:eastAsia="仿宋_GB2312" w:cs="仿宋_GB2312"/>
                <w:bCs/>
                <w:sz w:val="22"/>
                <w:szCs w:val="22"/>
              </w:rPr>
            </w:pPr>
            <w:r>
              <w:rPr>
                <w:rFonts w:hint="eastAsia" w:ascii="仿宋_GB2312" w:hAnsi="仿宋_GB2312" w:eastAsia="仿宋_GB2312" w:cs="仿宋_GB2312"/>
                <w:bCs/>
                <w:sz w:val="24"/>
                <w:szCs w:val="24"/>
              </w:rPr>
              <w:t>在现场没有采取防范、监测、保护、控制措施，或危险、有害因素的发生不能被发现（没有监测系统），或在正常情况下经常发生此类事故或事件。（时有发生）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66" w:type="dxa"/>
            <w:vAlign w:val="center"/>
          </w:tcPr>
          <w:p>
            <w:pPr>
              <w:topLinePunct/>
              <w:snapToGrid w:val="0"/>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w:t>
            </w:r>
          </w:p>
        </w:tc>
        <w:tc>
          <w:tcPr>
            <w:tcW w:w="9033" w:type="dxa"/>
          </w:tcPr>
          <w:p>
            <w:pPr>
              <w:topLinePunct/>
              <w:snapToGrid w:val="0"/>
              <w:spacing w:line="400" w:lineRule="exact"/>
              <w:rPr>
                <w:rFonts w:ascii="仿宋_GB2312" w:hAnsi="仿宋_GB2312" w:eastAsia="仿宋_GB2312" w:cs="仿宋_GB2312"/>
                <w:bCs/>
                <w:sz w:val="22"/>
                <w:szCs w:val="22"/>
              </w:rPr>
            </w:pPr>
            <w:r>
              <w:rPr>
                <w:rFonts w:hint="eastAsia" w:ascii="仿宋_GB2312" w:hAnsi="仿宋_GB2312" w:eastAsia="仿宋_GB2312" w:cs="仿宋_GB2312"/>
                <w:bCs/>
                <w:sz w:val="24"/>
                <w:szCs w:val="24"/>
              </w:rPr>
              <w:t>危险、有害因素的发生不容易被发现，现场没有检测（监控）系统，也未</w:t>
            </w:r>
            <w:r>
              <w:rPr>
                <w:rFonts w:hint="eastAsia" w:ascii="仿宋_GB2312" w:hAnsi="仿宋_GB2312" w:eastAsia="仿宋_GB2312" w:cs="仿宋_GB2312"/>
                <w:bCs/>
                <w:sz w:val="24"/>
                <w:szCs w:val="24"/>
                <w:lang w:eastAsia="zh-CN"/>
              </w:rPr>
              <w:t>做</w:t>
            </w:r>
            <w:r>
              <w:rPr>
                <w:rFonts w:hint="eastAsia" w:ascii="仿宋_GB2312" w:hAnsi="仿宋_GB2312" w:eastAsia="仿宋_GB2312" w:cs="仿宋_GB2312"/>
                <w:bCs/>
                <w:sz w:val="24"/>
                <w:szCs w:val="24"/>
              </w:rPr>
              <w:t>过任何检测，或在现场有控制措施，但未有效执行或控制措施不当，或危险、有害因素常发生或在预期情况下发生。（能发生）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966" w:type="dxa"/>
            <w:vAlign w:val="center"/>
          </w:tcPr>
          <w:p>
            <w:pPr>
              <w:topLinePunct/>
              <w:snapToGrid w:val="0"/>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4</w:t>
            </w:r>
          </w:p>
        </w:tc>
        <w:tc>
          <w:tcPr>
            <w:tcW w:w="9033" w:type="dxa"/>
          </w:tcPr>
          <w:p>
            <w:pPr>
              <w:topLinePunct/>
              <w:snapToGrid w:val="0"/>
              <w:spacing w:line="400" w:lineRule="exac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有保护措施（如有防护装置、个人防护用品等），未严格按操作程序执行，或过去曾经发生类似事故或事件，或在异常情况下发生过类似事故或事件。（可能发生）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66" w:type="dxa"/>
            <w:vAlign w:val="center"/>
          </w:tcPr>
          <w:p>
            <w:pPr>
              <w:topLinePunct/>
              <w:snapToGrid w:val="0"/>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w:t>
            </w:r>
          </w:p>
        </w:tc>
        <w:tc>
          <w:tcPr>
            <w:tcW w:w="9033" w:type="dxa"/>
          </w:tcPr>
          <w:p>
            <w:pPr>
              <w:topLinePunct/>
              <w:snapToGrid w:val="0"/>
              <w:spacing w:line="400" w:lineRule="exac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没有保护措施（如没有防护装置、没有个人防护用品等），或未严格按操作程序执行，或危险、有害因素的发生容易被发现（现场有监测系统），或曾经</w:t>
            </w:r>
            <w:r>
              <w:rPr>
                <w:rFonts w:hint="eastAsia" w:ascii="仿宋_GB2312" w:hAnsi="仿宋_GB2312" w:eastAsia="仿宋_GB2312" w:cs="仿宋_GB2312"/>
                <w:bCs/>
                <w:sz w:val="24"/>
                <w:szCs w:val="24"/>
                <w:lang w:eastAsia="zh-CN"/>
              </w:rPr>
              <w:t>做过</w:t>
            </w:r>
            <w:r>
              <w:rPr>
                <w:rFonts w:hint="eastAsia" w:ascii="仿宋_GB2312" w:hAnsi="仿宋_GB2312" w:eastAsia="仿宋_GB2312" w:cs="仿宋_GB2312"/>
                <w:bCs/>
                <w:sz w:val="24"/>
                <w:szCs w:val="24"/>
              </w:rPr>
              <w:t>监测，或过去曾经发生类似事故或事件，或在异常情况下发生过类似事故或事件。（低可能发生）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966" w:type="dxa"/>
            <w:vAlign w:val="center"/>
          </w:tcPr>
          <w:p>
            <w:pPr>
              <w:topLinePunct/>
              <w:snapToGrid w:val="0"/>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w:t>
            </w:r>
          </w:p>
        </w:tc>
        <w:tc>
          <w:tcPr>
            <w:tcW w:w="9033" w:type="dxa"/>
          </w:tcPr>
          <w:p>
            <w:pPr>
              <w:topLinePunct/>
              <w:snapToGrid w:val="0"/>
              <w:spacing w:line="400" w:lineRule="exac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危险、有害因素一旦发生能及时发现，并定期进行监测，或现场有防范控制措施，并能有效执行，或过去偶尔发生危险事故或事件。（很少发生）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966" w:type="dxa"/>
            <w:vAlign w:val="center"/>
          </w:tcPr>
          <w:p>
            <w:pPr>
              <w:topLinePunct/>
              <w:snapToGrid w:val="0"/>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w:t>
            </w:r>
          </w:p>
        </w:tc>
        <w:tc>
          <w:tcPr>
            <w:tcW w:w="9033" w:type="dxa"/>
          </w:tcPr>
          <w:p>
            <w:pPr>
              <w:topLinePunct/>
              <w:snapToGrid w:val="0"/>
              <w:spacing w:line="400" w:lineRule="exac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有充分、有效</w:t>
            </w:r>
            <w:r>
              <w:rPr>
                <w:rFonts w:hint="eastAsia" w:ascii="仿宋_GB2312" w:hAnsi="仿宋_GB2312" w:eastAsia="仿宋_GB2312" w:cs="仿宋_GB2312"/>
                <w:bCs/>
                <w:sz w:val="24"/>
                <w:szCs w:val="24"/>
                <w:lang w:eastAsia="zh-CN"/>
              </w:rPr>
              <w:t>的</w:t>
            </w:r>
            <w:r>
              <w:rPr>
                <w:rFonts w:hint="eastAsia" w:ascii="仿宋_GB2312" w:hAnsi="仿宋_GB2312" w:eastAsia="仿宋_GB2312" w:cs="仿宋_GB2312"/>
                <w:bCs/>
                <w:sz w:val="24"/>
                <w:szCs w:val="24"/>
              </w:rPr>
              <w:t>防范、控制、监测、保护措施，或相关人员安全意识相当高，严格执行操作规程。（不可能发生）</w:t>
            </w:r>
          </w:p>
        </w:tc>
      </w:tr>
    </w:tbl>
    <w:p>
      <w:pPr>
        <w:topLinePunct/>
        <w:rPr>
          <w:rFonts w:ascii="仿宋_GB2312" w:hAnsi="仿宋_GB2312" w:eastAsia="仿宋_GB2312" w:cs="仿宋_GB2312"/>
          <w:b/>
          <w:bCs w:val="0"/>
          <w:sz w:val="28"/>
          <w:szCs w:val="28"/>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
          <w:bCs w:val="0"/>
          <w:sz w:val="28"/>
          <w:szCs w:val="28"/>
          <w:lang w:val="en-US" w:eastAsia="zh-CN"/>
        </w:rPr>
        <w:t xml:space="preserve"> </w:t>
      </w:r>
      <w:r>
        <w:rPr>
          <w:rFonts w:hint="eastAsia" w:ascii="仿宋_GB2312" w:hAnsi="仿宋_GB2312" w:eastAsia="仿宋_GB2312" w:cs="仿宋_GB2312"/>
          <w:b/>
          <w:bCs w:val="0"/>
          <w:sz w:val="24"/>
          <w:szCs w:val="24"/>
        </w:rPr>
        <w:t>表</w:t>
      </w:r>
      <w:r>
        <w:rPr>
          <w:rFonts w:hint="eastAsia" w:ascii="仿宋_GB2312" w:hAnsi="仿宋_GB2312" w:eastAsia="仿宋_GB2312" w:cs="仿宋_GB2312"/>
          <w:b/>
          <w:bCs w:val="0"/>
          <w:sz w:val="24"/>
          <w:szCs w:val="24"/>
          <w:lang w:val="en-US" w:eastAsia="zh-CN"/>
        </w:rPr>
        <w:t>3-6</w:t>
      </w:r>
      <w:r>
        <w:rPr>
          <w:rFonts w:hint="eastAsia" w:ascii="仿宋_GB2312" w:hAnsi="仿宋_GB2312" w:eastAsia="仿宋_GB2312" w:cs="仿宋_GB2312"/>
          <w:b/>
          <w:bCs w:val="0"/>
          <w:sz w:val="24"/>
          <w:szCs w:val="24"/>
        </w:rPr>
        <w:t xml:space="preserve">  事件后果严</w:t>
      </w:r>
      <w:r>
        <w:rPr>
          <w:rFonts w:hint="eastAsia" w:ascii="仿宋_GB2312" w:hAnsi="仿宋_GB2312" w:eastAsia="仿宋_GB2312" w:cs="仿宋_GB2312"/>
          <w:b/>
          <w:bCs w:val="0"/>
          <w:sz w:val="28"/>
          <w:szCs w:val="28"/>
        </w:rPr>
        <w:t>重性（S）判别准则</w:t>
      </w:r>
    </w:p>
    <w:tbl>
      <w:tblPr>
        <w:tblStyle w:val="21"/>
        <w:tblW w:w="10258" w:type="dxa"/>
        <w:tblInd w:w="-6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3784"/>
        <w:gridCol w:w="2788"/>
        <w:gridCol w:w="2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12" w:type="dxa"/>
            <w:vAlign w:val="center"/>
          </w:tcPr>
          <w:p>
            <w:pPr>
              <w:topLinePunct/>
              <w:snapToGrid w:val="0"/>
              <w:spacing w:line="40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等级</w:t>
            </w:r>
          </w:p>
        </w:tc>
        <w:tc>
          <w:tcPr>
            <w:tcW w:w="3784" w:type="dxa"/>
            <w:vAlign w:val="center"/>
          </w:tcPr>
          <w:p>
            <w:pPr>
              <w:topLinePunct/>
              <w:snapToGrid w:val="0"/>
              <w:spacing w:line="400" w:lineRule="exac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法律、法规及其他要求</w:t>
            </w:r>
          </w:p>
        </w:tc>
        <w:tc>
          <w:tcPr>
            <w:tcW w:w="2788" w:type="dxa"/>
            <w:vAlign w:val="center"/>
          </w:tcPr>
          <w:p>
            <w:pPr>
              <w:topLinePunct/>
              <w:snapToGrid w:val="0"/>
              <w:spacing w:line="400" w:lineRule="exac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人员伤害程度及范围</w:t>
            </w:r>
          </w:p>
        </w:tc>
        <w:tc>
          <w:tcPr>
            <w:tcW w:w="2874" w:type="dxa"/>
            <w:vAlign w:val="center"/>
          </w:tcPr>
          <w:p>
            <w:pPr>
              <w:topLinePunct/>
              <w:snapToGrid w:val="0"/>
              <w:spacing w:line="400" w:lineRule="exact"/>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由于伤害估算的损失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12"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6</w:t>
            </w:r>
          </w:p>
        </w:tc>
        <w:tc>
          <w:tcPr>
            <w:tcW w:w="3784"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违反法律、法规和标准</w:t>
            </w:r>
          </w:p>
        </w:tc>
        <w:tc>
          <w:tcPr>
            <w:tcW w:w="2788"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多人死亡</w:t>
            </w:r>
          </w:p>
        </w:tc>
        <w:tc>
          <w:tcPr>
            <w:tcW w:w="2874"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500万元以上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12"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3784"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违反法律、法规和标准</w:t>
            </w:r>
          </w:p>
        </w:tc>
        <w:tc>
          <w:tcPr>
            <w:tcW w:w="2788"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一人死亡</w:t>
            </w:r>
          </w:p>
        </w:tc>
        <w:tc>
          <w:tcPr>
            <w:tcW w:w="2874"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100万元至500万元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12"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3784"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潜在违反法规和标准</w:t>
            </w:r>
          </w:p>
        </w:tc>
        <w:tc>
          <w:tcPr>
            <w:tcW w:w="2788"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多人受严重伤害</w:t>
            </w:r>
          </w:p>
        </w:tc>
        <w:tc>
          <w:tcPr>
            <w:tcW w:w="2874"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10万元至100万元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12"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3784" w:type="dxa"/>
            <w:vAlign w:val="center"/>
          </w:tcPr>
          <w:p>
            <w:pPr>
              <w:topLinePunct/>
              <w:snapToGrid w:val="0"/>
              <w:spacing w:line="400" w:lineRule="exact"/>
              <w:jc w:val="lef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不符合公司或行业的安全方针、制度、规定等</w:t>
            </w:r>
          </w:p>
        </w:tc>
        <w:tc>
          <w:tcPr>
            <w:tcW w:w="2788"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一人受严重伤害</w:t>
            </w:r>
          </w:p>
        </w:tc>
        <w:tc>
          <w:tcPr>
            <w:tcW w:w="2874"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5万至10万元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12"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3784"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不符合公司的安全操作程序、规定</w:t>
            </w:r>
          </w:p>
        </w:tc>
        <w:tc>
          <w:tcPr>
            <w:tcW w:w="2788"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一人受到伤害，需要急救；或多人受轻微伤害</w:t>
            </w:r>
          </w:p>
        </w:tc>
        <w:tc>
          <w:tcPr>
            <w:tcW w:w="2874"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1万至5万元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812"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3784"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完全符合</w:t>
            </w:r>
          </w:p>
        </w:tc>
        <w:tc>
          <w:tcPr>
            <w:tcW w:w="2788"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一人受轻微伤害</w:t>
            </w:r>
          </w:p>
        </w:tc>
        <w:tc>
          <w:tcPr>
            <w:tcW w:w="2874"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0至1万</w:t>
            </w:r>
          </w:p>
        </w:tc>
      </w:tr>
    </w:tbl>
    <w:p>
      <w:pPr>
        <w:topLinePunct/>
        <w:ind w:firstLine="2249" w:firstLineChars="800"/>
        <w:rPr>
          <w:rFonts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表3</w:t>
      </w:r>
      <w:r>
        <w:rPr>
          <w:rFonts w:hint="eastAsia" w:ascii="仿宋_GB2312" w:hAnsi="仿宋_GB2312" w:eastAsia="仿宋_GB2312" w:cs="仿宋_GB2312"/>
          <w:b/>
          <w:bCs w:val="0"/>
          <w:sz w:val="28"/>
          <w:szCs w:val="28"/>
          <w:lang w:val="en-US" w:eastAsia="zh-CN"/>
        </w:rPr>
        <w:t>-7</w:t>
      </w:r>
      <w:r>
        <w:rPr>
          <w:rFonts w:hint="eastAsia" w:ascii="仿宋_GB2312" w:hAnsi="仿宋_GB2312" w:eastAsia="仿宋_GB2312" w:cs="仿宋_GB2312"/>
          <w:b/>
          <w:bCs w:val="0"/>
          <w:sz w:val="28"/>
          <w:szCs w:val="28"/>
        </w:rPr>
        <w:t xml:space="preserve">  风险等级判定准则及控制措施</w:t>
      </w:r>
    </w:p>
    <w:tbl>
      <w:tblPr>
        <w:tblStyle w:val="21"/>
        <w:tblW w:w="10338" w:type="dxa"/>
        <w:tblInd w:w="-6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000"/>
        <w:gridCol w:w="7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84" w:type="dxa"/>
            <w:vAlign w:val="center"/>
          </w:tcPr>
          <w:p>
            <w:pPr>
              <w:topLinePunct/>
              <w:spacing w:line="40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风险值R=LS</w:t>
            </w:r>
          </w:p>
        </w:tc>
        <w:tc>
          <w:tcPr>
            <w:tcW w:w="1000" w:type="dxa"/>
            <w:vAlign w:val="center"/>
          </w:tcPr>
          <w:p>
            <w:pPr>
              <w:topLinePunct/>
              <w:spacing w:line="40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等级</w:t>
            </w:r>
          </w:p>
        </w:tc>
        <w:tc>
          <w:tcPr>
            <w:tcW w:w="7354" w:type="dxa"/>
            <w:vAlign w:val="center"/>
          </w:tcPr>
          <w:p>
            <w:pPr>
              <w:topLinePunct/>
              <w:spacing w:line="40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描  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1984"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30～36</w:t>
            </w:r>
          </w:p>
        </w:tc>
        <w:tc>
          <w:tcPr>
            <w:tcW w:w="1000"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重大</w:t>
            </w:r>
          </w:p>
        </w:tc>
        <w:tc>
          <w:tcPr>
            <w:tcW w:w="7354" w:type="dxa"/>
          </w:tcPr>
          <w:p>
            <w:pPr>
              <w:topLinePunct/>
              <w:snapToGrid w:val="0"/>
              <w:spacing w:line="400" w:lineRule="exact"/>
              <w:jc w:val="lef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处于风险非常大的状态，风险处于不可控范围内，风险不可接受，应当立即采取专门措施清除或减小风险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1984"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18～25</w:t>
            </w:r>
          </w:p>
        </w:tc>
        <w:tc>
          <w:tcPr>
            <w:tcW w:w="1000"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较大</w:t>
            </w:r>
          </w:p>
        </w:tc>
        <w:tc>
          <w:tcPr>
            <w:tcW w:w="7354" w:type="dxa"/>
          </w:tcPr>
          <w:p>
            <w:pPr>
              <w:topLinePunct/>
              <w:snapToGrid w:val="0"/>
              <w:spacing w:line="400" w:lineRule="exact"/>
              <w:jc w:val="lef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处于风险较大的状态，但处于可控范围内，风险不可接受，应当采取措施清除或减小风险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1984"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9～16</w:t>
            </w:r>
          </w:p>
        </w:tc>
        <w:tc>
          <w:tcPr>
            <w:tcW w:w="1000"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一般</w:t>
            </w:r>
          </w:p>
        </w:tc>
        <w:tc>
          <w:tcPr>
            <w:tcW w:w="7354" w:type="dxa"/>
          </w:tcPr>
          <w:p>
            <w:pPr>
              <w:topLinePunct/>
              <w:snapToGrid w:val="0"/>
              <w:spacing w:line="400" w:lineRule="exact"/>
              <w:jc w:val="lef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处于风险一般状态，处于可控范围内，风险可接受范围内，可采取措施消除或减轻风险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1984"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1～8</w:t>
            </w:r>
          </w:p>
        </w:tc>
        <w:tc>
          <w:tcPr>
            <w:tcW w:w="1000" w:type="dxa"/>
            <w:vAlign w:val="center"/>
          </w:tcPr>
          <w:p>
            <w:pPr>
              <w:topLinePunct/>
              <w:snapToGrid w:val="0"/>
              <w:spacing w:line="40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较小</w:t>
            </w:r>
          </w:p>
        </w:tc>
        <w:tc>
          <w:tcPr>
            <w:tcW w:w="7354" w:type="dxa"/>
          </w:tcPr>
          <w:p>
            <w:pPr>
              <w:topLinePunct/>
              <w:snapToGrid w:val="0"/>
              <w:spacing w:line="400" w:lineRule="exact"/>
              <w:jc w:val="lef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风险处于较小状态，处于可控范围内，风险可接受范围内，可结合日常工作采取消除或减轻风险</w:t>
            </w:r>
          </w:p>
        </w:tc>
      </w:tr>
    </w:tbl>
    <w:p>
      <w:pPr>
        <w:rPr>
          <w:rFonts w:ascii="仿宋_GB2312" w:hAnsi="仿宋_GB2312" w:eastAsia="仿宋_GB2312" w:cs="仿宋_GB2312"/>
          <w:bCs/>
          <w:sz w:val="32"/>
          <w:szCs w:val="32"/>
        </w:rPr>
        <w:sectPr>
          <w:headerReference r:id="rId4" w:type="default"/>
          <w:footerReference r:id="rId5" w:type="default"/>
          <w:pgSz w:w="11900" w:h="16840"/>
          <w:pgMar w:top="1440" w:right="1552" w:bottom="1440" w:left="1560" w:header="851" w:footer="992" w:gutter="0"/>
          <w:pgNumType w:fmt="decimal" w:start="1"/>
          <w:cols w:space="720" w:num="1"/>
          <w:docGrid w:type="lines" w:linePitch="423" w:charSpace="0"/>
        </w:sectPr>
      </w:pPr>
    </w:p>
    <w:tbl>
      <w:tblPr>
        <w:tblStyle w:val="21"/>
        <w:tblpPr w:leftFromText="180" w:rightFromText="180" w:vertAnchor="page" w:horzAnchor="page" w:tblpX="1108" w:tblpY="2069"/>
        <w:tblOverlap w:val="never"/>
        <w:tblW w:w="14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094"/>
        <w:gridCol w:w="1280"/>
        <w:gridCol w:w="926"/>
        <w:gridCol w:w="1288"/>
        <w:gridCol w:w="1059"/>
        <w:gridCol w:w="1235"/>
        <w:gridCol w:w="795"/>
        <w:gridCol w:w="970"/>
        <w:gridCol w:w="837"/>
        <w:gridCol w:w="1009"/>
        <w:gridCol w:w="583"/>
        <w:gridCol w:w="706"/>
        <w:gridCol w:w="1771"/>
        <w:gridCol w:w="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exact"/>
        </w:trPr>
        <w:tc>
          <w:tcPr>
            <w:tcW w:w="639" w:type="dxa"/>
            <w:vMerge w:val="restart"/>
            <w:tcBorders>
              <w:top w:val="nil"/>
              <w:left w:val="nil"/>
              <w:right w:val="single" w:color="auto" w:sz="12" w:space="0"/>
            </w:tcBorders>
          </w:tcPr>
          <w:p>
            <w:pPr>
              <w:topLinePunct/>
              <w:snapToGrid w:val="0"/>
              <w:spacing w:line="400" w:lineRule="exact"/>
              <w:rPr>
                <w:rFonts w:hint="eastAsia" w:ascii="仿宋_GB2312" w:hAnsi="仿宋_GB2312" w:eastAsia="仿宋_GB2312" w:cs="仿宋_GB2312"/>
                <w:bCs/>
                <w:sz w:val="24"/>
              </w:rPr>
            </w:pPr>
          </w:p>
          <w:p>
            <w:pPr>
              <w:topLinePunct/>
              <w:snapToGrid w:val="0"/>
              <w:spacing w:line="400" w:lineRule="exact"/>
              <w:rPr>
                <w:rFonts w:hint="eastAsia" w:ascii="仿宋_GB2312" w:hAnsi="仿宋_GB2312" w:eastAsia="仿宋_GB2312" w:cs="仿宋_GB2312"/>
                <w:bCs/>
                <w:sz w:val="24"/>
              </w:rPr>
            </w:pPr>
          </w:p>
          <w:p>
            <w:pPr>
              <w:topLinePunct/>
              <w:snapToGrid w:val="0"/>
              <w:spacing w:line="400" w:lineRule="exact"/>
              <w:rPr>
                <w:rFonts w:hint="eastAsia" w:ascii="仿宋_GB2312" w:hAnsi="仿宋_GB2312" w:eastAsia="仿宋_GB2312" w:cs="仿宋_GB2312"/>
                <w:bCs/>
                <w:sz w:val="24"/>
              </w:rPr>
            </w:pPr>
          </w:p>
          <w:p>
            <w:pPr>
              <w:topLinePunct/>
              <w:snapToGrid w:val="0"/>
              <w:spacing w:line="400" w:lineRule="exact"/>
              <w:rPr>
                <w:rFonts w:hint="eastAsia" w:ascii="仿宋_GB2312" w:hAnsi="仿宋_GB2312" w:eastAsia="仿宋_GB2312" w:cs="仿宋_GB2312"/>
                <w:bCs/>
                <w:sz w:val="24"/>
              </w:rPr>
            </w:pPr>
          </w:p>
          <w:p>
            <w:pPr>
              <w:topLinePunct/>
              <w:snapToGrid w:val="0"/>
              <w:spacing w:line="400" w:lineRule="exact"/>
              <w:rPr>
                <w:rFonts w:hint="eastAsia" w:ascii="仿宋_GB2312" w:hAnsi="仿宋_GB2312" w:eastAsia="仿宋_GB2312" w:cs="仿宋_GB2312"/>
                <w:bCs/>
                <w:sz w:val="24"/>
              </w:rPr>
            </w:pPr>
          </w:p>
          <w:p>
            <w:pPr>
              <w:topLinePunct/>
              <w:snapToGrid w:val="0"/>
              <w:spacing w:line="400" w:lineRule="exact"/>
              <w:rPr>
                <w:rFonts w:hint="eastAsia" w:ascii="仿宋_GB2312" w:hAnsi="仿宋_GB2312" w:eastAsia="仿宋_GB2312" w:cs="仿宋_GB2312"/>
                <w:bCs/>
                <w:sz w:val="24"/>
              </w:rPr>
            </w:pPr>
          </w:p>
          <w:p>
            <w:pPr>
              <w:topLinePunct/>
              <w:snapToGrid w:val="0"/>
              <w:spacing w:line="400" w:lineRule="exact"/>
              <w:rPr>
                <w:rFonts w:hint="eastAsia" w:ascii="仿宋_GB2312" w:hAnsi="仿宋_GB2312" w:eastAsia="仿宋_GB2312" w:cs="仿宋_GB2312"/>
                <w:bCs/>
                <w:sz w:val="24"/>
              </w:rPr>
            </w:pPr>
          </w:p>
        </w:tc>
        <w:tc>
          <w:tcPr>
            <w:tcW w:w="1094" w:type="dxa"/>
            <w:vMerge w:val="restart"/>
            <w:tcBorders>
              <w:top w:val="single" w:color="auto" w:sz="12" w:space="0"/>
              <w:left w:val="single" w:color="auto" w:sz="12" w:space="0"/>
              <w:bottom w:val="dashSmallGap" w:color="auto" w:sz="12" w:space="0"/>
              <w:right w:val="dashSmallGap"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低风险（Ⅳ级）</w:t>
            </w:r>
          </w:p>
        </w:tc>
        <w:tc>
          <w:tcPr>
            <w:tcW w:w="1280" w:type="dxa"/>
            <w:vMerge w:val="restart"/>
            <w:tcBorders>
              <w:top w:val="dashSmallGap" w:color="auto" w:sz="12" w:space="0"/>
              <w:left w:val="dashSmallGap" w:color="auto" w:sz="12" w:space="0"/>
              <w:bottom w:val="single" w:color="auto" w:sz="12" w:space="0"/>
              <w:right w:val="dashSmallGap"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一般风险</w:t>
            </w:r>
          </w:p>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（Ⅲ级）</w:t>
            </w:r>
          </w:p>
        </w:tc>
        <w:tc>
          <w:tcPr>
            <w:tcW w:w="2214" w:type="dxa"/>
            <w:gridSpan w:val="2"/>
            <w:vMerge w:val="restart"/>
            <w:tcBorders>
              <w:top w:val="dashSmallGap" w:color="auto" w:sz="12" w:space="0"/>
              <w:left w:val="dashSmallGap" w:color="auto" w:sz="12" w:space="0"/>
              <w:bottom w:val="single" w:color="auto" w:sz="12" w:space="0"/>
              <w:right w:val="dashSmallGap"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 xml:space="preserve">较大风险（Ⅱ级）          </w:t>
            </w:r>
          </w:p>
        </w:tc>
        <w:tc>
          <w:tcPr>
            <w:tcW w:w="2294" w:type="dxa"/>
            <w:gridSpan w:val="2"/>
            <w:vMerge w:val="restart"/>
            <w:tcBorders>
              <w:top w:val="dashSmallGap" w:color="auto" w:sz="12" w:space="0"/>
              <w:left w:val="dashSmallGap" w:color="auto" w:sz="12" w:space="0"/>
              <w:bottom w:val="single" w:color="auto" w:sz="12" w:space="0"/>
              <w:right w:val="dashSmallGap"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重大风险（Ⅰ级）</w:t>
            </w:r>
          </w:p>
        </w:tc>
        <w:tc>
          <w:tcPr>
            <w:tcW w:w="795" w:type="dxa"/>
            <w:vMerge w:val="restart"/>
            <w:tcBorders>
              <w:top w:val="single" w:color="auto" w:sz="12" w:space="0"/>
              <w:left w:val="dashSmallGap"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有效类别</w:t>
            </w:r>
          </w:p>
        </w:tc>
        <w:tc>
          <w:tcPr>
            <w:tcW w:w="970" w:type="dxa"/>
            <w:vMerge w:val="restart"/>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赋值</w:t>
            </w:r>
          </w:p>
        </w:tc>
        <w:tc>
          <w:tcPr>
            <w:tcW w:w="5556" w:type="dxa"/>
            <w:gridSpan w:val="6"/>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ind w:firstLine="2160" w:firstLineChars="900"/>
              <w:rPr>
                <w:rFonts w:hint="eastAsia" w:ascii="仿宋_GB2312" w:hAnsi="仿宋_GB2312" w:eastAsia="仿宋_GB2312" w:cs="仿宋_GB2312"/>
                <w:bCs/>
                <w:sz w:val="24"/>
              </w:rPr>
            </w:pPr>
            <w:r>
              <w:rPr>
                <w:rFonts w:hint="eastAsia" w:ascii="仿宋_GB2312" w:hAnsi="仿宋_GB2312" w:eastAsia="仿宋_GB2312" w:cs="仿宋_GB2312"/>
                <w:bCs/>
                <w:sz w:val="24"/>
              </w:rPr>
              <w:t>损   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39" w:type="dxa"/>
            <w:vMerge w:val="continue"/>
            <w:tcBorders>
              <w:left w:val="nil"/>
              <w:bottom w:val="dashSmallGap" w:color="auto" w:sz="12" w:space="0"/>
              <w:right w:val="single" w:color="auto" w:sz="12" w:space="0"/>
            </w:tcBorders>
          </w:tcPr>
          <w:p>
            <w:pPr>
              <w:topLinePunct/>
              <w:snapToGrid w:val="0"/>
              <w:spacing w:line="400" w:lineRule="exact"/>
              <w:rPr>
                <w:rFonts w:hint="eastAsia" w:ascii="仿宋_GB2312" w:hAnsi="仿宋_GB2312" w:eastAsia="仿宋_GB2312" w:cs="仿宋_GB2312"/>
                <w:bCs/>
                <w:sz w:val="24"/>
              </w:rPr>
            </w:pPr>
          </w:p>
        </w:tc>
        <w:tc>
          <w:tcPr>
            <w:tcW w:w="1094" w:type="dxa"/>
            <w:vMerge w:val="continue"/>
            <w:tcBorders>
              <w:top w:val="dashSmallGap" w:color="auto" w:sz="12" w:space="0"/>
              <w:left w:val="single" w:color="auto" w:sz="12" w:space="0"/>
              <w:bottom w:val="dashSmallGap" w:color="auto" w:sz="12" w:space="0"/>
              <w:right w:val="dashSmallGap" w:color="auto" w:sz="12" w:space="0"/>
            </w:tcBorders>
          </w:tcPr>
          <w:p>
            <w:pPr>
              <w:topLinePunct/>
              <w:snapToGrid w:val="0"/>
              <w:spacing w:line="400" w:lineRule="exact"/>
              <w:rPr>
                <w:rFonts w:hint="eastAsia" w:ascii="仿宋_GB2312" w:hAnsi="仿宋_GB2312" w:eastAsia="仿宋_GB2312" w:cs="仿宋_GB2312"/>
                <w:bCs/>
                <w:sz w:val="24"/>
              </w:rPr>
            </w:pPr>
          </w:p>
        </w:tc>
        <w:tc>
          <w:tcPr>
            <w:tcW w:w="1280" w:type="dxa"/>
            <w:vMerge w:val="continue"/>
            <w:tcBorders>
              <w:top w:val="single" w:color="auto" w:sz="12" w:space="0"/>
              <w:left w:val="dashSmallGap" w:color="auto" w:sz="12" w:space="0"/>
              <w:bottom w:val="single" w:color="auto" w:sz="12" w:space="0"/>
              <w:right w:val="dashSmallGap" w:color="auto" w:sz="12" w:space="0"/>
            </w:tcBorders>
          </w:tcPr>
          <w:p>
            <w:pPr>
              <w:topLinePunct/>
              <w:snapToGrid w:val="0"/>
              <w:spacing w:line="400" w:lineRule="exact"/>
              <w:rPr>
                <w:rFonts w:hint="eastAsia" w:ascii="仿宋_GB2312" w:hAnsi="仿宋_GB2312" w:eastAsia="仿宋_GB2312" w:cs="仿宋_GB2312"/>
                <w:bCs/>
                <w:sz w:val="24"/>
              </w:rPr>
            </w:pPr>
          </w:p>
        </w:tc>
        <w:tc>
          <w:tcPr>
            <w:tcW w:w="2214" w:type="dxa"/>
            <w:gridSpan w:val="2"/>
            <w:vMerge w:val="continue"/>
            <w:tcBorders>
              <w:top w:val="single" w:color="auto" w:sz="12" w:space="0"/>
              <w:left w:val="dashSmallGap" w:color="auto" w:sz="12" w:space="0"/>
              <w:bottom w:val="single" w:color="auto" w:sz="12" w:space="0"/>
              <w:right w:val="dashSmallGap" w:color="auto" w:sz="12" w:space="0"/>
            </w:tcBorders>
          </w:tcPr>
          <w:p>
            <w:pPr>
              <w:topLinePunct/>
              <w:snapToGrid w:val="0"/>
              <w:spacing w:line="400" w:lineRule="exact"/>
              <w:rPr>
                <w:rFonts w:hint="eastAsia" w:ascii="仿宋_GB2312" w:hAnsi="仿宋_GB2312" w:eastAsia="仿宋_GB2312" w:cs="仿宋_GB2312"/>
                <w:bCs/>
                <w:sz w:val="24"/>
              </w:rPr>
            </w:pPr>
          </w:p>
        </w:tc>
        <w:tc>
          <w:tcPr>
            <w:tcW w:w="2294" w:type="dxa"/>
            <w:gridSpan w:val="2"/>
            <w:vMerge w:val="continue"/>
            <w:tcBorders>
              <w:top w:val="single" w:color="auto" w:sz="12" w:space="0"/>
              <w:left w:val="dashSmallGap" w:color="auto" w:sz="12" w:space="0"/>
              <w:bottom w:val="single" w:color="auto" w:sz="12" w:space="0"/>
              <w:right w:val="dashSmallGap" w:color="auto" w:sz="12" w:space="0"/>
            </w:tcBorders>
          </w:tcPr>
          <w:p>
            <w:pPr>
              <w:topLinePunct/>
              <w:snapToGrid w:val="0"/>
              <w:spacing w:line="400" w:lineRule="exact"/>
              <w:rPr>
                <w:rFonts w:hint="eastAsia" w:ascii="仿宋_GB2312" w:hAnsi="仿宋_GB2312" w:eastAsia="仿宋_GB2312" w:cs="仿宋_GB2312"/>
                <w:bCs/>
                <w:sz w:val="24"/>
              </w:rPr>
            </w:pPr>
          </w:p>
        </w:tc>
        <w:tc>
          <w:tcPr>
            <w:tcW w:w="795" w:type="dxa"/>
            <w:vMerge w:val="continue"/>
            <w:tcBorders>
              <w:top w:val="single" w:color="auto" w:sz="12" w:space="0"/>
              <w:left w:val="dashSmallGap" w:color="auto" w:sz="12" w:space="0"/>
              <w:bottom w:val="single" w:color="auto" w:sz="12" w:space="0"/>
              <w:right w:val="single" w:color="auto" w:sz="12" w:space="0"/>
            </w:tcBorders>
          </w:tcPr>
          <w:p>
            <w:pPr>
              <w:topLinePunct/>
              <w:snapToGrid w:val="0"/>
              <w:spacing w:line="400" w:lineRule="exact"/>
              <w:rPr>
                <w:rFonts w:hint="eastAsia" w:ascii="仿宋_GB2312" w:hAnsi="仿宋_GB2312" w:eastAsia="仿宋_GB2312" w:cs="仿宋_GB2312"/>
                <w:bCs/>
                <w:sz w:val="24"/>
              </w:rPr>
            </w:pPr>
          </w:p>
        </w:tc>
        <w:tc>
          <w:tcPr>
            <w:tcW w:w="970" w:type="dxa"/>
            <w:vMerge w:val="continue"/>
            <w:tcBorders>
              <w:top w:val="single" w:color="auto" w:sz="12" w:space="0"/>
              <w:left w:val="single" w:color="auto" w:sz="12" w:space="0"/>
              <w:bottom w:val="single" w:color="auto" w:sz="12" w:space="0"/>
              <w:right w:val="single" w:color="auto" w:sz="12" w:space="0"/>
            </w:tcBorders>
          </w:tcPr>
          <w:p>
            <w:pPr>
              <w:topLinePunct/>
              <w:snapToGrid w:val="0"/>
              <w:spacing w:line="400" w:lineRule="exact"/>
              <w:rPr>
                <w:rFonts w:hint="eastAsia" w:ascii="仿宋_GB2312" w:hAnsi="仿宋_GB2312" w:eastAsia="仿宋_GB2312" w:cs="仿宋_GB2312"/>
                <w:bCs/>
                <w:sz w:val="24"/>
              </w:rPr>
            </w:pPr>
          </w:p>
        </w:tc>
        <w:tc>
          <w:tcPr>
            <w:tcW w:w="2429" w:type="dxa"/>
            <w:gridSpan w:val="3"/>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人员伤害程度及范围</w:t>
            </w:r>
          </w:p>
        </w:tc>
        <w:tc>
          <w:tcPr>
            <w:tcW w:w="3127" w:type="dxa"/>
            <w:gridSpan w:val="3"/>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由于伤害估算</w:t>
            </w:r>
            <w:r>
              <w:rPr>
                <w:rFonts w:hint="eastAsia" w:ascii="仿宋_GB2312" w:hAnsi="仿宋_GB2312" w:eastAsia="仿宋_GB2312" w:cs="仿宋_GB2312"/>
                <w:bCs/>
                <w:sz w:val="24"/>
                <w:lang w:eastAsia="zh-CN"/>
              </w:rPr>
              <w:t>的</w:t>
            </w:r>
            <w:r>
              <w:rPr>
                <w:rFonts w:hint="eastAsia" w:ascii="仿宋_GB2312" w:hAnsi="仿宋_GB2312" w:eastAsia="仿宋_GB2312" w:cs="仿宋_GB2312"/>
                <w:bCs/>
                <w:sz w:val="24"/>
              </w:rPr>
              <w:t>损失（万元）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639" w:type="dxa"/>
            <w:vMerge w:val="restart"/>
            <w:tcBorders>
              <w:top w:val="dashSmallGap" w:color="auto" w:sz="12" w:space="0"/>
              <w:left w:val="dashSmallGap"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较小风险（Ⅳ级）</w:t>
            </w:r>
          </w:p>
        </w:tc>
        <w:tc>
          <w:tcPr>
            <w:tcW w:w="1094" w:type="dxa"/>
            <w:tcBorders>
              <w:top w:val="dashSmallGap" w:color="auto" w:sz="12" w:space="0"/>
              <w:left w:val="single" w:color="auto" w:sz="12" w:space="0"/>
              <w:bottom w:val="single" w:color="auto" w:sz="12" w:space="0"/>
              <w:right w:val="dashSmallGap"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6</w:t>
            </w:r>
          </w:p>
        </w:tc>
        <w:tc>
          <w:tcPr>
            <w:tcW w:w="1280" w:type="dxa"/>
            <w:tcBorders>
              <w:top w:val="single" w:color="auto" w:sz="12" w:space="0"/>
              <w:left w:val="single" w:color="auto" w:sz="12" w:space="0"/>
              <w:bottom w:val="single" w:color="auto" w:sz="12" w:space="0"/>
              <w:right w:val="dashSmallGap" w:color="auto" w:sz="12" w:space="0"/>
            </w:tcBorders>
            <w:shd w:val="clear" w:color="auto" w:fill="FFFF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12</w:t>
            </w:r>
          </w:p>
        </w:tc>
        <w:tc>
          <w:tcPr>
            <w:tcW w:w="926" w:type="dxa"/>
            <w:tcBorders>
              <w:top w:val="single" w:color="auto" w:sz="12" w:space="0"/>
              <w:left w:val="single" w:color="auto" w:sz="12" w:space="0"/>
              <w:bottom w:val="single" w:color="auto" w:sz="12" w:space="0"/>
              <w:right w:val="single" w:color="auto" w:sz="12" w:space="0"/>
            </w:tcBorders>
            <w:shd w:val="clear" w:color="auto" w:fill="FF99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18</w:t>
            </w:r>
          </w:p>
        </w:tc>
        <w:tc>
          <w:tcPr>
            <w:tcW w:w="1288" w:type="dxa"/>
            <w:tcBorders>
              <w:top w:val="single" w:color="auto" w:sz="12" w:space="0"/>
              <w:left w:val="single" w:color="auto" w:sz="12" w:space="0"/>
              <w:bottom w:val="single" w:color="auto" w:sz="12" w:space="0"/>
              <w:right w:val="dashSmallGap" w:color="auto" w:sz="12" w:space="0"/>
            </w:tcBorders>
            <w:shd w:val="clear" w:color="auto" w:fill="FF99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24</w:t>
            </w:r>
          </w:p>
        </w:tc>
        <w:tc>
          <w:tcPr>
            <w:tcW w:w="1059" w:type="dxa"/>
            <w:tcBorders>
              <w:top w:val="single" w:color="auto" w:sz="12" w:space="0"/>
              <w:left w:val="single" w:color="auto" w:sz="12" w:space="0"/>
              <w:bottom w:val="dashSmallGap" w:color="auto" w:sz="12" w:space="0"/>
              <w:right w:val="single" w:color="auto" w:sz="12" w:space="0"/>
            </w:tcBorders>
            <w:shd w:val="clear" w:color="auto" w:fill="FF00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30</w:t>
            </w:r>
          </w:p>
        </w:tc>
        <w:tc>
          <w:tcPr>
            <w:tcW w:w="1235" w:type="dxa"/>
            <w:tcBorders>
              <w:top w:val="single" w:color="auto" w:sz="12" w:space="0"/>
              <w:left w:val="single" w:color="auto" w:sz="12" w:space="0"/>
              <w:bottom w:val="single" w:color="auto" w:sz="12" w:space="0"/>
              <w:right w:val="dashSmallGap" w:color="auto" w:sz="12" w:space="0"/>
            </w:tcBorders>
            <w:shd w:val="clear" w:color="auto" w:fill="FF00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36</w:t>
            </w:r>
          </w:p>
        </w:tc>
        <w:tc>
          <w:tcPr>
            <w:tcW w:w="795" w:type="dxa"/>
            <w:tcBorders>
              <w:top w:val="single" w:color="auto" w:sz="12" w:space="0"/>
              <w:left w:val="dashSmallGap" w:color="auto" w:sz="12" w:space="0"/>
              <w:bottom w:val="single" w:color="auto" w:sz="4"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A</w:t>
            </w:r>
          </w:p>
        </w:tc>
        <w:tc>
          <w:tcPr>
            <w:tcW w:w="970" w:type="dxa"/>
            <w:tcBorders>
              <w:top w:val="single" w:color="auto" w:sz="12" w:space="0"/>
              <w:left w:val="single" w:color="auto" w:sz="12" w:space="0"/>
              <w:bottom w:val="single" w:color="auto" w:sz="4"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6</w:t>
            </w:r>
          </w:p>
        </w:tc>
        <w:tc>
          <w:tcPr>
            <w:tcW w:w="2429" w:type="dxa"/>
            <w:gridSpan w:val="3"/>
            <w:tcBorders>
              <w:top w:val="single" w:color="auto" w:sz="12" w:space="0"/>
              <w:left w:val="single" w:color="auto" w:sz="12" w:space="0"/>
              <w:bottom w:val="single" w:color="auto" w:sz="4"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多人死亡</w:t>
            </w:r>
          </w:p>
        </w:tc>
        <w:tc>
          <w:tcPr>
            <w:tcW w:w="3127" w:type="dxa"/>
            <w:gridSpan w:val="3"/>
            <w:tcBorders>
              <w:top w:val="single" w:color="auto" w:sz="12" w:space="0"/>
              <w:left w:val="single" w:color="auto" w:sz="12" w:space="0"/>
              <w:bottom w:val="single" w:color="auto" w:sz="4"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500以上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639" w:type="dxa"/>
            <w:vMerge w:val="continue"/>
            <w:tcBorders>
              <w:left w:val="dashSmallGap"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094" w:type="dxa"/>
            <w:tcBorders>
              <w:top w:val="single" w:color="auto" w:sz="12" w:space="0"/>
              <w:left w:val="single" w:color="auto" w:sz="12" w:space="0"/>
              <w:bottom w:val="single" w:color="auto" w:sz="12" w:space="0"/>
              <w:right w:val="dashSmallGap"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5</w:t>
            </w:r>
          </w:p>
        </w:tc>
        <w:tc>
          <w:tcPr>
            <w:tcW w:w="1280" w:type="dxa"/>
            <w:tcBorders>
              <w:top w:val="single" w:color="auto" w:sz="12" w:space="0"/>
              <w:left w:val="single" w:color="auto" w:sz="12" w:space="0"/>
              <w:bottom w:val="single" w:color="auto" w:sz="12" w:space="0"/>
              <w:right w:val="single" w:color="auto" w:sz="12" w:space="0"/>
            </w:tcBorders>
            <w:shd w:val="clear" w:color="auto" w:fill="FFFF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10</w:t>
            </w:r>
          </w:p>
        </w:tc>
        <w:tc>
          <w:tcPr>
            <w:tcW w:w="926" w:type="dxa"/>
            <w:tcBorders>
              <w:top w:val="dashSmallGap" w:color="auto" w:sz="12" w:space="0"/>
              <w:left w:val="single" w:color="auto" w:sz="12" w:space="0"/>
              <w:bottom w:val="single" w:color="auto" w:sz="12" w:space="0"/>
              <w:right w:val="dashSmallGap" w:color="auto" w:sz="12" w:space="0"/>
            </w:tcBorders>
            <w:shd w:val="clear" w:color="auto" w:fill="FFFF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15</w:t>
            </w:r>
          </w:p>
        </w:tc>
        <w:tc>
          <w:tcPr>
            <w:tcW w:w="1288" w:type="dxa"/>
            <w:tcBorders>
              <w:top w:val="single" w:color="auto" w:sz="12" w:space="0"/>
              <w:left w:val="single" w:color="auto" w:sz="12" w:space="0"/>
              <w:bottom w:val="single" w:color="auto" w:sz="12" w:space="0"/>
              <w:right w:val="single" w:color="auto" w:sz="12" w:space="0"/>
            </w:tcBorders>
            <w:shd w:val="clear" w:color="auto" w:fill="FF99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20</w:t>
            </w:r>
          </w:p>
        </w:tc>
        <w:tc>
          <w:tcPr>
            <w:tcW w:w="1059" w:type="dxa"/>
            <w:tcBorders>
              <w:top w:val="dashSmallGap" w:color="auto" w:sz="12" w:space="0"/>
              <w:left w:val="single" w:color="auto" w:sz="12" w:space="0"/>
              <w:bottom w:val="single" w:color="auto" w:sz="12" w:space="0"/>
              <w:right w:val="dashSmallGap" w:color="auto" w:sz="12" w:space="0"/>
            </w:tcBorders>
            <w:shd w:val="clear" w:color="auto" w:fill="FF99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25</w:t>
            </w:r>
          </w:p>
        </w:tc>
        <w:tc>
          <w:tcPr>
            <w:tcW w:w="1235" w:type="dxa"/>
            <w:tcBorders>
              <w:top w:val="single" w:color="auto" w:sz="12" w:space="0"/>
              <w:left w:val="single" w:color="auto" w:sz="12" w:space="0"/>
              <w:bottom w:val="dashSmallGap" w:color="auto" w:sz="12" w:space="0"/>
              <w:right w:val="dashSmallGap" w:color="auto" w:sz="12" w:space="0"/>
            </w:tcBorders>
            <w:shd w:val="clear" w:color="auto" w:fill="FF00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30</w:t>
            </w:r>
          </w:p>
        </w:tc>
        <w:tc>
          <w:tcPr>
            <w:tcW w:w="795" w:type="dxa"/>
            <w:tcBorders>
              <w:top w:val="single" w:color="auto" w:sz="12" w:space="0"/>
              <w:left w:val="dashSmallGap" w:color="auto" w:sz="12" w:space="0"/>
              <w:bottom w:val="single" w:color="auto" w:sz="4"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B</w:t>
            </w:r>
          </w:p>
        </w:tc>
        <w:tc>
          <w:tcPr>
            <w:tcW w:w="970" w:type="dxa"/>
            <w:tcBorders>
              <w:top w:val="single" w:color="auto" w:sz="12" w:space="0"/>
              <w:left w:val="single" w:color="auto" w:sz="12" w:space="0"/>
              <w:bottom w:val="single" w:color="auto" w:sz="4"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5</w:t>
            </w:r>
          </w:p>
        </w:tc>
        <w:tc>
          <w:tcPr>
            <w:tcW w:w="2429" w:type="dxa"/>
            <w:gridSpan w:val="3"/>
            <w:tcBorders>
              <w:top w:val="single" w:color="auto" w:sz="12" w:space="0"/>
              <w:left w:val="single" w:color="auto" w:sz="12" w:space="0"/>
              <w:bottom w:val="single" w:color="auto" w:sz="4"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一人死亡</w:t>
            </w:r>
          </w:p>
        </w:tc>
        <w:tc>
          <w:tcPr>
            <w:tcW w:w="3127" w:type="dxa"/>
            <w:gridSpan w:val="3"/>
            <w:tcBorders>
              <w:top w:val="single" w:color="auto" w:sz="12" w:space="0"/>
              <w:left w:val="single" w:color="auto" w:sz="12" w:space="0"/>
              <w:bottom w:val="single" w:color="auto" w:sz="4"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100到500之间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639" w:type="dxa"/>
            <w:vMerge w:val="continue"/>
            <w:tcBorders>
              <w:left w:val="dashSmallGap"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094" w:type="dxa"/>
            <w:tcBorders>
              <w:top w:val="single" w:color="auto" w:sz="12" w:space="0"/>
              <w:left w:val="single" w:color="auto" w:sz="12" w:space="0"/>
              <w:bottom w:val="single" w:color="auto" w:sz="12" w:space="0"/>
              <w:right w:val="single"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4</w:t>
            </w:r>
          </w:p>
        </w:tc>
        <w:tc>
          <w:tcPr>
            <w:tcW w:w="1280" w:type="dxa"/>
            <w:tcBorders>
              <w:top w:val="dashSmallGap" w:color="auto" w:sz="12" w:space="0"/>
              <w:left w:val="single" w:color="auto" w:sz="12" w:space="0"/>
              <w:bottom w:val="single" w:color="auto" w:sz="12" w:space="0"/>
              <w:right w:val="dashSmallGap"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8</w:t>
            </w:r>
          </w:p>
        </w:tc>
        <w:tc>
          <w:tcPr>
            <w:tcW w:w="926" w:type="dxa"/>
            <w:tcBorders>
              <w:top w:val="single" w:color="auto" w:sz="12" w:space="0"/>
              <w:left w:val="single" w:color="auto" w:sz="12" w:space="0"/>
              <w:bottom w:val="single" w:color="auto" w:sz="12" w:space="0"/>
              <w:right w:val="single" w:color="auto" w:sz="12" w:space="0"/>
            </w:tcBorders>
            <w:shd w:val="clear" w:color="auto" w:fill="FFFF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12</w:t>
            </w:r>
          </w:p>
        </w:tc>
        <w:tc>
          <w:tcPr>
            <w:tcW w:w="1288" w:type="dxa"/>
            <w:tcBorders>
              <w:top w:val="dashSmallGap" w:color="auto" w:sz="12" w:space="0"/>
              <w:left w:val="single" w:color="auto" w:sz="12" w:space="0"/>
              <w:bottom w:val="single" w:color="auto" w:sz="12" w:space="0"/>
              <w:right w:val="dashSmallGap" w:color="auto" w:sz="12" w:space="0"/>
            </w:tcBorders>
            <w:shd w:val="clear" w:color="auto" w:fill="FFFF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16</w:t>
            </w:r>
          </w:p>
        </w:tc>
        <w:tc>
          <w:tcPr>
            <w:tcW w:w="1059" w:type="dxa"/>
            <w:tcBorders>
              <w:top w:val="single" w:color="auto" w:sz="12" w:space="0"/>
              <w:left w:val="single" w:color="auto" w:sz="12" w:space="0"/>
              <w:bottom w:val="single" w:color="auto" w:sz="12" w:space="0"/>
              <w:right w:val="single" w:color="auto" w:sz="12" w:space="0"/>
            </w:tcBorders>
            <w:shd w:val="clear" w:color="auto" w:fill="FF99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20</w:t>
            </w:r>
          </w:p>
        </w:tc>
        <w:tc>
          <w:tcPr>
            <w:tcW w:w="1235" w:type="dxa"/>
            <w:tcBorders>
              <w:top w:val="dashSmallGap" w:color="auto" w:sz="12" w:space="0"/>
              <w:left w:val="single" w:color="auto" w:sz="12" w:space="0"/>
              <w:bottom w:val="single" w:color="auto" w:sz="12" w:space="0"/>
              <w:right w:val="dashSmallGap" w:color="auto" w:sz="12" w:space="0"/>
            </w:tcBorders>
            <w:shd w:val="clear" w:color="auto" w:fill="FF99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24</w:t>
            </w:r>
          </w:p>
        </w:tc>
        <w:tc>
          <w:tcPr>
            <w:tcW w:w="795" w:type="dxa"/>
            <w:tcBorders>
              <w:top w:val="single" w:color="auto" w:sz="12" w:space="0"/>
              <w:left w:val="dashSmallGap" w:color="auto" w:sz="12" w:space="0"/>
              <w:bottom w:val="single" w:color="auto" w:sz="4"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C</w:t>
            </w:r>
          </w:p>
        </w:tc>
        <w:tc>
          <w:tcPr>
            <w:tcW w:w="970" w:type="dxa"/>
            <w:tcBorders>
              <w:top w:val="single" w:color="auto" w:sz="12" w:space="0"/>
              <w:left w:val="single" w:color="auto" w:sz="12" w:space="0"/>
              <w:bottom w:val="single" w:color="auto" w:sz="4"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4</w:t>
            </w:r>
          </w:p>
        </w:tc>
        <w:tc>
          <w:tcPr>
            <w:tcW w:w="2429" w:type="dxa"/>
            <w:gridSpan w:val="3"/>
            <w:tcBorders>
              <w:top w:val="single" w:color="auto" w:sz="12" w:space="0"/>
              <w:left w:val="single" w:color="auto" w:sz="12" w:space="0"/>
              <w:bottom w:val="single" w:color="auto" w:sz="4"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多人受严重伤害</w:t>
            </w:r>
          </w:p>
        </w:tc>
        <w:tc>
          <w:tcPr>
            <w:tcW w:w="3127" w:type="dxa"/>
            <w:gridSpan w:val="3"/>
            <w:tcBorders>
              <w:top w:val="single" w:color="auto" w:sz="12" w:space="0"/>
              <w:left w:val="single" w:color="auto" w:sz="12" w:space="0"/>
              <w:bottom w:val="single" w:color="auto" w:sz="4"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10到100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639" w:type="dxa"/>
            <w:vMerge w:val="continue"/>
            <w:tcBorders>
              <w:left w:val="dashSmallGap"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094" w:type="dxa"/>
            <w:tcBorders>
              <w:top w:val="single" w:color="auto" w:sz="12" w:space="0"/>
              <w:left w:val="single" w:color="auto" w:sz="12" w:space="0"/>
              <w:bottom w:val="single" w:color="auto" w:sz="12" w:space="0"/>
              <w:right w:val="single"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3</w:t>
            </w:r>
          </w:p>
        </w:tc>
        <w:tc>
          <w:tcPr>
            <w:tcW w:w="1280" w:type="dxa"/>
            <w:tcBorders>
              <w:top w:val="single" w:color="auto" w:sz="12" w:space="0"/>
              <w:left w:val="single" w:color="auto" w:sz="12" w:space="0"/>
              <w:bottom w:val="single" w:color="auto" w:sz="12" w:space="0"/>
              <w:right w:val="dashSmallGap"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6</w:t>
            </w:r>
          </w:p>
        </w:tc>
        <w:tc>
          <w:tcPr>
            <w:tcW w:w="926" w:type="dxa"/>
            <w:tcBorders>
              <w:top w:val="single" w:color="auto" w:sz="12" w:space="0"/>
              <w:left w:val="single" w:color="auto" w:sz="12" w:space="0"/>
              <w:bottom w:val="single" w:color="auto" w:sz="12" w:space="0"/>
              <w:right w:val="single" w:color="auto" w:sz="12" w:space="0"/>
            </w:tcBorders>
            <w:shd w:val="clear" w:color="auto" w:fill="FFFF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9</w:t>
            </w:r>
          </w:p>
        </w:tc>
        <w:tc>
          <w:tcPr>
            <w:tcW w:w="1288" w:type="dxa"/>
            <w:tcBorders>
              <w:top w:val="single" w:color="auto" w:sz="12" w:space="0"/>
              <w:left w:val="single" w:color="auto" w:sz="12" w:space="0"/>
              <w:bottom w:val="single" w:color="auto" w:sz="12" w:space="0"/>
              <w:right w:val="single" w:color="auto" w:sz="12" w:space="0"/>
            </w:tcBorders>
            <w:shd w:val="clear" w:color="auto" w:fill="FFFF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12</w:t>
            </w:r>
          </w:p>
        </w:tc>
        <w:tc>
          <w:tcPr>
            <w:tcW w:w="1059" w:type="dxa"/>
            <w:tcBorders>
              <w:top w:val="dashSmallGap" w:color="auto" w:sz="12" w:space="0"/>
              <w:left w:val="single" w:color="auto" w:sz="12" w:space="0"/>
              <w:bottom w:val="single" w:color="auto" w:sz="12" w:space="0"/>
              <w:right w:val="dashSmallGap" w:color="auto" w:sz="12" w:space="0"/>
            </w:tcBorders>
            <w:shd w:val="clear" w:color="auto" w:fill="FFFF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15</w:t>
            </w:r>
          </w:p>
        </w:tc>
        <w:tc>
          <w:tcPr>
            <w:tcW w:w="1235" w:type="dxa"/>
            <w:tcBorders>
              <w:top w:val="single" w:color="auto" w:sz="12" w:space="0"/>
              <w:left w:val="single" w:color="auto" w:sz="12" w:space="0"/>
              <w:bottom w:val="single" w:color="auto" w:sz="12" w:space="0"/>
              <w:right w:val="dashSmallGap" w:color="auto" w:sz="12" w:space="0"/>
            </w:tcBorders>
            <w:shd w:val="clear" w:color="auto" w:fill="FF99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18</w:t>
            </w:r>
          </w:p>
        </w:tc>
        <w:tc>
          <w:tcPr>
            <w:tcW w:w="795" w:type="dxa"/>
            <w:tcBorders>
              <w:top w:val="single" w:color="auto" w:sz="12" w:space="0"/>
              <w:left w:val="dashSmallGap"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D</w:t>
            </w:r>
          </w:p>
        </w:tc>
        <w:tc>
          <w:tcPr>
            <w:tcW w:w="970" w:type="dxa"/>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3</w:t>
            </w:r>
          </w:p>
        </w:tc>
        <w:tc>
          <w:tcPr>
            <w:tcW w:w="2429" w:type="dxa"/>
            <w:gridSpan w:val="3"/>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一人受严重伤害</w:t>
            </w:r>
          </w:p>
        </w:tc>
        <w:tc>
          <w:tcPr>
            <w:tcW w:w="3127" w:type="dxa"/>
            <w:gridSpan w:val="3"/>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5.1到10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exact"/>
        </w:trPr>
        <w:tc>
          <w:tcPr>
            <w:tcW w:w="639" w:type="dxa"/>
            <w:vMerge w:val="continue"/>
            <w:tcBorders>
              <w:left w:val="dashSmallGap" w:color="auto" w:sz="12" w:space="0"/>
              <w:right w:val="single" w:color="auto" w:sz="12" w:space="0"/>
            </w:tcBorders>
            <w:shd w:val="clear" w:color="auto" w:fill="auto"/>
          </w:tcPr>
          <w:p>
            <w:pPr>
              <w:topLinePunct/>
              <w:snapToGrid w:val="0"/>
              <w:spacing w:line="400" w:lineRule="exact"/>
              <w:rPr>
                <w:rFonts w:hint="eastAsia" w:ascii="仿宋_GB2312" w:hAnsi="仿宋_GB2312" w:eastAsia="仿宋_GB2312" w:cs="仿宋_GB2312"/>
                <w:bCs/>
                <w:sz w:val="24"/>
              </w:rPr>
            </w:pPr>
          </w:p>
        </w:tc>
        <w:tc>
          <w:tcPr>
            <w:tcW w:w="1094" w:type="dxa"/>
            <w:tcBorders>
              <w:top w:val="single" w:color="auto" w:sz="12" w:space="0"/>
              <w:left w:val="single" w:color="auto" w:sz="12" w:space="0"/>
              <w:bottom w:val="single" w:color="auto" w:sz="12" w:space="0"/>
              <w:right w:val="single"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2</w:t>
            </w:r>
          </w:p>
        </w:tc>
        <w:tc>
          <w:tcPr>
            <w:tcW w:w="1280" w:type="dxa"/>
            <w:tcBorders>
              <w:top w:val="single" w:color="auto" w:sz="12" w:space="0"/>
              <w:left w:val="single" w:color="auto" w:sz="12" w:space="0"/>
              <w:bottom w:val="single" w:color="auto" w:sz="12" w:space="0"/>
              <w:right w:val="single"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4</w:t>
            </w:r>
          </w:p>
        </w:tc>
        <w:tc>
          <w:tcPr>
            <w:tcW w:w="926" w:type="dxa"/>
            <w:tcBorders>
              <w:top w:val="dashSmallGap" w:color="auto" w:sz="12" w:space="0"/>
              <w:left w:val="single" w:color="auto" w:sz="12" w:space="0"/>
              <w:bottom w:val="single" w:color="auto" w:sz="12" w:space="0"/>
              <w:right w:val="single"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6</w:t>
            </w:r>
          </w:p>
        </w:tc>
        <w:tc>
          <w:tcPr>
            <w:tcW w:w="1288" w:type="dxa"/>
            <w:tcBorders>
              <w:top w:val="dashSmallGap" w:color="auto" w:sz="12" w:space="0"/>
              <w:left w:val="single" w:color="auto" w:sz="12" w:space="0"/>
              <w:bottom w:val="single" w:color="auto" w:sz="12" w:space="0"/>
              <w:right w:val="dashSmallGap"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8</w:t>
            </w:r>
          </w:p>
        </w:tc>
        <w:tc>
          <w:tcPr>
            <w:tcW w:w="1059" w:type="dxa"/>
            <w:tcBorders>
              <w:top w:val="single" w:color="auto" w:sz="12" w:space="0"/>
              <w:left w:val="single" w:color="auto" w:sz="12" w:space="0"/>
              <w:bottom w:val="single" w:color="auto" w:sz="12" w:space="0"/>
              <w:right w:val="single" w:color="auto" w:sz="12" w:space="0"/>
            </w:tcBorders>
            <w:shd w:val="clear" w:color="auto" w:fill="FFFF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10</w:t>
            </w:r>
          </w:p>
        </w:tc>
        <w:tc>
          <w:tcPr>
            <w:tcW w:w="1235" w:type="dxa"/>
            <w:tcBorders>
              <w:top w:val="dashSmallGap" w:color="auto" w:sz="12" w:space="0"/>
              <w:left w:val="single" w:color="auto" w:sz="12" w:space="0"/>
              <w:bottom w:val="single" w:color="auto" w:sz="12" w:space="0"/>
              <w:right w:val="dashSmallGap" w:color="auto" w:sz="12" w:space="0"/>
            </w:tcBorders>
            <w:shd w:val="clear" w:color="auto" w:fill="FFFF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12</w:t>
            </w:r>
          </w:p>
        </w:tc>
        <w:tc>
          <w:tcPr>
            <w:tcW w:w="795" w:type="dxa"/>
            <w:tcBorders>
              <w:top w:val="single" w:color="auto" w:sz="12" w:space="0"/>
              <w:left w:val="dashSmallGap"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E</w:t>
            </w:r>
          </w:p>
        </w:tc>
        <w:tc>
          <w:tcPr>
            <w:tcW w:w="970" w:type="dxa"/>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2</w:t>
            </w:r>
          </w:p>
        </w:tc>
        <w:tc>
          <w:tcPr>
            <w:tcW w:w="2429" w:type="dxa"/>
            <w:gridSpan w:val="3"/>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一人受到伤害，需要急救；或多人受轻微伤害</w:t>
            </w:r>
          </w:p>
        </w:tc>
        <w:tc>
          <w:tcPr>
            <w:tcW w:w="3127" w:type="dxa"/>
            <w:gridSpan w:val="3"/>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1.1到5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639" w:type="dxa"/>
            <w:vMerge w:val="continue"/>
            <w:tcBorders>
              <w:left w:val="dashSmallGap" w:color="auto" w:sz="12" w:space="0"/>
              <w:bottom w:val="dashSmallGap" w:color="auto" w:sz="12" w:space="0"/>
              <w:right w:val="single" w:color="auto" w:sz="12" w:space="0"/>
            </w:tcBorders>
            <w:shd w:val="clear" w:color="auto" w:fill="auto"/>
          </w:tcPr>
          <w:p>
            <w:pPr>
              <w:topLinePunct/>
              <w:snapToGrid w:val="0"/>
              <w:spacing w:line="400" w:lineRule="exact"/>
              <w:rPr>
                <w:rFonts w:hint="eastAsia" w:ascii="仿宋_GB2312" w:hAnsi="仿宋_GB2312" w:eastAsia="仿宋_GB2312" w:cs="仿宋_GB2312"/>
                <w:bCs/>
                <w:sz w:val="24"/>
              </w:rPr>
            </w:pPr>
          </w:p>
        </w:tc>
        <w:tc>
          <w:tcPr>
            <w:tcW w:w="1094" w:type="dxa"/>
            <w:tcBorders>
              <w:top w:val="single" w:color="auto" w:sz="12" w:space="0"/>
              <w:left w:val="single" w:color="auto" w:sz="12" w:space="0"/>
              <w:bottom w:val="dashSmallGap" w:color="auto" w:sz="12" w:space="0"/>
              <w:right w:val="single"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w:t>
            </w:r>
          </w:p>
        </w:tc>
        <w:tc>
          <w:tcPr>
            <w:tcW w:w="1280" w:type="dxa"/>
            <w:tcBorders>
              <w:top w:val="single" w:color="auto" w:sz="12" w:space="0"/>
              <w:left w:val="single" w:color="auto" w:sz="12" w:space="0"/>
              <w:bottom w:val="dashSmallGap" w:color="auto" w:sz="12" w:space="0"/>
              <w:right w:val="single"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2</w:t>
            </w:r>
          </w:p>
        </w:tc>
        <w:tc>
          <w:tcPr>
            <w:tcW w:w="926" w:type="dxa"/>
            <w:tcBorders>
              <w:top w:val="single" w:color="auto" w:sz="12" w:space="0"/>
              <w:left w:val="single" w:color="auto" w:sz="12" w:space="0"/>
              <w:bottom w:val="dashSmallGap" w:color="auto" w:sz="12" w:space="0"/>
              <w:right w:val="single"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3</w:t>
            </w:r>
          </w:p>
        </w:tc>
        <w:tc>
          <w:tcPr>
            <w:tcW w:w="1288" w:type="dxa"/>
            <w:tcBorders>
              <w:top w:val="single" w:color="auto" w:sz="12" w:space="0"/>
              <w:left w:val="single" w:color="auto" w:sz="12" w:space="0"/>
              <w:bottom w:val="dashSmallGap" w:color="auto" w:sz="12" w:space="0"/>
              <w:right w:val="single"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4</w:t>
            </w:r>
          </w:p>
        </w:tc>
        <w:tc>
          <w:tcPr>
            <w:tcW w:w="1059" w:type="dxa"/>
            <w:tcBorders>
              <w:top w:val="dashSmallGap" w:color="auto" w:sz="12" w:space="0"/>
              <w:left w:val="single" w:color="auto" w:sz="12" w:space="0"/>
              <w:bottom w:val="dashSmallGap" w:color="auto" w:sz="12" w:space="0"/>
              <w:right w:val="single"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5</w:t>
            </w:r>
          </w:p>
        </w:tc>
        <w:tc>
          <w:tcPr>
            <w:tcW w:w="1235" w:type="dxa"/>
            <w:tcBorders>
              <w:top w:val="dashSmallGap" w:color="auto" w:sz="12" w:space="0"/>
              <w:left w:val="single" w:color="auto" w:sz="12" w:space="0"/>
              <w:bottom w:val="dashSmallGap" w:color="auto" w:sz="12" w:space="0"/>
              <w:right w:val="dashSmallGap"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6</w:t>
            </w:r>
          </w:p>
        </w:tc>
        <w:tc>
          <w:tcPr>
            <w:tcW w:w="795" w:type="dxa"/>
            <w:tcBorders>
              <w:top w:val="single" w:color="auto" w:sz="12" w:space="0"/>
              <w:left w:val="dashSmallGap"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F</w:t>
            </w:r>
          </w:p>
        </w:tc>
        <w:tc>
          <w:tcPr>
            <w:tcW w:w="970" w:type="dxa"/>
            <w:tcBorders>
              <w:top w:val="single" w:color="auto" w:sz="12" w:space="0"/>
              <w:left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w:t>
            </w:r>
          </w:p>
        </w:tc>
        <w:tc>
          <w:tcPr>
            <w:tcW w:w="2429" w:type="dxa"/>
            <w:gridSpan w:val="3"/>
            <w:tcBorders>
              <w:top w:val="single" w:color="auto" w:sz="12" w:space="0"/>
              <w:left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一人受轻微伤害</w:t>
            </w:r>
          </w:p>
        </w:tc>
        <w:tc>
          <w:tcPr>
            <w:tcW w:w="3127" w:type="dxa"/>
            <w:gridSpan w:val="3"/>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0到1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exact"/>
        </w:trPr>
        <w:tc>
          <w:tcPr>
            <w:tcW w:w="639" w:type="dxa"/>
            <w:vMerge w:val="restart"/>
            <w:tcBorders>
              <w:top w:val="dashSmallGap" w:color="auto" w:sz="12" w:space="0"/>
              <w:left w:val="nil"/>
              <w:right w:val="single" w:color="auto" w:sz="12" w:space="0"/>
            </w:tcBorders>
          </w:tcPr>
          <w:p>
            <w:pPr>
              <w:topLinePunct/>
              <w:snapToGrid w:val="0"/>
              <w:spacing w:line="400" w:lineRule="exact"/>
              <w:rPr>
                <w:rFonts w:hint="eastAsia" w:ascii="仿宋_GB2312" w:hAnsi="仿宋_GB2312" w:eastAsia="仿宋_GB2312" w:cs="仿宋_GB2312"/>
                <w:bCs/>
                <w:sz w:val="24"/>
              </w:rPr>
            </w:pPr>
          </w:p>
        </w:tc>
        <w:tc>
          <w:tcPr>
            <w:tcW w:w="1094" w:type="dxa"/>
            <w:tcBorders>
              <w:top w:val="dashSmallGap" w:color="auto" w:sz="4"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L</w:t>
            </w:r>
          </w:p>
        </w:tc>
        <w:tc>
          <w:tcPr>
            <w:tcW w:w="1280" w:type="dxa"/>
            <w:tcBorders>
              <w:top w:val="dashSmallGap"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K</w:t>
            </w:r>
          </w:p>
        </w:tc>
        <w:tc>
          <w:tcPr>
            <w:tcW w:w="926" w:type="dxa"/>
            <w:tcBorders>
              <w:top w:val="dashSmallGap"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J</w:t>
            </w:r>
          </w:p>
        </w:tc>
        <w:tc>
          <w:tcPr>
            <w:tcW w:w="1288" w:type="dxa"/>
            <w:tcBorders>
              <w:top w:val="dashSmallGap"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I</w:t>
            </w:r>
          </w:p>
        </w:tc>
        <w:tc>
          <w:tcPr>
            <w:tcW w:w="1059" w:type="dxa"/>
            <w:tcBorders>
              <w:top w:val="dashSmallGap"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H</w:t>
            </w:r>
          </w:p>
        </w:tc>
        <w:tc>
          <w:tcPr>
            <w:tcW w:w="1235" w:type="dxa"/>
            <w:tcBorders>
              <w:top w:val="dashSmallGap" w:color="auto" w:sz="4"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G</w:t>
            </w:r>
          </w:p>
        </w:tc>
        <w:tc>
          <w:tcPr>
            <w:tcW w:w="1765" w:type="dxa"/>
            <w:gridSpan w:val="2"/>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有效类别</w:t>
            </w:r>
          </w:p>
        </w:tc>
        <w:tc>
          <w:tcPr>
            <w:tcW w:w="837" w:type="dxa"/>
            <w:tcBorders>
              <w:left w:val="single" w:color="auto" w:sz="12" w:space="0"/>
              <w:bottom w:val="nil"/>
              <w:right w:val="nil"/>
            </w:tcBorders>
            <w:vAlign w:val="center"/>
          </w:tcPr>
          <w:p>
            <w:pPr>
              <w:topLinePunct/>
              <w:snapToGrid w:val="0"/>
              <w:spacing w:line="400" w:lineRule="exact"/>
              <w:rPr>
                <w:rFonts w:hint="eastAsia" w:ascii="仿宋_GB2312" w:hAnsi="仿宋_GB2312" w:eastAsia="仿宋_GB2312" w:cs="仿宋_GB2312"/>
                <w:bCs/>
                <w:sz w:val="24"/>
              </w:rPr>
            </w:pPr>
          </w:p>
        </w:tc>
        <w:tc>
          <w:tcPr>
            <w:tcW w:w="4719" w:type="dxa"/>
            <w:gridSpan w:val="5"/>
            <w:tcBorders>
              <w:left w:val="nil"/>
              <w:bottom w:val="single" w:color="auto" w:sz="12" w:space="0"/>
              <w:right w:val="nil"/>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风险等级划分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exact"/>
        </w:trPr>
        <w:tc>
          <w:tcPr>
            <w:tcW w:w="639" w:type="dxa"/>
            <w:vMerge w:val="continue"/>
            <w:tcBorders>
              <w:left w:val="nil"/>
              <w:right w:val="single" w:color="auto" w:sz="12" w:space="0"/>
            </w:tcBorders>
          </w:tcPr>
          <w:p>
            <w:pPr>
              <w:topLinePunct/>
              <w:snapToGrid w:val="0"/>
              <w:spacing w:line="400" w:lineRule="exact"/>
              <w:rPr>
                <w:rFonts w:hint="eastAsia" w:ascii="仿宋_GB2312" w:hAnsi="仿宋_GB2312" w:eastAsia="仿宋_GB2312" w:cs="仿宋_GB2312"/>
                <w:bCs/>
                <w:sz w:val="24"/>
              </w:rPr>
            </w:pPr>
          </w:p>
        </w:tc>
        <w:tc>
          <w:tcPr>
            <w:tcW w:w="1094" w:type="dxa"/>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w:t>
            </w:r>
          </w:p>
        </w:tc>
        <w:tc>
          <w:tcPr>
            <w:tcW w:w="1280" w:type="dxa"/>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2</w:t>
            </w:r>
          </w:p>
        </w:tc>
        <w:tc>
          <w:tcPr>
            <w:tcW w:w="926" w:type="dxa"/>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3</w:t>
            </w:r>
          </w:p>
        </w:tc>
        <w:tc>
          <w:tcPr>
            <w:tcW w:w="1288" w:type="dxa"/>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4</w:t>
            </w:r>
          </w:p>
        </w:tc>
        <w:tc>
          <w:tcPr>
            <w:tcW w:w="1059" w:type="dxa"/>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5</w:t>
            </w:r>
          </w:p>
        </w:tc>
        <w:tc>
          <w:tcPr>
            <w:tcW w:w="1235" w:type="dxa"/>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6</w:t>
            </w:r>
          </w:p>
        </w:tc>
        <w:tc>
          <w:tcPr>
            <w:tcW w:w="1765" w:type="dxa"/>
            <w:gridSpan w:val="2"/>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赋值</w:t>
            </w:r>
          </w:p>
        </w:tc>
        <w:tc>
          <w:tcPr>
            <w:tcW w:w="837" w:type="dxa"/>
            <w:tcBorders>
              <w:top w:val="nil"/>
              <w:left w:val="single" w:color="auto" w:sz="12" w:space="0"/>
              <w:bottom w:val="nil"/>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p>
        </w:tc>
        <w:tc>
          <w:tcPr>
            <w:tcW w:w="1009" w:type="dxa"/>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风险值</w:t>
            </w:r>
          </w:p>
        </w:tc>
        <w:tc>
          <w:tcPr>
            <w:tcW w:w="1289" w:type="dxa"/>
            <w:gridSpan w:val="2"/>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风险等级</w:t>
            </w:r>
          </w:p>
        </w:tc>
        <w:tc>
          <w:tcPr>
            <w:tcW w:w="2421" w:type="dxa"/>
            <w:gridSpan w:val="2"/>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ind w:firstLine="960" w:firstLineChars="400"/>
              <w:rPr>
                <w:rFonts w:hint="eastAsia" w:ascii="仿宋_GB2312" w:hAnsi="仿宋_GB2312" w:eastAsia="仿宋_GB2312" w:cs="仿宋_GB2312"/>
                <w:bCs/>
                <w:sz w:val="24"/>
              </w:rPr>
            </w:pPr>
            <w:r>
              <w:rPr>
                <w:rFonts w:hint="eastAsia" w:ascii="仿宋_GB2312" w:hAnsi="仿宋_GB2312" w:eastAsia="仿宋_GB2312" w:cs="仿宋_GB2312"/>
                <w:bCs/>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exact"/>
        </w:trPr>
        <w:tc>
          <w:tcPr>
            <w:tcW w:w="639" w:type="dxa"/>
            <w:vMerge w:val="continue"/>
            <w:tcBorders>
              <w:left w:val="nil"/>
              <w:right w:val="single" w:color="auto" w:sz="12" w:space="0"/>
            </w:tcBorders>
            <w:shd w:val="clear" w:color="auto" w:fill="auto"/>
          </w:tcPr>
          <w:p>
            <w:pPr>
              <w:topLinePunct/>
              <w:snapToGrid w:val="0"/>
              <w:spacing w:line="400" w:lineRule="exact"/>
              <w:rPr>
                <w:rFonts w:hint="eastAsia" w:ascii="仿宋_GB2312" w:hAnsi="仿宋_GB2312" w:eastAsia="仿宋_GB2312" w:cs="仿宋_GB2312"/>
                <w:bCs/>
                <w:sz w:val="24"/>
              </w:rPr>
            </w:pPr>
          </w:p>
        </w:tc>
        <w:tc>
          <w:tcPr>
            <w:tcW w:w="1094" w:type="dxa"/>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不可能</w:t>
            </w:r>
          </w:p>
        </w:tc>
        <w:tc>
          <w:tcPr>
            <w:tcW w:w="1280" w:type="dxa"/>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很少</w:t>
            </w:r>
          </w:p>
        </w:tc>
        <w:tc>
          <w:tcPr>
            <w:tcW w:w="926" w:type="dxa"/>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低可能</w:t>
            </w:r>
          </w:p>
        </w:tc>
        <w:tc>
          <w:tcPr>
            <w:tcW w:w="1288" w:type="dxa"/>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可能发生</w:t>
            </w:r>
          </w:p>
        </w:tc>
        <w:tc>
          <w:tcPr>
            <w:tcW w:w="1059" w:type="dxa"/>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能发生</w:t>
            </w:r>
          </w:p>
        </w:tc>
        <w:tc>
          <w:tcPr>
            <w:tcW w:w="1235" w:type="dxa"/>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时有发生</w:t>
            </w:r>
          </w:p>
        </w:tc>
        <w:tc>
          <w:tcPr>
            <w:tcW w:w="1765"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发生</w:t>
            </w:r>
            <w:r>
              <w:rPr>
                <w:rFonts w:hint="eastAsia" w:ascii="仿宋_GB2312" w:hAnsi="仿宋_GB2312" w:eastAsia="仿宋_GB2312" w:cs="仿宋_GB2312"/>
                <w:bCs/>
                <w:sz w:val="24"/>
                <w:lang w:eastAsia="zh-CN"/>
              </w:rPr>
              <w:t>的</w:t>
            </w:r>
            <w:r>
              <w:rPr>
                <w:rFonts w:hint="eastAsia" w:ascii="仿宋_GB2312" w:hAnsi="仿宋_GB2312" w:eastAsia="仿宋_GB2312" w:cs="仿宋_GB2312"/>
                <w:bCs/>
                <w:sz w:val="24"/>
              </w:rPr>
              <w:t>可能性</w:t>
            </w:r>
          </w:p>
        </w:tc>
        <w:tc>
          <w:tcPr>
            <w:tcW w:w="837" w:type="dxa"/>
            <w:tcBorders>
              <w:top w:val="nil"/>
              <w:left w:val="single" w:color="auto" w:sz="12" w:space="0"/>
              <w:bottom w:val="nil"/>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009" w:type="dxa"/>
            <w:tcBorders>
              <w:top w:val="single" w:color="auto" w:sz="12" w:space="0"/>
              <w:left w:val="single" w:color="auto" w:sz="12" w:space="0"/>
              <w:bottom w:val="single" w:color="auto" w:sz="12" w:space="0"/>
              <w:right w:val="single" w:color="auto" w:sz="12" w:space="0"/>
            </w:tcBorders>
            <w:shd w:val="clear" w:color="auto" w:fill="FF00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30-36</w:t>
            </w:r>
          </w:p>
        </w:tc>
        <w:tc>
          <w:tcPr>
            <w:tcW w:w="1289" w:type="dxa"/>
            <w:gridSpan w:val="2"/>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重大风险</w:t>
            </w:r>
          </w:p>
        </w:tc>
        <w:tc>
          <w:tcPr>
            <w:tcW w:w="1771" w:type="dxa"/>
            <w:tcBorders>
              <w:top w:val="single" w:color="auto" w:sz="12" w:space="0"/>
              <w:left w:val="single" w:color="auto" w:sz="12" w:space="0"/>
              <w:bottom w:val="single" w:color="auto" w:sz="12" w:space="0"/>
              <w:right w:val="single" w:color="auto" w:sz="4"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Ⅰ级（红色）</w:t>
            </w:r>
          </w:p>
        </w:tc>
        <w:tc>
          <w:tcPr>
            <w:tcW w:w="650" w:type="dxa"/>
            <w:tcBorders>
              <w:top w:val="single" w:color="auto" w:sz="12" w:space="0"/>
              <w:left w:val="single" w:color="auto" w:sz="4"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639" w:type="dxa"/>
            <w:vMerge w:val="continue"/>
            <w:tcBorders>
              <w:left w:val="nil"/>
              <w:right w:val="single" w:color="auto" w:sz="12" w:space="0"/>
            </w:tcBorders>
            <w:shd w:val="clear" w:color="auto" w:fill="auto"/>
          </w:tcPr>
          <w:p>
            <w:pPr>
              <w:topLinePunct/>
              <w:snapToGrid w:val="0"/>
              <w:spacing w:line="400" w:lineRule="exact"/>
              <w:rPr>
                <w:rFonts w:hint="eastAsia" w:ascii="仿宋_GB2312" w:hAnsi="仿宋_GB2312" w:eastAsia="仿宋_GB2312" w:cs="仿宋_GB2312"/>
                <w:bCs/>
                <w:sz w:val="24"/>
              </w:rPr>
            </w:pPr>
          </w:p>
        </w:tc>
        <w:tc>
          <w:tcPr>
            <w:tcW w:w="1094" w:type="dxa"/>
            <w:vMerge w:val="restart"/>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估计从不发生</w:t>
            </w:r>
          </w:p>
        </w:tc>
        <w:tc>
          <w:tcPr>
            <w:tcW w:w="1280" w:type="dxa"/>
            <w:vMerge w:val="restart"/>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10年以上可能发生一次</w:t>
            </w:r>
          </w:p>
        </w:tc>
        <w:tc>
          <w:tcPr>
            <w:tcW w:w="926" w:type="dxa"/>
            <w:vMerge w:val="restart"/>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5年内可能发生一次</w:t>
            </w:r>
          </w:p>
        </w:tc>
        <w:tc>
          <w:tcPr>
            <w:tcW w:w="1288" w:type="dxa"/>
            <w:vMerge w:val="restart"/>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3年内可能发生一次</w:t>
            </w:r>
          </w:p>
        </w:tc>
        <w:tc>
          <w:tcPr>
            <w:tcW w:w="1059" w:type="dxa"/>
            <w:vMerge w:val="restart"/>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每年可能发生一次</w:t>
            </w:r>
          </w:p>
        </w:tc>
        <w:tc>
          <w:tcPr>
            <w:tcW w:w="1235" w:type="dxa"/>
            <w:vMerge w:val="restart"/>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1年内能发生10次或以上</w:t>
            </w:r>
          </w:p>
        </w:tc>
        <w:tc>
          <w:tcPr>
            <w:tcW w:w="1765" w:type="dxa"/>
            <w:gridSpan w:val="2"/>
            <w:vMerge w:val="restart"/>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发生可能性的衡量（发生频率）</w:t>
            </w:r>
          </w:p>
        </w:tc>
        <w:tc>
          <w:tcPr>
            <w:tcW w:w="837" w:type="dxa"/>
            <w:tcBorders>
              <w:top w:val="nil"/>
              <w:left w:val="single" w:color="auto" w:sz="12" w:space="0"/>
              <w:bottom w:val="nil"/>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009" w:type="dxa"/>
            <w:tcBorders>
              <w:top w:val="single" w:color="auto" w:sz="12" w:space="0"/>
              <w:left w:val="single" w:color="auto" w:sz="12" w:space="0"/>
              <w:bottom w:val="single" w:color="auto" w:sz="12" w:space="0"/>
              <w:right w:val="single" w:color="auto" w:sz="12" w:space="0"/>
            </w:tcBorders>
            <w:shd w:val="clear" w:color="auto" w:fill="FF99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18-25</w:t>
            </w:r>
          </w:p>
        </w:tc>
        <w:tc>
          <w:tcPr>
            <w:tcW w:w="1289" w:type="dxa"/>
            <w:gridSpan w:val="2"/>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较大风险</w:t>
            </w:r>
          </w:p>
        </w:tc>
        <w:tc>
          <w:tcPr>
            <w:tcW w:w="1771" w:type="dxa"/>
            <w:tcBorders>
              <w:top w:val="single" w:color="auto" w:sz="12" w:space="0"/>
              <w:left w:val="single" w:color="auto" w:sz="12" w:space="0"/>
              <w:bottom w:val="single" w:color="auto" w:sz="12" w:space="0"/>
              <w:right w:val="single" w:color="auto" w:sz="4"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Ⅱ级（橙色）</w:t>
            </w:r>
          </w:p>
        </w:tc>
        <w:tc>
          <w:tcPr>
            <w:tcW w:w="650" w:type="dxa"/>
            <w:tcBorders>
              <w:top w:val="single" w:color="auto" w:sz="12" w:space="0"/>
              <w:left w:val="single" w:color="auto" w:sz="4"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639" w:type="dxa"/>
            <w:vMerge w:val="continue"/>
            <w:tcBorders>
              <w:left w:val="nil"/>
              <w:right w:val="single" w:color="auto" w:sz="12" w:space="0"/>
            </w:tcBorders>
            <w:shd w:val="clear" w:color="auto" w:fill="auto"/>
          </w:tcPr>
          <w:p>
            <w:pPr>
              <w:topLinePunct/>
              <w:snapToGrid w:val="0"/>
              <w:spacing w:line="400" w:lineRule="exact"/>
              <w:rPr>
                <w:rFonts w:hint="eastAsia" w:ascii="仿宋_GB2312" w:hAnsi="仿宋_GB2312" w:eastAsia="仿宋_GB2312" w:cs="仿宋_GB2312"/>
                <w:bCs/>
                <w:sz w:val="24"/>
              </w:rPr>
            </w:pPr>
          </w:p>
        </w:tc>
        <w:tc>
          <w:tcPr>
            <w:tcW w:w="1094" w:type="dxa"/>
            <w:vMerge w:val="continue"/>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280" w:type="dxa"/>
            <w:vMerge w:val="continue"/>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926" w:type="dxa"/>
            <w:vMerge w:val="continue"/>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288" w:type="dxa"/>
            <w:vMerge w:val="continue"/>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059" w:type="dxa"/>
            <w:vMerge w:val="continue"/>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235" w:type="dxa"/>
            <w:vMerge w:val="continue"/>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765" w:type="dxa"/>
            <w:gridSpan w:val="2"/>
            <w:vMerge w:val="continue"/>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837" w:type="dxa"/>
            <w:tcBorders>
              <w:top w:val="nil"/>
              <w:left w:val="single" w:color="auto" w:sz="12" w:space="0"/>
              <w:bottom w:val="nil"/>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009" w:type="dxa"/>
            <w:tcBorders>
              <w:top w:val="single" w:color="auto" w:sz="12" w:space="0"/>
              <w:left w:val="single" w:color="auto" w:sz="12" w:space="0"/>
              <w:bottom w:val="single" w:color="auto" w:sz="12" w:space="0"/>
              <w:right w:val="single" w:color="auto" w:sz="12" w:space="0"/>
            </w:tcBorders>
            <w:shd w:val="clear" w:color="auto" w:fill="FFFF00"/>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9-16</w:t>
            </w:r>
          </w:p>
        </w:tc>
        <w:tc>
          <w:tcPr>
            <w:tcW w:w="1289" w:type="dxa"/>
            <w:gridSpan w:val="2"/>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一般风险</w:t>
            </w:r>
          </w:p>
        </w:tc>
        <w:tc>
          <w:tcPr>
            <w:tcW w:w="1771" w:type="dxa"/>
            <w:tcBorders>
              <w:top w:val="single" w:color="auto" w:sz="12" w:space="0"/>
              <w:left w:val="single" w:color="auto" w:sz="12" w:space="0"/>
              <w:bottom w:val="single" w:color="auto" w:sz="12" w:space="0"/>
              <w:right w:val="single" w:color="auto" w:sz="4"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Ⅲ级（黄色）</w:t>
            </w:r>
          </w:p>
        </w:tc>
        <w:tc>
          <w:tcPr>
            <w:tcW w:w="650" w:type="dxa"/>
            <w:tcBorders>
              <w:top w:val="single" w:color="auto" w:sz="12" w:space="0"/>
              <w:left w:val="single" w:color="auto" w:sz="4"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639" w:type="dxa"/>
            <w:vMerge w:val="continue"/>
            <w:tcBorders>
              <w:left w:val="nil"/>
              <w:right w:val="single" w:color="auto" w:sz="12" w:space="0"/>
            </w:tcBorders>
            <w:shd w:val="clear" w:color="auto" w:fill="auto"/>
          </w:tcPr>
          <w:p>
            <w:pPr>
              <w:topLinePunct/>
              <w:snapToGrid w:val="0"/>
              <w:spacing w:line="400" w:lineRule="exact"/>
              <w:rPr>
                <w:rFonts w:hint="eastAsia" w:ascii="仿宋_GB2312" w:hAnsi="仿宋_GB2312" w:eastAsia="仿宋_GB2312" w:cs="仿宋_GB2312"/>
                <w:bCs/>
                <w:sz w:val="24"/>
              </w:rPr>
            </w:pPr>
          </w:p>
        </w:tc>
        <w:tc>
          <w:tcPr>
            <w:tcW w:w="1094" w:type="dxa"/>
            <w:vMerge w:val="continue"/>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280" w:type="dxa"/>
            <w:vMerge w:val="continue"/>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926" w:type="dxa"/>
            <w:vMerge w:val="continue"/>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288" w:type="dxa"/>
            <w:vMerge w:val="continue"/>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059" w:type="dxa"/>
            <w:vMerge w:val="continue"/>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235" w:type="dxa"/>
            <w:vMerge w:val="continue"/>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765" w:type="dxa"/>
            <w:gridSpan w:val="2"/>
            <w:vMerge w:val="continue"/>
            <w:tcBorders>
              <w:top w:val="single" w:color="auto" w:sz="12" w:space="0"/>
              <w:left w:val="single" w:color="auto" w:sz="12" w:space="0"/>
              <w:bottom w:val="single" w:color="auto" w:sz="12" w:space="0"/>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837" w:type="dxa"/>
            <w:tcBorders>
              <w:top w:val="nil"/>
              <w:left w:val="single" w:color="auto" w:sz="12" w:space="0"/>
              <w:bottom w:val="nil"/>
              <w:right w:val="single" w:color="auto" w:sz="12" w:space="0"/>
            </w:tcBorders>
            <w:shd w:val="clear" w:color="auto" w:fill="auto"/>
            <w:vAlign w:val="center"/>
          </w:tcPr>
          <w:p>
            <w:pPr>
              <w:topLinePunct/>
              <w:snapToGrid w:val="0"/>
              <w:spacing w:line="400" w:lineRule="exact"/>
              <w:rPr>
                <w:rFonts w:hint="eastAsia" w:ascii="仿宋_GB2312" w:hAnsi="仿宋_GB2312" w:eastAsia="仿宋_GB2312" w:cs="仿宋_GB2312"/>
                <w:bCs/>
                <w:sz w:val="24"/>
              </w:rPr>
            </w:pPr>
          </w:p>
        </w:tc>
        <w:tc>
          <w:tcPr>
            <w:tcW w:w="1009" w:type="dxa"/>
            <w:tcBorders>
              <w:top w:val="single" w:color="auto" w:sz="12" w:space="0"/>
              <w:left w:val="single" w:color="auto" w:sz="12" w:space="0"/>
              <w:bottom w:val="single" w:color="auto" w:sz="12" w:space="0"/>
              <w:right w:val="single" w:color="auto" w:sz="12" w:space="0"/>
            </w:tcBorders>
            <w:shd w:val="clear" w:color="auto" w:fill="00FFFF"/>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1-8</w:t>
            </w:r>
          </w:p>
        </w:tc>
        <w:tc>
          <w:tcPr>
            <w:tcW w:w="1289" w:type="dxa"/>
            <w:gridSpan w:val="2"/>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较小风险</w:t>
            </w:r>
          </w:p>
        </w:tc>
        <w:tc>
          <w:tcPr>
            <w:tcW w:w="1771" w:type="dxa"/>
            <w:tcBorders>
              <w:top w:val="single" w:color="auto" w:sz="12" w:space="0"/>
              <w:left w:val="single" w:color="auto" w:sz="12" w:space="0"/>
              <w:bottom w:val="single" w:color="auto" w:sz="12" w:space="0"/>
              <w:right w:val="single" w:color="auto" w:sz="4"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Ⅳ级（蓝色）</w:t>
            </w:r>
          </w:p>
        </w:tc>
        <w:tc>
          <w:tcPr>
            <w:tcW w:w="650" w:type="dxa"/>
            <w:tcBorders>
              <w:top w:val="single" w:color="auto" w:sz="12" w:space="0"/>
              <w:left w:val="single" w:color="auto" w:sz="4"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6"/>
          <w:wAfter w:w="5556" w:type="dxa"/>
          <w:trHeight w:val="590" w:hRule="exact"/>
        </w:trPr>
        <w:tc>
          <w:tcPr>
            <w:tcW w:w="639" w:type="dxa"/>
            <w:vMerge w:val="continue"/>
            <w:tcBorders>
              <w:left w:val="nil"/>
              <w:bottom w:val="nil"/>
              <w:right w:val="single" w:color="auto" w:sz="12" w:space="0"/>
            </w:tcBorders>
          </w:tcPr>
          <w:p>
            <w:pPr>
              <w:topLinePunct/>
              <w:snapToGrid w:val="0"/>
              <w:spacing w:line="400" w:lineRule="exact"/>
              <w:rPr>
                <w:rFonts w:hint="eastAsia" w:ascii="仿宋_GB2312" w:hAnsi="仿宋_GB2312" w:eastAsia="仿宋_GB2312" w:cs="仿宋_GB2312"/>
                <w:bCs/>
                <w:sz w:val="24"/>
              </w:rPr>
            </w:pPr>
          </w:p>
        </w:tc>
        <w:tc>
          <w:tcPr>
            <w:tcW w:w="1094" w:type="dxa"/>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1/20年</w:t>
            </w:r>
          </w:p>
        </w:tc>
        <w:tc>
          <w:tcPr>
            <w:tcW w:w="1280" w:type="dxa"/>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1/10年</w:t>
            </w:r>
          </w:p>
        </w:tc>
        <w:tc>
          <w:tcPr>
            <w:tcW w:w="926" w:type="dxa"/>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1/5年</w:t>
            </w:r>
          </w:p>
        </w:tc>
        <w:tc>
          <w:tcPr>
            <w:tcW w:w="1288" w:type="dxa"/>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1/3年</w:t>
            </w:r>
          </w:p>
        </w:tc>
        <w:tc>
          <w:tcPr>
            <w:tcW w:w="1059" w:type="dxa"/>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1/1年</w:t>
            </w:r>
          </w:p>
        </w:tc>
        <w:tc>
          <w:tcPr>
            <w:tcW w:w="1235" w:type="dxa"/>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≥10/1年</w:t>
            </w:r>
          </w:p>
        </w:tc>
        <w:tc>
          <w:tcPr>
            <w:tcW w:w="1765" w:type="dxa"/>
            <w:gridSpan w:val="2"/>
            <w:tcBorders>
              <w:top w:val="single" w:color="auto" w:sz="12" w:space="0"/>
              <w:left w:val="single" w:color="auto" w:sz="12" w:space="0"/>
              <w:bottom w:val="single" w:color="auto" w:sz="12" w:space="0"/>
              <w:right w:val="single" w:color="auto" w:sz="12" w:space="0"/>
            </w:tcBorders>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发生频率量化</w:t>
            </w:r>
          </w:p>
        </w:tc>
      </w:tr>
    </w:tbl>
    <w:p>
      <w:pPr>
        <w:topLinePunct/>
        <w:snapToGrid w:val="0"/>
        <w:spacing w:line="400" w:lineRule="exact"/>
        <w:ind w:firstLine="5060" w:firstLineChars="1800"/>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表</w:t>
      </w:r>
      <w:r>
        <w:rPr>
          <w:rFonts w:hint="eastAsia" w:ascii="仿宋_GB2312" w:hAnsi="仿宋_GB2312" w:eastAsia="仿宋_GB2312" w:cs="仿宋_GB2312"/>
          <w:b/>
          <w:bCs w:val="0"/>
          <w:sz w:val="28"/>
          <w:szCs w:val="28"/>
          <w:lang w:val="en-US" w:eastAsia="zh-CN"/>
        </w:rPr>
        <w:t>3-8</w:t>
      </w:r>
      <w:r>
        <w:rPr>
          <w:rFonts w:hint="eastAsia" w:ascii="仿宋_GB2312" w:hAnsi="仿宋_GB2312" w:eastAsia="仿宋_GB2312" w:cs="仿宋_GB2312"/>
          <w:b/>
          <w:bCs w:val="0"/>
          <w:sz w:val="28"/>
          <w:szCs w:val="28"/>
        </w:rPr>
        <w:t xml:space="preserve">  风险评估矩阵</w:t>
      </w:r>
    </w:p>
    <w:p>
      <w:pPr>
        <w:rPr>
          <w:rFonts w:ascii="仿宋_GB2312" w:hAnsi="仿宋_GB2312" w:eastAsia="仿宋_GB2312" w:cs="仿宋_GB2312"/>
          <w:b/>
          <w:bCs w:val="0"/>
          <w:sz w:val="28"/>
          <w:szCs w:val="28"/>
        </w:rPr>
        <w:sectPr>
          <w:footerReference r:id="rId6" w:type="default"/>
          <w:pgSz w:w="16840" w:h="11900" w:orient="landscape"/>
          <w:pgMar w:top="1560" w:right="1440" w:bottom="1552" w:left="1440" w:header="851" w:footer="992" w:gutter="0"/>
          <w:pgNumType w:fmt="decimal"/>
          <w:cols w:space="720" w:num="1"/>
          <w:docGrid w:type="lines" w:linePitch="423" w:charSpace="0"/>
        </w:sectPr>
      </w:pPr>
    </w:p>
    <w:p>
      <w:pPr>
        <w:pStyle w:val="3"/>
        <w:tabs>
          <w:tab w:val="left" w:pos="432"/>
        </w:tabs>
        <w:autoSpaceDE w:val="0"/>
        <w:autoSpaceDN w:val="0"/>
        <w:adjustRightInd w:val="0"/>
        <w:snapToGrid w:val="0"/>
        <w:spacing w:before="0" w:after="0" w:line="400" w:lineRule="exact"/>
        <w:ind w:firstLine="5060" w:firstLineChars="1800"/>
        <w:jc w:val="left"/>
        <w:outlineLvl w:val="2"/>
        <w:rPr>
          <w:rFonts w:hint="eastAsia" w:ascii="仿宋_GB2312" w:hAnsi="仿宋_GB2312" w:eastAsia="仿宋_GB2312" w:cs="仿宋_GB2312"/>
          <w:b/>
          <w:bCs/>
          <w:kern w:val="2"/>
          <w:sz w:val="28"/>
          <w:szCs w:val="28"/>
        </w:rPr>
      </w:pPr>
      <w:bookmarkStart w:id="616" w:name="_Toc10256"/>
      <w:bookmarkStart w:id="617" w:name="_Toc19291"/>
      <w:bookmarkStart w:id="618" w:name="_Toc6248"/>
      <w:bookmarkStart w:id="619" w:name="_Toc9828"/>
      <w:bookmarkStart w:id="620" w:name="_Toc2111"/>
      <w:bookmarkStart w:id="621" w:name="_Toc13446"/>
      <w:bookmarkStart w:id="622" w:name="_Toc967"/>
      <w:r>
        <w:rPr>
          <w:rFonts w:hint="eastAsia" w:ascii="仿宋_GB2312" w:hAnsi="仿宋_GB2312" w:eastAsia="仿宋_GB2312" w:cs="仿宋_GB2312"/>
          <w:b/>
          <w:bCs/>
          <w:kern w:val="2"/>
          <w:sz w:val="28"/>
          <w:szCs w:val="28"/>
        </w:rPr>
        <w:t>表</w:t>
      </w:r>
      <w:r>
        <w:rPr>
          <w:rFonts w:hint="eastAsia" w:ascii="仿宋_GB2312" w:hAnsi="仿宋_GB2312" w:eastAsia="仿宋_GB2312" w:cs="仿宋_GB2312"/>
          <w:b/>
          <w:bCs/>
          <w:kern w:val="2"/>
          <w:sz w:val="28"/>
          <w:szCs w:val="28"/>
          <w:lang w:val="en-US" w:eastAsia="zh-CN"/>
        </w:rPr>
        <w:t>3-9</w:t>
      </w:r>
      <w:r>
        <w:rPr>
          <w:rFonts w:hint="eastAsia" w:ascii="仿宋_GB2312" w:hAnsi="仿宋_GB2312" w:eastAsia="仿宋_GB2312" w:cs="仿宋_GB2312"/>
          <w:b/>
          <w:bCs/>
          <w:kern w:val="2"/>
          <w:sz w:val="28"/>
          <w:szCs w:val="28"/>
        </w:rPr>
        <w:t xml:space="preserve">  事故风险评价表</w:t>
      </w:r>
      <w:bookmarkEnd w:id="616"/>
      <w:bookmarkEnd w:id="617"/>
      <w:bookmarkEnd w:id="618"/>
      <w:bookmarkEnd w:id="619"/>
      <w:bookmarkEnd w:id="620"/>
      <w:bookmarkEnd w:id="621"/>
      <w:bookmarkEnd w:id="622"/>
    </w:p>
    <w:tbl>
      <w:tblPr>
        <w:tblStyle w:val="21"/>
        <w:tblW w:w="14504"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935"/>
        <w:gridCol w:w="1411"/>
        <w:gridCol w:w="433"/>
        <w:gridCol w:w="350"/>
        <w:gridCol w:w="717"/>
        <w:gridCol w:w="824"/>
        <w:gridCol w:w="8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742" w:type="dxa"/>
            <w:vMerge w:val="restart"/>
            <w:vAlign w:val="center"/>
          </w:tcPr>
          <w:p>
            <w:pPr>
              <w:topLinePunct/>
              <w:snapToGrid w:val="0"/>
              <w:spacing w:line="400" w:lineRule="exact"/>
              <w:rPr>
                <w:rFonts w:hint="eastAsia" w:ascii="仿宋_GB2312" w:hAnsi="仿宋_GB2312" w:eastAsia="仿宋_GB2312" w:cs="仿宋_GB2312"/>
                <w:b/>
                <w:bCs w:val="0"/>
                <w:sz w:val="24"/>
              </w:rPr>
            </w:pPr>
            <w:r>
              <w:rPr>
                <w:rFonts w:hint="eastAsia" w:ascii="仿宋_GB2312" w:hAnsi="仿宋_GB2312" w:eastAsia="仿宋_GB2312" w:cs="仿宋_GB2312"/>
                <w:b/>
                <w:bCs w:val="0"/>
                <w:sz w:val="24"/>
              </w:rPr>
              <w:t>序号</w:t>
            </w:r>
          </w:p>
        </w:tc>
        <w:tc>
          <w:tcPr>
            <w:tcW w:w="1935" w:type="dxa"/>
            <w:vMerge w:val="restart"/>
            <w:vAlign w:val="center"/>
          </w:tcPr>
          <w:p>
            <w:pPr>
              <w:keepNext w:val="0"/>
              <w:keepLines w:val="0"/>
              <w:pageBreakBefore w:val="0"/>
              <w:widowControl w:val="0"/>
              <w:kinsoku/>
              <w:wordWrap/>
              <w:overflowPunct/>
              <w:topLinePunct/>
              <w:autoSpaceDE/>
              <w:autoSpaceDN/>
              <w:bidi w:val="0"/>
              <w:adjustRightInd/>
              <w:snapToGrid w:val="0"/>
              <w:spacing w:line="340" w:lineRule="exact"/>
              <w:ind w:firstLine="482" w:firstLineChars="200"/>
              <w:textAlignment w:val="auto"/>
              <w:rPr>
                <w:rFonts w:hint="eastAsia" w:ascii="仿宋_GB2312" w:hAnsi="仿宋_GB2312" w:eastAsia="仿宋_GB2312" w:cs="仿宋_GB2312"/>
                <w:b/>
                <w:bCs w:val="0"/>
                <w:sz w:val="24"/>
              </w:rPr>
            </w:pPr>
            <w:r>
              <w:rPr>
                <w:rFonts w:hint="eastAsia" w:ascii="仿宋_GB2312" w:hAnsi="仿宋_GB2312" w:eastAsia="仿宋_GB2312" w:cs="仿宋_GB2312"/>
                <w:b/>
                <w:bCs w:val="0"/>
                <w:sz w:val="24"/>
              </w:rPr>
              <w:t>风险因素</w:t>
            </w:r>
          </w:p>
        </w:tc>
        <w:tc>
          <w:tcPr>
            <w:tcW w:w="1411" w:type="dxa"/>
            <w:vMerge w:val="restart"/>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
                <w:bCs w:val="0"/>
                <w:sz w:val="24"/>
              </w:rPr>
            </w:pPr>
            <w:r>
              <w:rPr>
                <w:rFonts w:hint="eastAsia" w:ascii="仿宋_GB2312" w:hAnsi="仿宋_GB2312" w:eastAsia="仿宋_GB2312" w:cs="仿宋_GB2312"/>
                <w:b/>
                <w:bCs w:val="0"/>
                <w:sz w:val="24"/>
                <w:lang w:val="en-US"/>
              </w:rPr>
              <w:t xml:space="preserve"> </w:t>
            </w:r>
            <w:r>
              <w:rPr>
                <w:rFonts w:hint="eastAsia" w:ascii="仿宋_GB2312" w:hAnsi="仿宋_GB2312" w:eastAsia="仿宋_GB2312" w:cs="仿宋_GB2312"/>
                <w:b/>
                <w:bCs w:val="0"/>
                <w:sz w:val="24"/>
              </w:rPr>
              <w:t>事故类型</w:t>
            </w:r>
          </w:p>
        </w:tc>
        <w:tc>
          <w:tcPr>
            <w:tcW w:w="1500" w:type="dxa"/>
            <w:gridSpan w:val="3"/>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
                <w:bCs w:val="0"/>
                <w:sz w:val="24"/>
                <w:lang w:val="en-US"/>
              </w:rPr>
            </w:pPr>
            <w:r>
              <w:rPr>
                <w:rFonts w:hint="eastAsia" w:ascii="仿宋_GB2312" w:hAnsi="仿宋_GB2312" w:eastAsia="仿宋_GB2312" w:cs="仿宋_GB2312"/>
                <w:b/>
                <w:bCs w:val="0"/>
                <w:sz w:val="24"/>
                <w:lang w:val="en-US"/>
              </w:rPr>
              <w:t>风险评价</w:t>
            </w:r>
          </w:p>
        </w:tc>
        <w:tc>
          <w:tcPr>
            <w:tcW w:w="824" w:type="dxa"/>
            <w:vMerge w:val="restart"/>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
                <w:bCs w:val="0"/>
                <w:sz w:val="24"/>
              </w:rPr>
            </w:pPr>
            <w:r>
              <w:rPr>
                <w:rFonts w:hint="eastAsia" w:ascii="仿宋_GB2312" w:hAnsi="仿宋_GB2312" w:eastAsia="仿宋_GB2312" w:cs="仿宋_GB2312"/>
                <w:b/>
                <w:bCs w:val="0"/>
                <w:sz w:val="24"/>
              </w:rPr>
              <w:t>风险分级</w:t>
            </w:r>
          </w:p>
        </w:tc>
        <w:tc>
          <w:tcPr>
            <w:tcW w:w="8092" w:type="dxa"/>
            <w:vMerge w:val="restart"/>
            <w:vAlign w:val="center"/>
          </w:tcPr>
          <w:p>
            <w:pPr>
              <w:keepNext w:val="0"/>
              <w:keepLines w:val="0"/>
              <w:pageBreakBefore w:val="0"/>
              <w:widowControl w:val="0"/>
              <w:kinsoku/>
              <w:wordWrap/>
              <w:overflowPunct/>
              <w:topLinePunct/>
              <w:autoSpaceDE/>
              <w:autoSpaceDN/>
              <w:bidi w:val="0"/>
              <w:adjustRightInd/>
              <w:snapToGrid w:val="0"/>
              <w:spacing w:line="340" w:lineRule="exact"/>
              <w:ind w:firstLine="2168" w:firstLineChars="900"/>
              <w:textAlignment w:val="auto"/>
              <w:rPr>
                <w:rFonts w:hint="eastAsia" w:ascii="仿宋_GB2312" w:hAnsi="仿宋_GB2312" w:eastAsia="仿宋_GB2312" w:cs="仿宋_GB2312"/>
                <w:b/>
                <w:bCs w:val="0"/>
                <w:sz w:val="24"/>
              </w:rPr>
            </w:pPr>
            <w:r>
              <w:rPr>
                <w:rFonts w:hint="eastAsia" w:ascii="仿宋_GB2312" w:hAnsi="仿宋_GB2312" w:eastAsia="仿宋_GB2312" w:cs="仿宋_GB2312"/>
                <w:b/>
                <w:bCs w:val="0"/>
                <w:sz w:val="24"/>
              </w:rPr>
              <w:t>主要防范措施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742" w:type="dxa"/>
            <w:vMerge w:val="continue"/>
            <w:vAlign w:val="center"/>
          </w:tcPr>
          <w:p>
            <w:pPr>
              <w:topLinePunct/>
              <w:snapToGrid w:val="0"/>
              <w:spacing w:line="400" w:lineRule="exact"/>
              <w:rPr>
                <w:rFonts w:hint="eastAsia" w:ascii="仿宋_GB2312" w:hAnsi="仿宋_GB2312" w:eastAsia="仿宋_GB2312" w:cs="仿宋_GB2312"/>
                <w:bCs/>
                <w:sz w:val="24"/>
              </w:rPr>
            </w:pPr>
          </w:p>
        </w:tc>
        <w:tc>
          <w:tcPr>
            <w:tcW w:w="1935" w:type="dxa"/>
            <w:vMerge w:val="continue"/>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p>
        </w:tc>
        <w:tc>
          <w:tcPr>
            <w:tcW w:w="1411" w:type="dxa"/>
            <w:vMerge w:val="continue"/>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en-US"/>
              </w:rPr>
            </w:pP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
                <w:bCs w:val="0"/>
                <w:sz w:val="24"/>
                <w:lang w:val="en-US"/>
              </w:rPr>
            </w:pPr>
            <w:r>
              <w:rPr>
                <w:rFonts w:hint="eastAsia" w:ascii="仿宋_GB2312" w:hAnsi="仿宋_GB2312" w:eastAsia="仿宋_GB2312" w:cs="仿宋_GB2312"/>
                <w:b/>
                <w:bCs w:val="0"/>
                <w:sz w:val="24"/>
                <w:lang w:val="en-US"/>
              </w:rPr>
              <w:t>L</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
                <w:bCs w:val="0"/>
                <w:sz w:val="24"/>
                <w:lang w:val="en-US"/>
              </w:rPr>
            </w:pPr>
            <w:r>
              <w:rPr>
                <w:rFonts w:hint="eastAsia" w:ascii="仿宋_GB2312" w:hAnsi="仿宋_GB2312" w:eastAsia="仿宋_GB2312" w:cs="仿宋_GB2312"/>
                <w:b/>
                <w:bCs w:val="0"/>
                <w:sz w:val="24"/>
                <w:lang w:val="en-US"/>
              </w:rPr>
              <w:t>S</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
                <w:bCs w:val="0"/>
                <w:sz w:val="24"/>
                <w:lang w:val="en-US"/>
              </w:rPr>
            </w:pPr>
            <w:r>
              <w:rPr>
                <w:rFonts w:hint="eastAsia" w:ascii="仿宋_GB2312" w:hAnsi="仿宋_GB2312" w:eastAsia="仿宋_GB2312" w:cs="仿宋_GB2312"/>
                <w:b/>
                <w:bCs w:val="0"/>
                <w:sz w:val="24"/>
                <w:lang w:val="en-US"/>
              </w:rPr>
              <w:t>R=LS</w:t>
            </w:r>
          </w:p>
        </w:tc>
        <w:tc>
          <w:tcPr>
            <w:tcW w:w="824" w:type="dxa"/>
            <w:vMerge w:val="continue"/>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p>
        </w:tc>
        <w:tc>
          <w:tcPr>
            <w:tcW w:w="8092" w:type="dxa"/>
            <w:vMerge w:val="continue"/>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742" w:type="dxa"/>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zh-CN"/>
              </w:rPr>
              <w:t>超员、超速、驾驶过程中接打手机，私改运营线路，违反交通规则驾驶等违规驾驶行为，增加发生事故的可能性，加重事故的后果，容易诱发群死群伤事故。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sz w:val="24"/>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sz w:val="24"/>
              </w:rPr>
              <w:t>6</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sz w:val="24"/>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sz w:val="24"/>
              </w:rPr>
              <w:t>30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A级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sz w:val="24"/>
              </w:rPr>
              <w:t>/</w:t>
            </w:r>
            <w:r>
              <w:rPr>
                <w:rFonts w:hint="eastAsia" w:ascii="仿宋_GB2312" w:hAnsi="仿宋_GB2312" w:eastAsia="仿宋_GB2312" w:cs="仿宋_GB2312"/>
                <w:bCs/>
                <w:color w:val="FF0000"/>
                <w:sz w:val="24"/>
                <w:lang w:val="zh-CN"/>
              </w:rPr>
              <w:t>红色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1.按照国家相应的法律、法规和政策规定的交通规则驾驶车辆。道路运输从业人员应当遵守道路运输操作规程，不得违章作业。</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2.</w:t>
            </w:r>
            <w:r>
              <w:rPr>
                <w:rFonts w:hint="eastAsia" w:ascii="仿宋_GB2312" w:hAnsi="仿宋_GB2312" w:eastAsia="仿宋_GB2312" w:cs="仿宋_GB2312"/>
                <w:bCs/>
                <w:sz w:val="22"/>
                <w:szCs w:val="22"/>
                <w:lang w:val="en-US" w:eastAsia="zh-CN"/>
              </w:rPr>
              <w:t>从业</w:t>
            </w:r>
            <w:r>
              <w:rPr>
                <w:rFonts w:hint="eastAsia" w:ascii="仿宋_GB2312" w:hAnsi="仿宋_GB2312" w:eastAsia="仿宋_GB2312" w:cs="仿宋_GB2312"/>
                <w:bCs/>
                <w:sz w:val="22"/>
                <w:szCs w:val="22"/>
              </w:rPr>
              <w:t>人员应按照相关部门规定的运输路线进行营运，不得私自改变运输路线。</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3.企业应当加强对从业人员的安全教育、职业道德教育，确保道路运输安全。</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4.驾驶人员应严格遵守驾驶人安全行车操作规程。驾驶机动车过程中不得有拨打接听手持电话等妨碍安全驾驶的行为。</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5.运输企业应当按照法律规定设置的</w:t>
            </w:r>
            <w:r>
              <w:rPr>
                <w:rFonts w:hint="eastAsia" w:ascii="仿宋_GB2312" w:hAnsi="仿宋_GB2312" w:eastAsia="仿宋_GB2312" w:cs="仿宋_GB2312"/>
                <w:bCs/>
                <w:sz w:val="22"/>
                <w:szCs w:val="22"/>
              </w:rPr>
              <w:fldChar w:fldCharType="begin"/>
            </w:r>
            <w:r>
              <w:rPr>
                <w:rFonts w:hint="eastAsia" w:ascii="仿宋_GB2312" w:hAnsi="仿宋_GB2312" w:eastAsia="仿宋_GB2312" w:cs="仿宋_GB2312"/>
                <w:bCs/>
                <w:sz w:val="22"/>
                <w:szCs w:val="22"/>
              </w:rPr>
              <w:instrText xml:space="preserve"> HYPERLINK "http://www.china.com.cn/policy/txt/2012-02/28/content_24748179_3.htm" </w:instrText>
            </w:r>
            <w:r>
              <w:rPr>
                <w:rFonts w:hint="eastAsia" w:ascii="仿宋_GB2312" w:hAnsi="仿宋_GB2312" w:eastAsia="仿宋_GB2312" w:cs="仿宋_GB2312"/>
                <w:bCs/>
                <w:sz w:val="22"/>
                <w:szCs w:val="22"/>
              </w:rPr>
              <w:fldChar w:fldCharType="separate"/>
            </w:r>
            <w:r>
              <w:rPr>
                <w:rFonts w:hint="eastAsia" w:ascii="仿宋_GB2312" w:hAnsi="仿宋_GB2312" w:eastAsia="仿宋_GB2312" w:cs="仿宋_GB2312"/>
                <w:bCs/>
                <w:sz w:val="22"/>
                <w:szCs w:val="22"/>
              </w:rPr>
              <w:t>道路通行</w:t>
            </w:r>
            <w:r>
              <w:rPr>
                <w:rFonts w:hint="eastAsia" w:ascii="仿宋_GB2312" w:hAnsi="仿宋_GB2312" w:eastAsia="仿宋_GB2312" w:cs="仿宋_GB2312"/>
                <w:bCs/>
                <w:sz w:val="22"/>
                <w:szCs w:val="22"/>
              </w:rPr>
              <w:fldChar w:fldCharType="end"/>
            </w:r>
            <w:r>
              <w:rPr>
                <w:rFonts w:hint="eastAsia" w:ascii="仿宋_GB2312" w:hAnsi="仿宋_GB2312" w:eastAsia="仿宋_GB2312" w:cs="仿宋_GB2312"/>
                <w:bCs/>
                <w:sz w:val="22"/>
                <w:szCs w:val="22"/>
              </w:rPr>
              <w:t>最高车速限值以及车辆行驶道路的实际情况，合理设置相应路段的车辆行驶速度限速标准。对异常停车、超速行驶、疲劳驾驶、逆向行驶、不按规定线路行驶等违法、违规行为及时给予警告和纠正，并事后进行处理。</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rPr>
              <w:t>6.监控人员应当实时分析、处理车辆行驶动态信息，及时提醒驾驶员纠正超速行驶、疲劳驾驶等违法行为，并记录存档至动态监控台账；对经提醒仍然继续违法驾驶的驾驶员，应当及时向企业安全管理机构报告，安全管理机构应当立即采取措施制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742" w:type="dxa"/>
            <w:vAlign w:val="center"/>
          </w:tcPr>
          <w:p>
            <w:pPr>
              <w:topLinePunct/>
              <w:snapToGrid w:val="0"/>
              <w:spacing w:line="400" w:lineRule="exact"/>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车辆连续上下坡、频繁制动，易导致制动失效可能发生安全事故；空挡、熄火滑行易发生追尾、翻车事故。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lang w:val="zh-CN"/>
              </w:rPr>
              <w:t>5</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lang w:val="zh-CN"/>
              </w:rPr>
              <w:t>6</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lang w:val="zh-CN"/>
              </w:rPr>
              <w:t>30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A级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lang w:val="zh-CN"/>
              </w:rPr>
              <w:t>/</w:t>
            </w:r>
            <w:r>
              <w:rPr>
                <w:rFonts w:hint="eastAsia" w:ascii="仿宋_GB2312" w:hAnsi="仿宋_GB2312" w:eastAsia="仿宋_GB2312" w:cs="仿宋_GB2312"/>
                <w:bCs/>
                <w:color w:val="FF0000"/>
                <w:sz w:val="24"/>
                <w:lang w:val="zh-CN"/>
              </w:rPr>
              <w:t>红色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1.驾驶人员应提前观察好路段情况，保持注意力高度集中。</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2.严禁下陡坡时熄火或者空挡滑行。</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3.避免长时间使用制动减速。</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4.在狭窄的坡路，上坡的一方先行；但下坡的一方已行至中途而上坡的一方未上坡时，下坡的一方先行。</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5.提前更换至合适档位，保持车辆足够动力，以防停车或后溜。</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6.企业应对路段进行风险分析，制定相应的安全操作规程和应急处置措施。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lang w:val="zh-CN"/>
              </w:rPr>
              <w:t>7.加强驾驶人员的培训教育。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2" w:type="dxa"/>
            <w:vAlign w:val="center"/>
          </w:tcPr>
          <w:p>
            <w:pPr>
              <w:topLinePunct/>
              <w:snapToGrid w:val="0"/>
              <w:spacing w:line="400" w:lineRule="exact"/>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3</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驾驶员视线</w:t>
            </w:r>
            <w:r>
              <w:rPr>
                <w:rFonts w:hint="eastAsia" w:ascii="仿宋_GB2312" w:hAnsi="仿宋_GB2312" w:eastAsia="仿宋_GB2312" w:cs="仿宋_GB2312"/>
                <w:bCs/>
                <w:sz w:val="22"/>
                <w:szCs w:val="22"/>
                <w:lang w:val="zh-CN"/>
              </w:rPr>
              <w:t>遮挡，无法全面观察对面情况；控制不当等因素，可能发生碰撞事故。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lang w:val="zh-CN"/>
              </w:rPr>
              <w:t>5</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lang w:val="zh-CN"/>
              </w:rPr>
              <w:t>6</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lang w:val="zh-CN"/>
              </w:rPr>
              <w:t>30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A级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color w:val="FF0000"/>
                <w:sz w:val="24"/>
                <w:lang w:val="zh-CN"/>
              </w:rPr>
              <w:t>/红色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1.通过急弯路时应控制车速，不得超过规定控制的车速并保持车距。</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2.机动车在夜间通过急弯时，应当交替使用远近光灯示意。机动车驶近急弯、坡道顶端等影响安全视距的路段以及超车或者遇有紧急情况时，应当减速慢行，并鸣喇叭示意。</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3.企业应对路段进行风险分析，制定相应的安全操作规程和应急处置措施。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lang w:val="zh-CN"/>
              </w:rPr>
              <w:t>4.加强驾驶人员的安全培训教育和考核。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742" w:type="dxa"/>
            <w:vAlign w:val="center"/>
          </w:tcPr>
          <w:p>
            <w:pPr>
              <w:topLinePunct/>
              <w:snapToGrid w:val="0"/>
              <w:spacing w:line="400" w:lineRule="exact"/>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4</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地质灾害</w:t>
            </w:r>
            <w:r>
              <w:rPr>
                <w:rFonts w:hint="eastAsia" w:ascii="仿宋_GB2312" w:hAnsi="仿宋_GB2312" w:eastAsia="仿宋_GB2312" w:cs="仿宋_GB2312"/>
                <w:bCs/>
                <w:sz w:val="22"/>
                <w:szCs w:val="22"/>
                <w:lang w:val="zh-CN"/>
              </w:rPr>
              <w:t>阻挡道路或掩埋车辆，造成人员伤亡。</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lang w:val="zh-CN"/>
              </w:rPr>
              <w:t>5</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lang w:val="zh-CN"/>
              </w:rPr>
              <w:t>6</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lang w:val="zh-CN"/>
              </w:rPr>
              <w:t>30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A级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color w:val="FF0000"/>
                <w:sz w:val="24"/>
                <w:lang w:val="zh-CN"/>
              </w:rPr>
              <w:t>/红色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1.集中注意力，仔细观察路况和提前预防，必要时在安全地点停车等待。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2.动态监控人员应时刻注意各地天气及地质灾害情况，及时通知驾驶人员。</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3.企业应对路段进行风险分析，制定相应的安全操作规程和应急处置措施。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lang w:val="zh-CN"/>
              </w:rPr>
              <w:t>4.加强驾驶人员的安全培训教育和考核。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742" w:type="dxa"/>
            <w:vAlign w:val="center"/>
          </w:tcPr>
          <w:p>
            <w:pPr>
              <w:topLinePunct/>
              <w:snapToGrid w:val="0"/>
              <w:spacing w:line="400" w:lineRule="exact"/>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rPr>
              <w:t>5</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zh-CN"/>
              </w:rPr>
              <w:t>人员对路况不熟悉，行车过程中出现紧急情况处置不当，可能发生安全事故。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lang w:val="zh-CN"/>
              </w:rPr>
              <w:t>5</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lang w:val="zh-CN"/>
              </w:rPr>
              <w:t>6</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lang w:val="zh-CN"/>
              </w:rPr>
              <w:t>30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A级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lang w:val="zh-CN"/>
              </w:rPr>
              <w:t>/</w:t>
            </w:r>
            <w:r>
              <w:rPr>
                <w:rFonts w:hint="eastAsia" w:ascii="仿宋_GB2312" w:hAnsi="仿宋_GB2312" w:eastAsia="仿宋_GB2312" w:cs="仿宋_GB2312"/>
                <w:bCs/>
                <w:color w:val="FF0000"/>
                <w:sz w:val="24"/>
                <w:lang w:val="zh-CN"/>
              </w:rPr>
              <w:t>红色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1.企业应组织人员对线路进行考察，对线路进行风险分析，尽可能避开人员聚集区、环境敏感点等的特殊路段。</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eastAsia="zh-CN"/>
              </w:rPr>
            </w:pPr>
            <w:r>
              <w:rPr>
                <w:rFonts w:hint="eastAsia" w:ascii="仿宋_GB2312" w:hAnsi="仿宋_GB2312" w:eastAsia="仿宋_GB2312" w:cs="仿宋_GB2312"/>
                <w:bCs/>
                <w:sz w:val="22"/>
                <w:szCs w:val="22"/>
                <w:lang w:val="zh-CN"/>
              </w:rPr>
              <w:t>2.特殊路段制定相应的控制措施和安全操作规程，并组织驾驶人员进行学习。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742" w:type="dxa"/>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6</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eastAsia="zh-CN"/>
              </w:rPr>
            </w:pPr>
            <w:r>
              <w:rPr>
                <w:rFonts w:hint="eastAsia" w:ascii="仿宋_GB2312" w:hAnsi="仿宋_GB2312" w:eastAsia="仿宋_GB2312" w:cs="仿宋_GB2312"/>
                <w:bCs/>
                <w:sz w:val="22"/>
                <w:szCs w:val="22"/>
                <w:lang w:val="zh-CN"/>
              </w:rPr>
              <w:t>能见度低，看不清路况，驾驶员长时间雾中驾驶，注意力持续集中，易疲劳等情况，容易发生安全事故。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lang w:val="zh-CN"/>
              </w:rPr>
              <w:t>5</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lang w:val="zh-CN"/>
              </w:rPr>
              <w:t>6</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lang w:val="zh-CN"/>
              </w:rPr>
              <w:t>30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A级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lang w:val="zh-CN"/>
              </w:rPr>
              <w:t>/</w:t>
            </w:r>
            <w:r>
              <w:rPr>
                <w:rFonts w:hint="eastAsia" w:ascii="仿宋_GB2312" w:hAnsi="仿宋_GB2312" w:eastAsia="仿宋_GB2312" w:cs="仿宋_GB2312"/>
                <w:bCs/>
                <w:color w:val="FF0000"/>
                <w:sz w:val="24"/>
                <w:lang w:val="zh-CN"/>
              </w:rPr>
              <w:t>红色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1.雾天行驶要提高警惕，注意前方情况，靠右侧行驶，严禁盲目超车。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2.要严格控制</w:t>
            </w:r>
            <w:r>
              <w:rPr>
                <w:rFonts w:hint="eastAsia" w:ascii="仿宋_GB2312" w:hAnsi="仿宋_GB2312" w:eastAsia="仿宋_GB2312" w:cs="仿宋_GB2312"/>
                <w:bCs/>
                <w:sz w:val="22"/>
                <w:szCs w:val="22"/>
                <w:lang w:val="en-US" w:eastAsia="zh-CN"/>
              </w:rPr>
              <w:t>速度</w:t>
            </w:r>
            <w:r>
              <w:rPr>
                <w:rFonts w:hint="eastAsia" w:ascii="仿宋_GB2312" w:hAnsi="仿宋_GB2312" w:eastAsia="仿宋_GB2312" w:cs="仿宋_GB2312"/>
                <w:bCs/>
                <w:sz w:val="22"/>
                <w:szCs w:val="22"/>
                <w:lang w:val="zh-CN"/>
              </w:rPr>
              <w:t>、</w:t>
            </w:r>
            <w:r>
              <w:rPr>
                <w:rFonts w:hint="eastAsia" w:ascii="仿宋_GB2312" w:hAnsi="仿宋_GB2312" w:eastAsia="仿宋_GB2312" w:cs="仿宋_GB2312"/>
                <w:bCs/>
                <w:sz w:val="22"/>
                <w:szCs w:val="22"/>
                <w:lang w:val="en-US" w:eastAsia="zh-CN"/>
              </w:rPr>
              <w:t>间距</w:t>
            </w:r>
            <w:r>
              <w:rPr>
                <w:rFonts w:hint="eastAsia" w:ascii="仿宋_GB2312" w:hAnsi="仿宋_GB2312" w:eastAsia="仿宋_GB2312" w:cs="仿宋_GB2312"/>
                <w:bCs/>
                <w:sz w:val="22"/>
                <w:szCs w:val="22"/>
                <w:lang w:val="zh-CN"/>
              </w:rPr>
              <w:t>，防止视线受阻，突发状况不能采取有效制动措施。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夜间照明不良或者遇有雾、雨、雪、沙尘、冰雹等低能见度情况下行驶时，应当开启前照灯、示廓灯和后位灯，但同方向行驶的后车与前车近距离行驶时，不得使用远光灯。机动车雾天行驶应当开启雾灯和危险报警闪光灯。</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4.卫星定位装置专职监控人员应及时提醒驾驶人员注意特殊天气，必要时停车等待。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5.如遇雨天、雪天、雾天等恶劣天气，控制</w:t>
            </w:r>
            <w:r>
              <w:rPr>
                <w:rFonts w:hint="eastAsia" w:ascii="仿宋_GB2312" w:hAnsi="仿宋_GB2312" w:eastAsia="仿宋_GB2312" w:cs="仿宋_GB2312"/>
                <w:bCs/>
                <w:sz w:val="22"/>
                <w:szCs w:val="22"/>
                <w:lang w:val="en-US" w:eastAsia="zh-CN"/>
              </w:rPr>
              <w:t>速度</w:t>
            </w:r>
            <w:r>
              <w:rPr>
                <w:rFonts w:hint="eastAsia" w:ascii="仿宋_GB2312" w:hAnsi="仿宋_GB2312" w:eastAsia="仿宋_GB2312" w:cs="仿宋_GB2312"/>
                <w:bCs/>
                <w:sz w:val="22"/>
                <w:szCs w:val="22"/>
                <w:lang w:val="zh-CN"/>
              </w:rPr>
              <w:t>，并打开示警灯。</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6.制定相应的安全操作规程和应急处置措施。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eastAsia="zh-CN"/>
              </w:rPr>
            </w:pPr>
            <w:r>
              <w:rPr>
                <w:rFonts w:hint="eastAsia" w:ascii="仿宋_GB2312" w:hAnsi="仿宋_GB2312" w:eastAsia="仿宋_GB2312" w:cs="仿宋_GB2312"/>
                <w:bCs/>
                <w:sz w:val="22"/>
                <w:szCs w:val="22"/>
                <w:lang w:val="zh-CN"/>
              </w:rPr>
              <w:t>7.加强</w:t>
            </w:r>
            <w:r>
              <w:rPr>
                <w:rFonts w:hint="eastAsia" w:ascii="仿宋_GB2312" w:hAnsi="仿宋_GB2312" w:eastAsia="仿宋_GB2312" w:cs="仿宋_GB2312"/>
                <w:bCs/>
                <w:sz w:val="22"/>
                <w:szCs w:val="22"/>
                <w:lang w:val="en-US" w:eastAsia="zh-CN"/>
              </w:rPr>
              <w:t>从业人员</w:t>
            </w:r>
            <w:r>
              <w:rPr>
                <w:rFonts w:hint="eastAsia" w:ascii="仿宋_GB2312" w:hAnsi="仿宋_GB2312" w:eastAsia="仿宋_GB2312" w:cs="仿宋_GB2312"/>
                <w:bCs/>
                <w:sz w:val="22"/>
                <w:szCs w:val="22"/>
                <w:lang w:val="zh-CN"/>
              </w:rPr>
              <w:t>的安全培训教育和考核。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742" w:type="dxa"/>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7</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车</w:t>
            </w:r>
            <w:r>
              <w:rPr>
                <w:rFonts w:hint="eastAsia" w:ascii="仿宋_GB2312" w:hAnsi="仿宋_GB2312" w:eastAsia="仿宋_GB2312" w:cs="仿宋_GB2312"/>
                <w:bCs/>
                <w:sz w:val="22"/>
                <w:szCs w:val="22"/>
                <w:lang w:val="en-US" w:eastAsia="zh-CN"/>
              </w:rPr>
              <w:t>船</w:t>
            </w:r>
            <w:r>
              <w:rPr>
                <w:rFonts w:hint="eastAsia" w:ascii="仿宋_GB2312" w:hAnsi="仿宋_GB2312" w:eastAsia="仿宋_GB2312" w:cs="仿宋_GB2312"/>
                <w:bCs/>
                <w:sz w:val="22"/>
                <w:szCs w:val="22"/>
                <w:lang w:val="zh-CN"/>
              </w:rPr>
              <w:t>、场内安全设施检查不到位可能引发事故。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火灾</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4</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4</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16</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C级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color w:val="FFFF00"/>
                <w:sz w:val="28"/>
                <w:szCs w:val="28"/>
              </w:rPr>
              <w:t>/黄色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1.严格按照安全管理制度和安全操作规程对进、出场和场内设施进行检查，并做好记录。</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2.掌握相应的应急救援措施。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trPr>
        <w:tc>
          <w:tcPr>
            <w:tcW w:w="742" w:type="dxa"/>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8</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从业人员</w:t>
            </w:r>
            <w:r>
              <w:rPr>
                <w:rFonts w:hint="eastAsia" w:ascii="仿宋_GB2312" w:hAnsi="仿宋_GB2312" w:eastAsia="仿宋_GB2312" w:cs="仿宋_GB2312"/>
                <w:bCs/>
                <w:sz w:val="22"/>
                <w:szCs w:val="22"/>
                <w:lang w:val="zh-CN"/>
              </w:rPr>
              <w:t>招聘把关不严；安全培训、安全检查、应急演练、安全投入等工作不到位，可能间接引发事故。</w:t>
            </w:r>
          </w:p>
        </w:tc>
        <w:tc>
          <w:tcPr>
            <w:tcW w:w="1411" w:type="dxa"/>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4</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color w:val="FFC000"/>
                <w:sz w:val="24"/>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1.</w:t>
            </w:r>
            <w:r>
              <w:rPr>
                <w:rFonts w:hint="eastAsia" w:ascii="仿宋_GB2312" w:hAnsi="仿宋_GB2312" w:eastAsia="仿宋_GB2312" w:cs="仿宋_GB2312"/>
                <w:bCs/>
                <w:sz w:val="22"/>
                <w:szCs w:val="22"/>
                <w:lang w:val="en-US" w:eastAsia="zh-CN"/>
              </w:rPr>
              <w:t>从业人员</w:t>
            </w:r>
            <w:r>
              <w:rPr>
                <w:rFonts w:hint="eastAsia" w:ascii="仿宋_GB2312" w:hAnsi="仿宋_GB2312" w:eastAsia="仿宋_GB2312" w:cs="仿宋_GB2312"/>
                <w:bCs/>
                <w:sz w:val="22"/>
                <w:szCs w:val="22"/>
              </w:rPr>
              <w:t>招聘严格按照国家法律法规、政策和公司规章制度执行，不合格的人员严禁录用。</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2.按照国家法律法规、政策和公司规章制度组织安全培训、安全检查、应急演练等工作。</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3.按照公司制度对公司其他人员安全违规行为进行考核。</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4.制定公司安全生产经费投入计划和安全技术措施计划，组织实施或监督相关部门实施。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9" w:hRule="atLeast"/>
        </w:trPr>
        <w:tc>
          <w:tcPr>
            <w:tcW w:w="742" w:type="dxa"/>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9</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车船、工具设备等</w:t>
            </w:r>
            <w:r>
              <w:rPr>
                <w:rFonts w:hint="eastAsia" w:ascii="仿宋_GB2312" w:hAnsi="仿宋_GB2312" w:eastAsia="仿宋_GB2312" w:cs="仿宋_GB2312"/>
                <w:bCs/>
                <w:sz w:val="22"/>
                <w:szCs w:val="22"/>
                <w:lang w:val="zh-CN"/>
              </w:rPr>
              <w:t>维护、检查、维修等不到位可能间接引发事故。</w:t>
            </w:r>
          </w:p>
        </w:tc>
        <w:tc>
          <w:tcPr>
            <w:tcW w:w="1411" w:type="dxa"/>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火灾</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交通事故</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4</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color w:val="FFC000"/>
                <w:sz w:val="24"/>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1.落实</w:t>
            </w:r>
            <w:r>
              <w:rPr>
                <w:rFonts w:hint="eastAsia" w:ascii="仿宋_GB2312" w:hAnsi="仿宋_GB2312" w:eastAsia="仿宋_GB2312" w:cs="仿宋_GB2312"/>
                <w:bCs/>
                <w:sz w:val="22"/>
                <w:szCs w:val="22"/>
                <w:lang w:val="en-US" w:eastAsia="zh-CN"/>
              </w:rPr>
              <w:t>设备设施</w:t>
            </w:r>
            <w:r>
              <w:rPr>
                <w:rFonts w:hint="eastAsia" w:ascii="仿宋_GB2312" w:hAnsi="仿宋_GB2312" w:eastAsia="仿宋_GB2312" w:cs="仿宋_GB2312"/>
                <w:bCs/>
                <w:sz w:val="22"/>
                <w:szCs w:val="22"/>
              </w:rPr>
              <w:t>安全技术规定，按规定时间投保维修，进行维护、年检、检测等工作。</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2.督促落实</w:t>
            </w:r>
            <w:r>
              <w:rPr>
                <w:rFonts w:hint="eastAsia" w:ascii="仿宋_GB2312" w:hAnsi="仿宋_GB2312" w:eastAsia="仿宋_GB2312" w:cs="仿宋_GB2312"/>
                <w:bCs/>
                <w:sz w:val="22"/>
                <w:szCs w:val="22"/>
                <w:lang w:val="en-US" w:eastAsia="zh-CN"/>
              </w:rPr>
              <w:t>工具</w:t>
            </w:r>
            <w:r>
              <w:rPr>
                <w:rFonts w:hint="eastAsia" w:ascii="仿宋_GB2312" w:hAnsi="仿宋_GB2312" w:eastAsia="仿宋_GB2312" w:cs="仿宋_GB2312"/>
                <w:bCs/>
                <w:sz w:val="22"/>
                <w:szCs w:val="22"/>
              </w:rPr>
              <w:t>“三检”制度，并组织对车辆进行抽检，确保车辆正常运行。</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3.参加公司组织的安全检查、培训教育等活动，提出安全技术方面的建议和措施。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4.参与安全生产措施、制度、操作标准的制定。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exact"/>
        </w:trPr>
        <w:tc>
          <w:tcPr>
            <w:tcW w:w="742" w:type="dxa"/>
            <w:vAlign w:val="center"/>
          </w:tcPr>
          <w:p>
            <w:pPr>
              <w:topLinePunct/>
              <w:snapToGrid w:val="0"/>
              <w:spacing w:line="400" w:lineRule="exact"/>
              <w:rPr>
                <w:rFonts w:hint="eastAsia" w:ascii="仿宋_GB2312" w:hAnsi="仿宋_GB2312" w:eastAsia="仿宋_GB2312" w:cs="仿宋_GB2312"/>
                <w:bCs/>
                <w:sz w:val="24"/>
              </w:rPr>
            </w:pPr>
            <w:r>
              <w:rPr>
                <w:rFonts w:hint="eastAsia" w:ascii="仿宋_GB2312" w:hAnsi="仿宋_GB2312" w:eastAsia="仿宋_GB2312" w:cs="仿宋_GB2312"/>
                <w:bCs/>
                <w:sz w:val="24"/>
              </w:rPr>
              <w:t>10</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从业</w:t>
            </w:r>
            <w:r>
              <w:rPr>
                <w:rFonts w:hint="eastAsia" w:ascii="仿宋_GB2312" w:hAnsi="仿宋_GB2312" w:eastAsia="仿宋_GB2312" w:cs="仿宋_GB2312"/>
                <w:bCs/>
                <w:sz w:val="22"/>
                <w:szCs w:val="22"/>
                <w:lang w:val="zh-CN"/>
              </w:rPr>
              <w:t>人员、运输任务安排不合理；</w:t>
            </w:r>
            <w:r>
              <w:rPr>
                <w:rFonts w:hint="eastAsia" w:ascii="仿宋_GB2312" w:hAnsi="仿宋_GB2312" w:eastAsia="仿宋_GB2312" w:cs="仿宋_GB2312"/>
                <w:bCs/>
                <w:sz w:val="22"/>
                <w:szCs w:val="22"/>
                <w:lang w:val="en-US" w:eastAsia="zh-CN"/>
              </w:rPr>
              <w:t>班前</w:t>
            </w:r>
            <w:r>
              <w:rPr>
                <w:rFonts w:hint="eastAsia" w:ascii="仿宋_GB2312" w:hAnsi="仿宋_GB2312" w:eastAsia="仿宋_GB2312" w:cs="仿宋_GB2312"/>
                <w:bCs/>
                <w:sz w:val="22"/>
                <w:szCs w:val="22"/>
                <w:lang w:val="zh-CN"/>
              </w:rPr>
              <w:t>询问、教育不到位等可能间接引发事故。</w:t>
            </w:r>
          </w:p>
        </w:tc>
        <w:tc>
          <w:tcPr>
            <w:tcW w:w="1411" w:type="dxa"/>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4</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color w:val="FFC000"/>
                <w:sz w:val="24"/>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1.根据相关法律法规、制度要求，合理安排运输任务和驾驶人员。</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2.了解驾驶人员的思想状态和生活情况，出车前对驾驶人员进行询问和教育，达不到出车要求的人员，及时进行调换。</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3.“五一</w:t>
            </w:r>
            <w:r>
              <w:rPr>
                <w:rFonts w:hint="eastAsia" w:ascii="仿宋_GB2312" w:hAnsi="仿宋_GB2312" w:eastAsia="仿宋_GB2312" w:cs="仿宋_GB2312"/>
                <w:bCs/>
                <w:sz w:val="22"/>
                <w:szCs w:val="22"/>
                <w:lang w:eastAsia="zh-CN"/>
              </w:rPr>
              <w:t>”“</w:t>
            </w:r>
            <w:r>
              <w:rPr>
                <w:rFonts w:hint="eastAsia" w:ascii="仿宋_GB2312" w:hAnsi="仿宋_GB2312" w:eastAsia="仿宋_GB2312" w:cs="仿宋_GB2312"/>
                <w:bCs/>
                <w:sz w:val="22"/>
                <w:szCs w:val="22"/>
              </w:rPr>
              <w:t>十一</w:t>
            </w:r>
            <w:r>
              <w:rPr>
                <w:rFonts w:hint="eastAsia" w:ascii="仿宋_GB2312" w:hAnsi="仿宋_GB2312" w:eastAsia="仿宋_GB2312" w:cs="仿宋_GB2312"/>
                <w:bCs/>
                <w:sz w:val="22"/>
                <w:szCs w:val="22"/>
                <w:lang w:eastAsia="zh-CN"/>
              </w:rPr>
              <w:t>”“</w:t>
            </w:r>
            <w:r>
              <w:rPr>
                <w:rFonts w:hint="eastAsia" w:ascii="仿宋_GB2312" w:hAnsi="仿宋_GB2312" w:eastAsia="仿宋_GB2312" w:cs="仿宋_GB2312"/>
                <w:bCs/>
                <w:sz w:val="22"/>
                <w:szCs w:val="22"/>
              </w:rPr>
              <w:t>春运”“两会”等特殊时期，合理安排运输任务，尽量避免车流量高峰期运输。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shd w:val="clear" w:color="auto" w:fill="auto"/>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1</w:t>
            </w:r>
            <w:r>
              <w:rPr>
                <w:rFonts w:hint="eastAsia" w:ascii="仿宋_GB2312" w:hAnsi="仿宋_GB2312" w:eastAsia="仿宋_GB2312" w:cs="仿宋_GB2312"/>
                <w:bCs/>
                <w:sz w:val="24"/>
                <w:lang w:val="en-US" w:eastAsia="zh-CN"/>
              </w:rPr>
              <w:t>1</w:t>
            </w:r>
          </w:p>
        </w:tc>
        <w:tc>
          <w:tcPr>
            <w:tcW w:w="1935"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在场内未按规定</w:t>
            </w:r>
            <w:r>
              <w:rPr>
                <w:rFonts w:hint="eastAsia" w:ascii="仿宋_GB2312" w:hAnsi="仿宋_GB2312" w:eastAsia="仿宋_GB2312" w:cs="仿宋_GB2312"/>
                <w:bCs/>
                <w:sz w:val="22"/>
                <w:szCs w:val="22"/>
                <w:lang w:val="en-US" w:eastAsia="zh-CN"/>
              </w:rPr>
              <w:t>速度</w:t>
            </w:r>
            <w:r>
              <w:rPr>
                <w:rFonts w:hint="eastAsia" w:ascii="仿宋_GB2312" w:hAnsi="仿宋_GB2312" w:eastAsia="仿宋_GB2312" w:cs="仿宋_GB2312"/>
                <w:bCs/>
                <w:sz w:val="22"/>
                <w:szCs w:val="22"/>
                <w:lang w:val="zh-CN"/>
              </w:rPr>
              <w:t>行驶、未按规定停放或因驾驶过程中疏忽大意引起的伤害；漏油遇点火源发生的火灾、爆炸。</w:t>
            </w:r>
          </w:p>
        </w:tc>
        <w:tc>
          <w:tcPr>
            <w:tcW w:w="1411"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火灾</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其他伤害</w:t>
            </w:r>
          </w:p>
        </w:tc>
        <w:tc>
          <w:tcPr>
            <w:tcW w:w="433"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3</w:t>
            </w:r>
          </w:p>
        </w:tc>
        <w:tc>
          <w:tcPr>
            <w:tcW w:w="350"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4</w:t>
            </w:r>
          </w:p>
        </w:tc>
        <w:tc>
          <w:tcPr>
            <w:tcW w:w="717"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12</w:t>
            </w:r>
          </w:p>
        </w:tc>
        <w:tc>
          <w:tcPr>
            <w:tcW w:w="824"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C级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color w:val="FFFF00"/>
                <w:sz w:val="24"/>
                <w:lang w:val="zh-CN"/>
              </w:rPr>
              <w:t>/黄色</w:t>
            </w:r>
          </w:p>
        </w:tc>
        <w:tc>
          <w:tcPr>
            <w:tcW w:w="8092"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1.场地应当封闭管理并设立明显的安全警示告知牌、限高、限速标志。</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2.建立场</w:t>
            </w:r>
            <w:r>
              <w:rPr>
                <w:rFonts w:hint="eastAsia" w:ascii="仿宋_GB2312" w:hAnsi="仿宋_GB2312" w:eastAsia="仿宋_GB2312" w:cs="仿宋_GB2312"/>
                <w:bCs/>
                <w:sz w:val="22"/>
                <w:szCs w:val="22"/>
                <w:lang w:val="en-US" w:eastAsia="zh-CN"/>
              </w:rPr>
              <w:t>站</w:t>
            </w:r>
            <w:r>
              <w:rPr>
                <w:rFonts w:hint="eastAsia" w:ascii="仿宋_GB2312" w:hAnsi="仿宋_GB2312" w:eastAsia="仿宋_GB2312" w:cs="仿宋_GB2312"/>
                <w:bCs/>
                <w:sz w:val="22"/>
                <w:szCs w:val="22"/>
              </w:rPr>
              <w:t>安全管理制度，制度应包括危货车辆停放管理、专用停车区域管理、警示标志管理、相关设备管理以及专人值守、突发事件应急管理等内容。</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3.驾驶员驾驶入场时应注意观察停车场内人员和车辆的动态，主动避让。</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4.划定路线及停车位，有多种车辆共同停放的，运输剧毒、爆炸等高危等级危险货物企业的场地须用专用设施将危险品运输车辆与其他设备、车辆、人员进行隔离，并按运输危险货物的种类设置警示标志。</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5.配备场</w:t>
            </w:r>
            <w:r>
              <w:rPr>
                <w:rFonts w:hint="eastAsia" w:ascii="仿宋_GB2312" w:hAnsi="仿宋_GB2312" w:eastAsia="仿宋_GB2312" w:cs="仿宋_GB2312"/>
                <w:bCs/>
                <w:sz w:val="22"/>
                <w:szCs w:val="22"/>
                <w:lang w:val="en-US" w:eastAsia="zh-CN"/>
              </w:rPr>
              <w:t>站安全</w:t>
            </w:r>
            <w:r>
              <w:rPr>
                <w:rFonts w:hint="eastAsia" w:ascii="仿宋_GB2312" w:hAnsi="仿宋_GB2312" w:eastAsia="仿宋_GB2312" w:cs="仿宋_GB2312"/>
                <w:bCs/>
                <w:sz w:val="22"/>
                <w:szCs w:val="22"/>
              </w:rPr>
              <w:t>值守人员，指挥车辆出入，并进行定期巡检，建立巡检记录，确保</w:t>
            </w:r>
            <w:r>
              <w:rPr>
                <w:rFonts w:hint="eastAsia" w:ascii="仿宋_GB2312" w:hAnsi="仿宋_GB2312" w:eastAsia="仿宋_GB2312" w:cs="仿宋_GB2312"/>
                <w:bCs/>
                <w:sz w:val="22"/>
                <w:szCs w:val="22"/>
                <w:lang w:val="zh-CN"/>
              </w:rPr>
              <w:t>场内标线、</w:t>
            </w:r>
            <w:r>
              <w:rPr>
                <w:rFonts w:hint="eastAsia" w:ascii="仿宋_GB2312" w:hAnsi="仿宋_GB2312" w:eastAsia="仿宋_GB2312" w:cs="仿宋_GB2312"/>
                <w:bCs/>
                <w:sz w:val="22"/>
                <w:szCs w:val="22"/>
                <w:lang w:val="en-US" w:eastAsia="zh-CN"/>
              </w:rPr>
              <w:t>位置</w:t>
            </w:r>
            <w:r>
              <w:rPr>
                <w:rFonts w:hint="eastAsia" w:ascii="仿宋_GB2312" w:hAnsi="仿宋_GB2312" w:eastAsia="仿宋_GB2312" w:cs="仿宋_GB2312"/>
                <w:bCs/>
                <w:sz w:val="22"/>
                <w:szCs w:val="22"/>
                <w:lang w:val="zh-CN"/>
              </w:rPr>
              <w:t>、安全隔离带、警示标志、消防设施、应急防护用品等安全生产设施设备符合有关规定，齐全、完好</w:t>
            </w:r>
            <w:r>
              <w:rPr>
                <w:rFonts w:hint="eastAsia" w:ascii="仿宋_GB2312" w:hAnsi="仿宋_GB2312" w:eastAsia="仿宋_GB2312" w:cs="仿宋_GB2312"/>
                <w:bCs/>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1</w:t>
            </w:r>
            <w:r>
              <w:rPr>
                <w:rFonts w:hint="eastAsia" w:ascii="仿宋_GB2312" w:hAnsi="仿宋_GB2312" w:eastAsia="仿宋_GB2312" w:cs="仿宋_GB2312"/>
                <w:bCs/>
                <w:sz w:val="24"/>
                <w:lang w:val="en-US" w:eastAsia="zh-CN"/>
              </w:rPr>
              <w:t>2</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人员使用电器不当或使用明火造成的触电或火灾事故等；</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触电</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火灾</w:t>
            </w:r>
            <w:r>
              <w:rPr>
                <w:rFonts w:hint="eastAsia" w:ascii="仿宋_GB2312" w:hAnsi="仿宋_GB2312" w:eastAsia="仿宋_GB2312" w:cs="仿宋_GB2312"/>
                <w:bCs/>
                <w:sz w:val="24"/>
                <w:lang w:eastAsia="zh-CN"/>
              </w:rPr>
              <w:t>等其他</w:t>
            </w:r>
            <w:r>
              <w:rPr>
                <w:rFonts w:hint="eastAsia" w:ascii="仿宋_GB2312" w:hAnsi="仿宋_GB2312" w:eastAsia="仿宋_GB2312" w:cs="仿宋_GB2312"/>
                <w:bCs/>
                <w:sz w:val="24"/>
              </w:rPr>
              <w:t>事故</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4</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color w:val="FFC000"/>
                <w:sz w:val="24"/>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rPr>
              <w:t>1.</w:t>
            </w:r>
            <w:r>
              <w:rPr>
                <w:rFonts w:hint="eastAsia" w:ascii="仿宋_GB2312" w:hAnsi="仿宋_GB2312" w:eastAsia="仿宋_GB2312" w:cs="仿宋_GB2312"/>
                <w:bCs/>
                <w:sz w:val="22"/>
                <w:szCs w:val="22"/>
                <w:lang w:val="zh-CN"/>
              </w:rPr>
              <w:t>按照国家的法律法规、标准规范和公司电气管理制度使用电器和进行电气维修。</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rPr>
              <w:t>2.</w:t>
            </w:r>
            <w:r>
              <w:rPr>
                <w:rFonts w:hint="eastAsia" w:ascii="仿宋_GB2312" w:hAnsi="仿宋_GB2312" w:eastAsia="仿宋_GB2312" w:cs="仿宋_GB2312"/>
                <w:bCs/>
                <w:sz w:val="22"/>
                <w:szCs w:val="22"/>
                <w:lang w:val="zh-CN"/>
              </w:rPr>
              <w:t>下班时按照相关规定关闭不使用的电源。</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rPr>
              <w:t>3.</w:t>
            </w:r>
            <w:r>
              <w:rPr>
                <w:rFonts w:hint="eastAsia" w:ascii="仿宋_GB2312" w:hAnsi="仿宋_GB2312" w:eastAsia="仿宋_GB2312" w:cs="仿宋_GB2312"/>
                <w:bCs/>
                <w:sz w:val="22"/>
                <w:szCs w:val="22"/>
                <w:lang w:val="zh-CN"/>
              </w:rPr>
              <w:t>临时线路敷设符合安全要求，应安装总开关控制和漏电保护装置。</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rPr>
              <w:t>4.</w:t>
            </w:r>
            <w:r>
              <w:rPr>
                <w:rFonts w:hint="eastAsia" w:ascii="仿宋_GB2312" w:hAnsi="仿宋_GB2312" w:eastAsia="仿宋_GB2312" w:cs="仿宋_GB2312"/>
                <w:bCs/>
                <w:sz w:val="22"/>
                <w:szCs w:val="22"/>
                <w:lang w:val="zh-CN"/>
              </w:rPr>
              <w:t>临时用电设备PE（保护接地线）连接可靠。</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rPr>
              <w:t>5.</w:t>
            </w:r>
            <w:r>
              <w:rPr>
                <w:rFonts w:hint="eastAsia" w:ascii="仿宋_GB2312" w:hAnsi="仿宋_GB2312" w:eastAsia="仿宋_GB2312" w:cs="仿宋_GB2312"/>
                <w:bCs/>
                <w:sz w:val="22"/>
                <w:szCs w:val="22"/>
                <w:lang w:val="zh-CN"/>
              </w:rPr>
              <w:t>电工要持证上岗，穿戴劳动防护用品。</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rPr>
              <w:t>6.</w:t>
            </w:r>
            <w:r>
              <w:rPr>
                <w:rFonts w:hint="eastAsia" w:ascii="仿宋_GB2312" w:hAnsi="仿宋_GB2312" w:eastAsia="仿宋_GB2312" w:cs="仿宋_GB2312"/>
                <w:bCs/>
                <w:sz w:val="22"/>
                <w:szCs w:val="22"/>
                <w:lang w:val="zh-CN"/>
              </w:rPr>
              <w:t>按照相关的法律法规、标准规范配置相应的消防器材，并按照规定检查维护。</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7.</w:t>
            </w:r>
            <w:r>
              <w:rPr>
                <w:rFonts w:hint="eastAsia" w:ascii="仿宋_GB2312" w:hAnsi="仿宋_GB2312" w:eastAsia="仿宋_GB2312" w:cs="仿宋_GB2312"/>
                <w:bCs/>
                <w:sz w:val="22"/>
                <w:szCs w:val="22"/>
                <w:lang w:val="zh-CN"/>
              </w:rPr>
              <w:t>消防通道不得占用，应急出口不得封闭。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shd w:val="clear" w:color="auto" w:fill="auto"/>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1</w:t>
            </w:r>
            <w:r>
              <w:rPr>
                <w:rFonts w:hint="eastAsia" w:ascii="仿宋_GB2312" w:hAnsi="仿宋_GB2312" w:eastAsia="仿宋_GB2312" w:cs="仿宋_GB2312"/>
                <w:bCs/>
                <w:sz w:val="24"/>
                <w:lang w:val="en-US" w:eastAsia="zh-CN"/>
              </w:rPr>
              <w:t>3</w:t>
            </w:r>
          </w:p>
        </w:tc>
        <w:tc>
          <w:tcPr>
            <w:tcW w:w="1935"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因车</w:t>
            </w:r>
            <w:r>
              <w:rPr>
                <w:rFonts w:hint="eastAsia" w:ascii="仿宋_GB2312" w:hAnsi="仿宋_GB2312" w:eastAsia="仿宋_GB2312" w:cs="仿宋_GB2312"/>
                <w:bCs/>
                <w:sz w:val="22"/>
                <w:szCs w:val="22"/>
                <w:lang w:val="en-US" w:eastAsia="zh-CN"/>
              </w:rPr>
              <w:t>船</w:t>
            </w:r>
            <w:r>
              <w:rPr>
                <w:rFonts w:hint="eastAsia" w:ascii="仿宋_GB2312" w:hAnsi="仿宋_GB2312" w:eastAsia="仿宋_GB2312" w:cs="仿宋_GB2312"/>
                <w:bCs/>
                <w:sz w:val="22"/>
                <w:szCs w:val="22"/>
                <w:lang w:val="zh-CN"/>
              </w:rPr>
              <w:t>体积庞大，满载总质量较大，导致加速性能差、惯性大、制动距离长、重心高不易控制而引发的交通事故。</w:t>
            </w:r>
          </w:p>
        </w:tc>
        <w:tc>
          <w:tcPr>
            <w:tcW w:w="1411"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tc>
        <w:tc>
          <w:tcPr>
            <w:tcW w:w="433"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3</w:t>
            </w:r>
          </w:p>
        </w:tc>
        <w:tc>
          <w:tcPr>
            <w:tcW w:w="350"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717"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12</w:t>
            </w:r>
          </w:p>
        </w:tc>
        <w:tc>
          <w:tcPr>
            <w:tcW w:w="824"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C级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FF00"/>
                <w:sz w:val="24"/>
                <w:lang w:val="zh-CN"/>
              </w:rPr>
              <w:t>/黄色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1.确保车辆制动性能良好。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2.注意严格控制车速，保持安全车距。</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3.禁止强行超车。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4.同车道</w:t>
            </w:r>
            <w:r>
              <w:rPr>
                <w:rFonts w:hint="eastAsia" w:ascii="仿宋_GB2312" w:hAnsi="仿宋_GB2312" w:eastAsia="仿宋_GB2312" w:cs="仿宋_GB2312"/>
                <w:bCs/>
                <w:sz w:val="22"/>
                <w:szCs w:val="22"/>
                <w:lang w:val="en-US" w:eastAsia="zh-CN"/>
              </w:rPr>
              <w:t>航道</w:t>
            </w:r>
            <w:r>
              <w:rPr>
                <w:rFonts w:hint="eastAsia" w:ascii="仿宋_GB2312" w:hAnsi="仿宋_GB2312" w:eastAsia="仿宋_GB2312" w:cs="仿宋_GB2312"/>
                <w:bCs/>
                <w:sz w:val="22"/>
                <w:szCs w:val="22"/>
                <w:lang w:val="zh-CN"/>
              </w:rPr>
              <w:t>行驶的，应当与前保持足以采取紧急制动措施的安全距离。</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5.不要长时间占道。</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6.不要随意变更。</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7.严格按照交通规则。</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8.建立的</w:t>
            </w:r>
            <w:r>
              <w:rPr>
                <w:rFonts w:hint="eastAsia" w:ascii="仿宋_GB2312" w:hAnsi="仿宋_GB2312" w:eastAsia="仿宋_GB2312" w:cs="仿宋_GB2312"/>
                <w:bCs/>
                <w:sz w:val="22"/>
                <w:szCs w:val="22"/>
                <w:lang w:val="en-US" w:eastAsia="zh-CN"/>
              </w:rPr>
              <w:t>维修</w:t>
            </w:r>
            <w:r>
              <w:rPr>
                <w:rFonts w:hint="eastAsia" w:ascii="仿宋_GB2312" w:hAnsi="仿宋_GB2312" w:eastAsia="仿宋_GB2312" w:cs="仿宋_GB2312"/>
                <w:bCs/>
                <w:sz w:val="22"/>
                <w:szCs w:val="22"/>
                <w:lang w:val="zh-CN"/>
              </w:rPr>
              <w:t>档案，及时关注</w:t>
            </w:r>
            <w:r>
              <w:rPr>
                <w:rFonts w:hint="eastAsia" w:ascii="仿宋_GB2312" w:hAnsi="仿宋_GB2312" w:eastAsia="仿宋_GB2312" w:cs="仿宋_GB2312"/>
                <w:bCs/>
                <w:sz w:val="22"/>
                <w:szCs w:val="22"/>
                <w:lang w:val="en-US" w:eastAsia="zh-CN"/>
              </w:rPr>
              <w:t>车船技术</w:t>
            </w:r>
            <w:r>
              <w:rPr>
                <w:rFonts w:hint="eastAsia" w:ascii="仿宋_GB2312" w:hAnsi="仿宋_GB2312" w:eastAsia="仿宋_GB2312" w:cs="仿宋_GB2312"/>
                <w:bCs/>
                <w:sz w:val="22"/>
                <w:szCs w:val="22"/>
                <w:lang w:val="zh-CN"/>
              </w:rPr>
              <w:t>状况并更新档案内容。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742" w:type="dxa"/>
            <w:shd w:val="clear" w:color="auto" w:fill="auto"/>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1</w:t>
            </w:r>
            <w:r>
              <w:rPr>
                <w:rFonts w:hint="eastAsia" w:ascii="仿宋_GB2312" w:hAnsi="仿宋_GB2312" w:eastAsia="仿宋_GB2312" w:cs="仿宋_GB2312"/>
                <w:bCs/>
                <w:sz w:val="24"/>
                <w:lang w:val="en-US" w:eastAsia="zh-CN"/>
              </w:rPr>
              <w:t>4</w:t>
            </w:r>
          </w:p>
        </w:tc>
        <w:tc>
          <w:tcPr>
            <w:tcW w:w="1935"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因内外轮差大或存在视觉盲区而引发的交通事故。</w:t>
            </w:r>
          </w:p>
        </w:tc>
        <w:tc>
          <w:tcPr>
            <w:tcW w:w="1411"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tc>
        <w:tc>
          <w:tcPr>
            <w:tcW w:w="433"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3</w:t>
            </w:r>
          </w:p>
        </w:tc>
        <w:tc>
          <w:tcPr>
            <w:tcW w:w="350"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717"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10</w:t>
            </w:r>
          </w:p>
        </w:tc>
        <w:tc>
          <w:tcPr>
            <w:tcW w:w="824"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C级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FF00"/>
                <w:sz w:val="24"/>
                <w:lang w:val="zh-CN"/>
              </w:rPr>
              <w:t>/黄色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1.转弯时不要占用对方道、尽量增大转弯半径，时刻注意车外情况，减缓</w:t>
            </w:r>
            <w:r>
              <w:rPr>
                <w:rFonts w:hint="eastAsia" w:ascii="仿宋_GB2312" w:hAnsi="仿宋_GB2312" w:eastAsia="仿宋_GB2312" w:cs="仿宋_GB2312"/>
                <w:bCs/>
                <w:sz w:val="22"/>
                <w:szCs w:val="22"/>
                <w:lang w:val="en-US" w:eastAsia="zh-CN"/>
              </w:rPr>
              <w:t>速度</w:t>
            </w:r>
            <w:r>
              <w:rPr>
                <w:rFonts w:hint="eastAsia" w:ascii="仿宋_GB2312" w:hAnsi="仿宋_GB2312" w:eastAsia="仿宋_GB2312" w:cs="仿宋_GB2312"/>
                <w:bCs/>
                <w:sz w:val="22"/>
                <w:szCs w:val="22"/>
                <w:lang w:val="zh-CN"/>
              </w:rPr>
              <w:t>行驶。</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2.禁止在转弯时强行</w:t>
            </w:r>
            <w:r>
              <w:rPr>
                <w:rFonts w:hint="eastAsia" w:ascii="仿宋_GB2312" w:hAnsi="仿宋_GB2312" w:eastAsia="仿宋_GB2312" w:cs="仿宋_GB2312"/>
                <w:bCs/>
                <w:sz w:val="22"/>
                <w:szCs w:val="22"/>
                <w:lang w:val="en-US" w:eastAsia="zh-CN"/>
              </w:rPr>
              <w:t>通过</w:t>
            </w:r>
            <w:r>
              <w:rPr>
                <w:rFonts w:hint="eastAsia" w:ascii="仿宋_GB2312" w:hAnsi="仿宋_GB2312" w:eastAsia="仿宋_GB2312" w:cs="仿宋_GB2312"/>
                <w:bCs/>
                <w:sz w:val="22"/>
                <w:szCs w:val="22"/>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shd w:val="clear" w:color="auto" w:fill="auto"/>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1</w:t>
            </w:r>
            <w:r>
              <w:rPr>
                <w:rFonts w:hint="eastAsia" w:ascii="仿宋_GB2312" w:hAnsi="仿宋_GB2312" w:eastAsia="仿宋_GB2312" w:cs="仿宋_GB2312"/>
                <w:bCs/>
                <w:sz w:val="24"/>
                <w:lang w:val="en-US" w:eastAsia="zh-CN"/>
              </w:rPr>
              <w:t>5</w:t>
            </w:r>
          </w:p>
        </w:tc>
        <w:tc>
          <w:tcPr>
            <w:tcW w:w="1935"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箱体、船舱</w:t>
            </w:r>
            <w:r>
              <w:rPr>
                <w:rFonts w:hint="eastAsia" w:ascii="仿宋_GB2312" w:hAnsi="仿宋_GB2312" w:eastAsia="仿宋_GB2312" w:cs="仿宋_GB2312"/>
                <w:bCs/>
                <w:sz w:val="22"/>
                <w:szCs w:val="22"/>
                <w:lang w:val="zh-CN"/>
              </w:rPr>
              <w:t>损坏、不密闭</w:t>
            </w:r>
          </w:p>
        </w:tc>
        <w:tc>
          <w:tcPr>
            <w:tcW w:w="1411"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5</w:t>
            </w:r>
          </w:p>
        </w:tc>
        <w:tc>
          <w:tcPr>
            <w:tcW w:w="350"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w:t>
            </w:r>
          </w:p>
        </w:tc>
        <w:tc>
          <w:tcPr>
            <w:tcW w:w="717"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10</w:t>
            </w:r>
          </w:p>
        </w:tc>
        <w:tc>
          <w:tcPr>
            <w:tcW w:w="824"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C级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FF00"/>
                <w:sz w:val="24"/>
                <w:lang w:val="zh-CN"/>
              </w:rPr>
              <w:t>/黄色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1.在运输过程</w:t>
            </w:r>
            <w:r>
              <w:rPr>
                <w:rFonts w:hint="eastAsia" w:ascii="仿宋_GB2312" w:hAnsi="仿宋_GB2312" w:eastAsia="仿宋_GB2312" w:cs="仿宋_GB2312"/>
                <w:bCs/>
                <w:sz w:val="22"/>
                <w:szCs w:val="22"/>
                <w:lang w:val="en-US" w:eastAsia="zh-CN"/>
              </w:rPr>
              <w:t>应</w:t>
            </w:r>
            <w:r>
              <w:rPr>
                <w:rFonts w:hint="eastAsia" w:ascii="仿宋_GB2312" w:hAnsi="仿宋_GB2312" w:eastAsia="仿宋_GB2312" w:cs="仿宋_GB2312"/>
                <w:bCs/>
                <w:sz w:val="22"/>
                <w:szCs w:val="22"/>
                <w:lang w:val="zh-CN"/>
              </w:rPr>
              <w:t>密封运输，不能将物品暴露在空气中</w:t>
            </w:r>
            <w:r>
              <w:rPr>
                <w:rFonts w:hint="eastAsia" w:ascii="仿宋_GB2312" w:hAnsi="仿宋_GB2312" w:eastAsia="仿宋_GB2312" w:cs="仿宋_GB2312"/>
                <w:bCs/>
                <w:sz w:val="22"/>
                <w:szCs w:val="22"/>
                <w:lang w:val="en-US" w:eastAsia="zh-CN"/>
              </w:rPr>
              <w:t>的</w:t>
            </w:r>
            <w:r>
              <w:rPr>
                <w:rFonts w:hint="eastAsia" w:ascii="仿宋_GB2312" w:hAnsi="仿宋_GB2312" w:eastAsia="仿宋_GB2312" w:cs="仿宋_GB2312"/>
                <w:bCs/>
                <w:sz w:val="22"/>
                <w:szCs w:val="22"/>
                <w:lang w:val="zh-CN"/>
              </w:rPr>
              <w:t>，防止日光暴晒。运输时要按规定路线行驶，禁止在居民区和人口稠密区、</w:t>
            </w:r>
            <w:r>
              <w:rPr>
                <w:rFonts w:hint="eastAsia" w:ascii="仿宋_GB2312" w:hAnsi="仿宋_GB2312" w:eastAsia="仿宋_GB2312" w:cs="仿宋_GB2312"/>
                <w:bCs/>
                <w:sz w:val="22"/>
                <w:szCs w:val="22"/>
                <w:lang w:val="en-US" w:eastAsia="zh-CN"/>
              </w:rPr>
              <w:t>港区、客运码头</w:t>
            </w:r>
            <w:r>
              <w:rPr>
                <w:rFonts w:hint="eastAsia" w:ascii="仿宋_GB2312" w:hAnsi="仿宋_GB2312" w:eastAsia="仿宋_GB2312" w:cs="仿宋_GB2312"/>
                <w:bCs/>
                <w:sz w:val="22"/>
                <w:szCs w:val="22"/>
                <w:lang w:val="zh-CN"/>
              </w:rPr>
              <w:t>停留。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shd w:val="clear" w:color="auto" w:fill="auto"/>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1</w:t>
            </w:r>
            <w:r>
              <w:rPr>
                <w:rFonts w:hint="eastAsia" w:ascii="仿宋_GB2312" w:hAnsi="仿宋_GB2312" w:eastAsia="仿宋_GB2312" w:cs="仿宋_GB2312"/>
                <w:bCs/>
                <w:sz w:val="24"/>
                <w:lang w:val="en-US" w:eastAsia="zh-CN"/>
              </w:rPr>
              <w:t>6</w:t>
            </w:r>
          </w:p>
        </w:tc>
        <w:tc>
          <w:tcPr>
            <w:tcW w:w="1935" w:type="dxa"/>
            <w:shd w:val="clear" w:color="auto" w:fill="auto"/>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制动、转向、照明、信号等装置故障或失效，可能引发事故。</w:t>
            </w:r>
          </w:p>
        </w:tc>
        <w:tc>
          <w:tcPr>
            <w:tcW w:w="1411" w:type="dxa"/>
            <w:shd w:val="clear" w:color="auto" w:fill="auto"/>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shd w:val="clear" w:color="auto" w:fill="auto"/>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350" w:type="dxa"/>
            <w:shd w:val="clear" w:color="auto" w:fill="auto"/>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5</w:t>
            </w:r>
          </w:p>
        </w:tc>
        <w:tc>
          <w:tcPr>
            <w:tcW w:w="717" w:type="dxa"/>
            <w:shd w:val="clear" w:color="auto" w:fill="auto"/>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20</w:t>
            </w:r>
          </w:p>
        </w:tc>
        <w:tc>
          <w:tcPr>
            <w:tcW w:w="824" w:type="dxa"/>
            <w:shd w:val="clear" w:color="auto" w:fill="auto"/>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lang w:val="zh-CN"/>
              </w:rPr>
              <w:t>/橙色</w:t>
            </w:r>
          </w:p>
        </w:tc>
        <w:tc>
          <w:tcPr>
            <w:tcW w:w="8092"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1.坚持对设备进行日常维护和保养。</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2.驾驶员每日坚持“三检”制度。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3.行驶中加强</w:t>
            </w:r>
            <w:r>
              <w:rPr>
                <w:rFonts w:hint="eastAsia" w:ascii="仿宋_GB2312" w:hAnsi="仿宋_GB2312" w:eastAsia="仿宋_GB2312" w:cs="仿宋_GB2312"/>
                <w:bCs/>
                <w:sz w:val="22"/>
                <w:szCs w:val="22"/>
                <w:lang w:val="en-US" w:eastAsia="zh-CN"/>
              </w:rPr>
              <w:t>技术</w:t>
            </w:r>
            <w:r>
              <w:rPr>
                <w:rFonts w:hint="eastAsia" w:ascii="仿宋_GB2312" w:hAnsi="仿宋_GB2312" w:eastAsia="仿宋_GB2312" w:cs="仿宋_GB2312"/>
                <w:bCs/>
                <w:sz w:val="22"/>
                <w:szCs w:val="22"/>
                <w:lang w:val="zh-CN"/>
              </w:rPr>
              <w:t>状况检查，遇突发情况采取适当措施。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4.车辆制动系统、照明、信号系统应符合相关要求。</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5.运输车</w:t>
            </w:r>
            <w:r>
              <w:rPr>
                <w:rFonts w:hint="eastAsia" w:ascii="仿宋_GB2312" w:hAnsi="仿宋_GB2312" w:eastAsia="仿宋_GB2312" w:cs="仿宋_GB2312"/>
                <w:bCs/>
                <w:sz w:val="22"/>
                <w:szCs w:val="22"/>
                <w:lang w:val="en-US" w:eastAsia="zh-CN"/>
              </w:rPr>
              <w:t>船</w:t>
            </w:r>
            <w:r>
              <w:rPr>
                <w:rFonts w:hint="eastAsia" w:ascii="仿宋_GB2312" w:hAnsi="仿宋_GB2312" w:eastAsia="仿宋_GB2312" w:cs="仿宋_GB2312"/>
                <w:bCs/>
                <w:sz w:val="22"/>
                <w:szCs w:val="22"/>
                <w:lang w:val="zh-CN"/>
              </w:rPr>
              <w:t>必须经相关部门审验合格；保持良好的技术状况，制动、转向系统以及灯光、喇叭、刮水器齐全有效。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1</w:t>
            </w:r>
            <w:r>
              <w:rPr>
                <w:rFonts w:hint="eastAsia" w:ascii="仿宋_GB2312" w:hAnsi="仿宋_GB2312" w:eastAsia="仿宋_GB2312" w:cs="仿宋_GB2312"/>
                <w:bCs/>
                <w:sz w:val="24"/>
                <w:lang w:val="en-US" w:eastAsia="zh-CN"/>
              </w:rPr>
              <w:t>7</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发动机等部位故障，中途熄火紧急停车，影响其他车</w:t>
            </w:r>
            <w:r>
              <w:rPr>
                <w:rFonts w:hint="eastAsia" w:ascii="仿宋_GB2312" w:hAnsi="仿宋_GB2312" w:eastAsia="仿宋_GB2312" w:cs="仿宋_GB2312"/>
                <w:bCs/>
                <w:sz w:val="22"/>
                <w:szCs w:val="22"/>
                <w:lang w:val="en-US" w:eastAsia="zh-CN"/>
              </w:rPr>
              <w:t>船</w:t>
            </w:r>
            <w:r>
              <w:rPr>
                <w:rFonts w:hint="eastAsia" w:ascii="仿宋_GB2312" w:hAnsi="仿宋_GB2312" w:eastAsia="仿宋_GB2312" w:cs="仿宋_GB2312"/>
                <w:bCs/>
                <w:sz w:val="22"/>
                <w:szCs w:val="22"/>
                <w:lang w:val="zh-CN"/>
              </w:rPr>
              <w:t>通行，可能发生追尾、</w:t>
            </w:r>
            <w:r>
              <w:rPr>
                <w:rFonts w:hint="eastAsia" w:ascii="仿宋_GB2312" w:hAnsi="仿宋_GB2312" w:eastAsia="仿宋_GB2312" w:cs="仿宋_GB2312"/>
                <w:bCs/>
                <w:sz w:val="22"/>
                <w:szCs w:val="22"/>
                <w:lang w:val="en-US" w:eastAsia="zh-CN"/>
              </w:rPr>
              <w:t>碰撞</w:t>
            </w:r>
            <w:r>
              <w:rPr>
                <w:rFonts w:hint="eastAsia" w:ascii="仿宋_GB2312" w:hAnsi="仿宋_GB2312" w:eastAsia="仿宋_GB2312" w:cs="仿宋_GB2312"/>
                <w:bCs/>
                <w:sz w:val="22"/>
                <w:szCs w:val="22"/>
                <w:lang w:val="zh-CN"/>
              </w:rPr>
              <w:t>等安全事故。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5</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lang w:val="zh-CN"/>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1.因</w:t>
            </w:r>
            <w:r>
              <w:rPr>
                <w:rFonts w:hint="eastAsia" w:ascii="仿宋_GB2312" w:hAnsi="仿宋_GB2312" w:eastAsia="仿宋_GB2312" w:cs="仿宋_GB2312"/>
                <w:bCs/>
                <w:sz w:val="22"/>
                <w:szCs w:val="22"/>
                <w:lang w:val="en-US" w:eastAsia="zh-CN"/>
              </w:rPr>
              <w:t>发电机</w:t>
            </w:r>
            <w:r>
              <w:rPr>
                <w:rFonts w:hint="eastAsia" w:ascii="仿宋_GB2312" w:hAnsi="仿宋_GB2312" w:eastAsia="仿宋_GB2312" w:cs="仿宋_GB2312"/>
                <w:bCs/>
                <w:sz w:val="22"/>
                <w:szCs w:val="22"/>
                <w:lang w:val="zh-CN"/>
              </w:rPr>
              <w:t>故障熄火时，操纵方向，</w:t>
            </w:r>
            <w:r>
              <w:rPr>
                <w:rFonts w:hint="eastAsia" w:ascii="仿宋_GB2312" w:hAnsi="仿宋_GB2312" w:eastAsia="仿宋_GB2312" w:cs="仿宋_GB2312"/>
                <w:bCs/>
                <w:sz w:val="22"/>
                <w:szCs w:val="22"/>
                <w:lang w:val="en-US" w:eastAsia="zh-CN"/>
              </w:rPr>
              <w:t>发出警告</w:t>
            </w:r>
            <w:r>
              <w:rPr>
                <w:rFonts w:hint="eastAsia" w:ascii="仿宋_GB2312" w:hAnsi="仿宋_GB2312" w:eastAsia="仿宋_GB2312" w:cs="仿宋_GB2312"/>
                <w:bCs/>
                <w:sz w:val="22"/>
                <w:szCs w:val="22"/>
                <w:lang w:val="zh-CN"/>
              </w:rPr>
              <w:t>，检查排除故障，并及时上报。</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2.机动车在道路上发生故障或者发生交通事故，妨碍交通又难以移动的，应当按照规定开启危险报警闪光灯并在车后50米至100米处设置警告标志，夜间还应当同时开启示廓灯和后位灯。</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3.制定相应的应急处置方案。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18</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车</w:t>
            </w:r>
            <w:r>
              <w:rPr>
                <w:rFonts w:hint="eastAsia" w:ascii="仿宋_GB2312" w:hAnsi="仿宋_GB2312" w:eastAsia="仿宋_GB2312" w:cs="仿宋_GB2312"/>
                <w:bCs/>
                <w:sz w:val="22"/>
                <w:szCs w:val="22"/>
                <w:lang w:val="en-US" w:eastAsia="zh-CN"/>
              </w:rPr>
              <w:t>船</w:t>
            </w:r>
            <w:r>
              <w:rPr>
                <w:rFonts w:hint="eastAsia" w:ascii="仿宋_GB2312" w:hAnsi="仿宋_GB2312" w:eastAsia="仿宋_GB2312" w:cs="仿宋_GB2312"/>
                <w:bCs/>
                <w:sz w:val="22"/>
                <w:szCs w:val="22"/>
                <w:lang w:val="zh-CN"/>
              </w:rPr>
              <w:t>电路老化、短路、引起的火灾。</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火灾</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其他爆炸</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lang w:val="zh-CN"/>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1.加强</w:t>
            </w:r>
            <w:r>
              <w:rPr>
                <w:rFonts w:hint="eastAsia" w:ascii="仿宋_GB2312" w:hAnsi="仿宋_GB2312" w:eastAsia="仿宋_GB2312" w:cs="仿宋_GB2312"/>
                <w:bCs/>
                <w:sz w:val="22"/>
                <w:szCs w:val="22"/>
                <w:lang w:val="en-US" w:eastAsia="zh-CN"/>
              </w:rPr>
              <w:t>从业人员</w:t>
            </w:r>
            <w:r>
              <w:rPr>
                <w:rFonts w:hint="eastAsia" w:ascii="仿宋_GB2312" w:hAnsi="仿宋_GB2312" w:eastAsia="仿宋_GB2312" w:cs="仿宋_GB2312"/>
                <w:bCs/>
                <w:sz w:val="22"/>
                <w:szCs w:val="22"/>
                <w:lang w:val="zh-CN"/>
              </w:rPr>
              <w:t>的安全教育，使</w:t>
            </w:r>
            <w:r>
              <w:rPr>
                <w:rFonts w:hint="eastAsia" w:ascii="仿宋_GB2312" w:hAnsi="仿宋_GB2312" w:eastAsia="仿宋_GB2312" w:cs="仿宋_GB2312"/>
                <w:bCs/>
                <w:sz w:val="22"/>
                <w:szCs w:val="22"/>
                <w:lang w:val="en-US" w:eastAsia="zh-CN"/>
              </w:rPr>
              <w:t>从业人员</w:t>
            </w:r>
            <w:r>
              <w:rPr>
                <w:rFonts w:hint="eastAsia" w:ascii="仿宋_GB2312" w:hAnsi="仿宋_GB2312" w:eastAsia="仿宋_GB2312" w:cs="仿宋_GB2312"/>
                <w:bCs/>
                <w:sz w:val="22"/>
                <w:szCs w:val="22"/>
                <w:lang w:val="zh-CN"/>
              </w:rPr>
              <w:t>具有判断和处理初期火灾的能力。</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2.严格执行日常维护“三检”制度。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3.保持发电机技术性能良好。蓄电池应保持常态电压。所有电气导线应捆扎成束、布置整齐、固定卡紧、接头牢固，并有绝缘套，在导线穿越孔洞时需设绝缘套管。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19</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主动安全装置失效，可能引发安全事故。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3</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15</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C级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FF00"/>
                <w:sz w:val="24"/>
                <w:lang w:val="zh-CN"/>
              </w:rPr>
              <w:t>/黄色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1.企业应当按照国家有关规定建立车辆安全技术状况检测和年度审验、检验制度。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2.企业应当建立维护制度，企业技术管理机构应制定维护计划，保证按照国家有关规定、技术规范以及企业的相关规定进行维护。</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3.日常维护在每日出车前、行车中、收车后执行。</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w:t>
            </w:r>
            <w:r>
              <w:rPr>
                <w:rFonts w:hint="eastAsia" w:ascii="仿宋_GB2312" w:hAnsi="仿宋_GB2312" w:eastAsia="仿宋_GB2312" w:cs="仿宋_GB2312"/>
                <w:bCs/>
                <w:sz w:val="22"/>
                <w:szCs w:val="22"/>
                <w:lang w:val="en-US" w:eastAsia="zh-CN"/>
              </w:rPr>
              <w:t>全员</w:t>
            </w:r>
            <w:r>
              <w:rPr>
                <w:rFonts w:hint="eastAsia" w:ascii="仿宋_GB2312" w:hAnsi="仿宋_GB2312" w:eastAsia="仿宋_GB2312" w:cs="仿宋_GB2312"/>
                <w:bCs/>
                <w:sz w:val="22"/>
                <w:szCs w:val="22"/>
                <w:lang w:val="zh-CN"/>
              </w:rPr>
              <w:t>严格执行日常维护“三检”制度。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2</w:t>
            </w:r>
            <w:r>
              <w:rPr>
                <w:rFonts w:hint="eastAsia" w:ascii="仿宋_GB2312" w:hAnsi="仿宋_GB2312" w:eastAsia="仿宋_GB2312" w:cs="仿宋_GB2312"/>
                <w:bCs/>
                <w:sz w:val="24"/>
                <w:lang w:val="en-US" w:eastAsia="zh-CN"/>
              </w:rPr>
              <w:t>0</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被动安全装置等设施损坏或失效时，一旦发生事故，可能加重事故后果。</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3</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12</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C级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FF00"/>
                <w:sz w:val="24"/>
                <w:lang w:val="zh-CN"/>
              </w:rPr>
              <w:t>/黄色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1.驾驶员应严格执行“三检”制度，确保安全设施完好，认真填写检查记录。</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2.企业应当定期检查灭火器等设施是否齐全有效。</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2</w:t>
            </w:r>
            <w:r>
              <w:rPr>
                <w:rFonts w:hint="eastAsia" w:ascii="仿宋_GB2312" w:hAnsi="仿宋_GB2312" w:eastAsia="仿宋_GB2312" w:cs="仿宋_GB2312"/>
                <w:bCs/>
                <w:sz w:val="24"/>
                <w:lang w:val="en-US" w:eastAsia="zh-CN"/>
              </w:rPr>
              <w:t>1</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人为损坏或关闭设备，使车</w:t>
            </w:r>
            <w:r>
              <w:rPr>
                <w:rFonts w:hint="eastAsia" w:ascii="仿宋_GB2312" w:hAnsi="仿宋_GB2312" w:eastAsia="仿宋_GB2312" w:cs="仿宋_GB2312"/>
                <w:bCs/>
                <w:sz w:val="22"/>
                <w:szCs w:val="22"/>
                <w:lang w:val="en-US" w:eastAsia="zh-CN"/>
              </w:rPr>
              <w:t>船</w:t>
            </w:r>
            <w:r>
              <w:rPr>
                <w:rFonts w:hint="eastAsia" w:ascii="仿宋_GB2312" w:hAnsi="仿宋_GB2312" w:eastAsia="仿宋_GB2312" w:cs="仿宋_GB2312"/>
                <w:bCs/>
                <w:sz w:val="22"/>
                <w:szCs w:val="22"/>
                <w:lang w:val="zh-CN"/>
              </w:rPr>
              <w:t>处于失控状态。</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3</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3</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9</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C级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FF00"/>
                <w:sz w:val="24"/>
                <w:lang w:val="zh-CN"/>
              </w:rPr>
              <w:t>/黄色</w:t>
            </w:r>
          </w:p>
        </w:tc>
        <w:tc>
          <w:tcPr>
            <w:tcW w:w="8092" w:type="dxa"/>
            <w:vMerge w:val="restart"/>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1.任何单位和个人不得破坏卫星定位装置以及恶意人为干扰、屏蔽卫星定位装置信号，不得篡改卫星定位装置数据。</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2.运输企业应当建立健全动态监控管理相关制度，规范动态监控工作：</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3.运输经营者应当确保卫星定位装置正常使用，保持车辆运行实时在线。卫星定位装置出现故障不能保持在线的道路运输车辆，道路运输经营者不得安排其从事道路运输经营活动。</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4.危险货物运输企业和拥有50辆及以上重型载货汽车或牵引车的道路货物运输企业应当配备专职监控人员。专职监控人员配置原则上按照监控平台每接入100辆车设1人的标准配备，最低不少于2人。</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5.监控人员按照相关规定认真填写交接班记录、监控记录；发现车辆出现违规、违章问题时，及时汇报处理。</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6.及时对卫星定位装置进行维护和保养，使设备处于良好状态，并及时填写维护保养记录。</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7.加强监控人员的安全教育培训和考核。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2</w:t>
            </w:r>
            <w:r>
              <w:rPr>
                <w:rFonts w:hint="eastAsia" w:ascii="仿宋_GB2312" w:hAnsi="仿宋_GB2312" w:eastAsia="仿宋_GB2312" w:cs="仿宋_GB2312"/>
                <w:bCs/>
                <w:sz w:val="24"/>
                <w:lang w:val="en-US" w:eastAsia="zh-CN"/>
              </w:rPr>
              <w:t>2</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监控人员不负责任或人员配备不足，使车辆处于失控状态。</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3</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3</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9</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C级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FF00"/>
                <w:sz w:val="24"/>
                <w:lang w:val="zh-CN"/>
              </w:rPr>
              <w:t>/黄色</w:t>
            </w:r>
          </w:p>
        </w:tc>
        <w:tc>
          <w:tcPr>
            <w:tcW w:w="8092" w:type="dxa"/>
            <w:vMerge w:val="continue"/>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2</w:t>
            </w:r>
            <w:r>
              <w:rPr>
                <w:rFonts w:hint="eastAsia" w:ascii="仿宋_GB2312" w:hAnsi="仿宋_GB2312" w:eastAsia="仿宋_GB2312" w:cs="仿宋_GB2312"/>
                <w:bCs/>
                <w:sz w:val="24"/>
                <w:lang w:val="en-US" w:eastAsia="zh-CN"/>
              </w:rPr>
              <w:t>3</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设备损坏，未及时维修，使车辆处于失控状态。</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3</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3</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9</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C级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FF00"/>
                <w:sz w:val="24"/>
                <w:lang w:val="zh-CN"/>
              </w:rPr>
              <w:t>/黄色</w:t>
            </w:r>
          </w:p>
        </w:tc>
        <w:tc>
          <w:tcPr>
            <w:tcW w:w="8092" w:type="dxa"/>
            <w:vMerge w:val="continue"/>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2</w:t>
            </w:r>
            <w:r>
              <w:rPr>
                <w:rFonts w:hint="eastAsia" w:ascii="仿宋_GB2312" w:hAnsi="仿宋_GB2312" w:eastAsia="仿宋_GB2312" w:cs="仿宋_GB2312"/>
                <w:bCs/>
                <w:sz w:val="24"/>
                <w:lang w:val="en-US" w:eastAsia="zh-CN"/>
              </w:rPr>
              <w:t>4</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危险货物可能发生货物散落、混入生活垃圾、流散到人们生活环境中的事件，从而造成大气、水源、土地以及动/植物的污染、引发疾病传播，危害人的身心健康。</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其它伤害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5</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10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C级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FF00"/>
                <w:sz w:val="24"/>
                <w:lang w:val="zh-CN"/>
              </w:rPr>
              <w:t>/黄色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运输医疗废物，应使用有明显医疗废物标识的专用车辆；医疗废物专用车辆应达到防渗漏、防遗洒以及其他环境保护和卫生要求，车厢内温度应控制在所运医疗废物要求的温度范围之内，且按照有关部门规定的时间和路线，从产生地点运送至指定地点。</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2.运输企业应根据相应的法律法规、标准规范、部门规章等文件要求，结合企业所运输物资，制定安全管理制度、安全操作规程、应急预案和安全控制措施。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shd w:val="clear" w:color="auto" w:fill="auto"/>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2</w:t>
            </w:r>
            <w:r>
              <w:rPr>
                <w:rFonts w:hint="eastAsia" w:ascii="仿宋_GB2312" w:hAnsi="仿宋_GB2312" w:eastAsia="仿宋_GB2312" w:cs="仿宋_GB2312"/>
                <w:bCs/>
                <w:sz w:val="24"/>
                <w:lang w:val="en-US" w:eastAsia="zh-CN"/>
              </w:rPr>
              <w:t>5</w:t>
            </w:r>
          </w:p>
        </w:tc>
        <w:tc>
          <w:tcPr>
            <w:tcW w:w="1935" w:type="dxa"/>
            <w:shd w:val="clear" w:color="auto" w:fill="auto"/>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从业人员</w:t>
            </w:r>
            <w:r>
              <w:rPr>
                <w:rFonts w:hint="eastAsia" w:ascii="仿宋_GB2312" w:hAnsi="仿宋_GB2312" w:eastAsia="仿宋_GB2312" w:cs="仿宋_GB2312"/>
                <w:bCs/>
                <w:sz w:val="22"/>
                <w:szCs w:val="22"/>
                <w:lang w:val="zh-CN"/>
              </w:rPr>
              <w:t>因疲劳、药物不良反应、疾病、饮酒等生理异常造成的观察和判断能力减弱，对车</w:t>
            </w:r>
            <w:r>
              <w:rPr>
                <w:rFonts w:hint="eastAsia" w:ascii="仿宋_GB2312" w:hAnsi="仿宋_GB2312" w:eastAsia="仿宋_GB2312" w:cs="仿宋_GB2312"/>
                <w:bCs/>
                <w:sz w:val="22"/>
                <w:szCs w:val="22"/>
                <w:lang w:val="en-US" w:eastAsia="zh-CN"/>
              </w:rPr>
              <w:t>船</w:t>
            </w:r>
            <w:r>
              <w:rPr>
                <w:rFonts w:hint="eastAsia" w:ascii="仿宋_GB2312" w:hAnsi="仿宋_GB2312" w:eastAsia="仿宋_GB2312" w:cs="仿宋_GB2312"/>
                <w:bCs/>
                <w:sz w:val="22"/>
                <w:szCs w:val="22"/>
                <w:lang w:val="zh-CN"/>
              </w:rPr>
              <w:t>失去控制能力导致的交通事故。</w:t>
            </w:r>
          </w:p>
        </w:tc>
        <w:tc>
          <w:tcPr>
            <w:tcW w:w="1411" w:type="dxa"/>
            <w:shd w:val="clear" w:color="auto" w:fill="auto"/>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rPr>
              <w:t>其他伤害</w:t>
            </w:r>
          </w:p>
        </w:tc>
        <w:tc>
          <w:tcPr>
            <w:tcW w:w="433" w:type="dxa"/>
            <w:shd w:val="clear" w:color="auto" w:fill="auto"/>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rPr>
              <w:t>4</w:t>
            </w:r>
          </w:p>
        </w:tc>
        <w:tc>
          <w:tcPr>
            <w:tcW w:w="350" w:type="dxa"/>
            <w:shd w:val="clear" w:color="auto" w:fill="auto"/>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rPr>
              <w:t>5</w:t>
            </w:r>
          </w:p>
        </w:tc>
        <w:tc>
          <w:tcPr>
            <w:tcW w:w="717" w:type="dxa"/>
            <w:shd w:val="clear" w:color="auto" w:fill="auto"/>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rPr>
              <w:t>20</w:t>
            </w:r>
          </w:p>
        </w:tc>
        <w:tc>
          <w:tcPr>
            <w:tcW w:w="824" w:type="dxa"/>
            <w:shd w:val="clear" w:color="auto" w:fill="auto"/>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rPr>
              <w:t>/橙色</w:t>
            </w:r>
          </w:p>
        </w:tc>
        <w:tc>
          <w:tcPr>
            <w:tcW w:w="8092" w:type="dxa"/>
            <w:shd w:val="clear" w:color="auto" w:fill="FFFFFF"/>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1.企业应当建立防止驾驶人疲劳驾驶制度。关心驾驶人的身心健康，定期组织驾驶人进行体检，为驾驶人创造良好的工作环境，合理安排运输任务，防止驾驶人疲劳驾驶。</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2.企业应当加强对从业人员的安全、职业道德教育和业务知识、操作规程培训。驾驶人员应当遵守道路运输法规和道路运输驾驶员操作规程，安全驾驶，文明服务。</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3.运输企业要积极创造条件，严格落实长途运输驾驶人停车换人、落地休息制度，确保驾驶人员以良好的精神状态驾驶车辆。</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4.企业应当根据法律法规的相关规定以及车辆行驶道路的实际情况，按照规定设置监控超速行驶和疲劳驾驶的限值，以及核定运营线路、区域及夜间行驶时间等，在所属车辆运行期间对车辆和驾驶员进行实时监控和管理。设置超速行驶和疲劳驾驶的限值应当符合相应的法律法规的要求。</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5.企业应当建立驾驶人安全告诫制度。安全管理人员对驾驶人出车前进行问询、告知，督促驾驶人做好对车辆的日常维护和检查，防止驾驶人酒后、带病或者带不良情绪上岗。</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rPr>
              <w:t>6.饮酒、服用国家管制的精神药品或者麻醉药品，或者患有妨碍安全驾驶机动车的疾病，或者过度疲劳影响安全驾驶的，不得驾驶机动车。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2</w:t>
            </w:r>
            <w:r>
              <w:rPr>
                <w:rFonts w:hint="eastAsia" w:ascii="仿宋_GB2312" w:hAnsi="仿宋_GB2312" w:eastAsia="仿宋_GB2312" w:cs="仿宋_GB2312"/>
                <w:bCs/>
                <w:sz w:val="24"/>
                <w:lang w:val="en-US" w:eastAsia="zh-CN"/>
              </w:rPr>
              <w:t>6</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驾驶员因过于自信、麻痹大意、心存侥幸、逞强、急躁、逆反等异常心理，导致不能正确认识和判断客观事物，容易导致交通事故的发生。</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rPr>
              <w:t>4</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1.应当加强对从业人员的安全教育、职业道德教育，确保道路运输安全。道路运输从业人员应当遵守道路运输操作规程，不得违章作业。</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2.应当建立驾驶人从业行为定期考核制度。驾驶人从业行为定期考核的内容主要包括：驾驶人违法驾驶情况、交通事故情况、安全运营情况、安全操作规程执行情况、参加教育与培训情况以及驾驶人心理和生理健康状况等。考核的周期不大于3个月。驾驶人从业行为定期考核的结果应与</w:t>
            </w:r>
            <w:r>
              <w:rPr>
                <w:rFonts w:hint="eastAsia" w:ascii="仿宋_GB2312" w:hAnsi="仿宋_GB2312" w:eastAsia="仿宋_GB2312" w:cs="仿宋_GB2312"/>
                <w:bCs/>
                <w:sz w:val="22"/>
                <w:szCs w:val="22"/>
              </w:rPr>
              <w:fldChar w:fldCharType="begin"/>
            </w:r>
            <w:r>
              <w:rPr>
                <w:rFonts w:hint="eastAsia" w:ascii="仿宋_GB2312" w:hAnsi="仿宋_GB2312" w:eastAsia="仿宋_GB2312" w:cs="仿宋_GB2312"/>
                <w:bCs/>
                <w:sz w:val="22"/>
                <w:szCs w:val="22"/>
              </w:rPr>
              <w:instrText xml:space="preserve"> HYPERLINK "http://www.china.com.cn/policy/txt/2012-02/28/content_24748179_3.htm" </w:instrText>
            </w:r>
            <w:r>
              <w:rPr>
                <w:rFonts w:hint="eastAsia" w:ascii="仿宋_GB2312" w:hAnsi="仿宋_GB2312" w:eastAsia="仿宋_GB2312" w:cs="仿宋_GB2312"/>
                <w:bCs/>
                <w:sz w:val="22"/>
                <w:szCs w:val="22"/>
              </w:rPr>
              <w:fldChar w:fldCharType="separate"/>
            </w:r>
            <w:r>
              <w:rPr>
                <w:rFonts w:hint="eastAsia" w:ascii="仿宋_GB2312" w:hAnsi="仿宋_GB2312" w:eastAsia="仿宋_GB2312" w:cs="仿宋_GB2312"/>
                <w:bCs/>
                <w:sz w:val="22"/>
                <w:szCs w:val="22"/>
              </w:rPr>
              <w:t>企业安全生产</w:t>
            </w:r>
            <w:r>
              <w:rPr>
                <w:rFonts w:hint="eastAsia" w:ascii="仿宋_GB2312" w:hAnsi="仿宋_GB2312" w:eastAsia="仿宋_GB2312" w:cs="仿宋_GB2312"/>
                <w:bCs/>
                <w:sz w:val="22"/>
                <w:szCs w:val="22"/>
              </w:rPr>
              <w:fldChar w:fldCharType="end"/>
            </w:r>
            <w:r>
              <w:rPr>
                <w:rFonts w:hint="eastAsia" w:ascii="仿宋_GB2312" w:hAnsi="仿宋_GB2312" w:eastAsia="仿宋_GB2312" w:cs="仿宋_GB2312"/>
                <w:bCs/>
                <w:sz w:val="22"/>
                <w:szCs w:val="22"/>
              </w:rPr>
              <w:t>奖惩制度挂钩。</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3.企业应当根据关键岗位的特点，分类制定安全生产操作规程，并监督员工严格执行，推行安全生产标准化作业。</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4.企业应当建立驾驶人安全告诫制度。安全管理人员对驾驶人出车前进行问询、告知，督促驾驶人做好对车辆的日常维护和检查，防止驾驶人酒后、带病或者带不良情绪上岗。</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5.道路运输从业人员应当按照规定参加国家相关法规、职业道德及业务知识培训。</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rPr>
              <w:t>6.加强对从业人员的培训教育，使从业人员了解所装运危险货物的理化性质、危害特性、包装物或者容器的使用要求和发生意外事故时的处置措施。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742" w:type="dxa"/>
            <w:vAlign w:val="center"/>
          </w:tcPr>
          <w:p>
            <w:pPr>
              <w:topLinePunct/>
              <w:snapToGrid w:val="0"/>
              <w:spacing w:line="400" w:lineRule="exact"/>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27</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行车道减少，</w:t>
            </w:r>
            <w:r>
              <w:rPr>
                <w:rFonts w:hint="eastAsia" w:ascii="仿宋_GB2312" w:hAnsi="仿宋_GB2312" w:eastAsia="仿宋_GB2312" w:cs="仿宋_GB2312"/>
                <w:bCs/>
                <w:sz w:val="22"/>
                <w:szCs w:val="22"/>
                <w:lang w:val="en-US" w:eastAsia="zh-CN"/>
              </w:rPr>
              <w:t>航道变窄，</w:t>
            </w:r>
            <w:r>
              <w:rPr>
                <w:rFonts w:hint="eastAsia" w:ascii="仿宋_GB2312" w:hAnsi="仿宋_GB2312" w:eastAsia="仿宋_GB2312" w:cs="仿宋_GB2312"/>
                <w:bCs/>
                <w:sz w:val="22"/>
                <w:szCs w:val="22"/>
                <w:lang w:val="zh-CN"/>
              </w:rPr>
              <w:t>通行车</w:t>
            </w:r>
            <w:r>
              <w:rPr>
                <w:rFonts w:hint="eastAsia" w:ascii="仿宋_GB2312" w:hAnsi="仿宋_GB2312" w:eastAsia="仿宋_GB2312" w:cs="仿宋_GB2312"/>
                <w:bCs/>
                <w:sz w:val="22"/>
                <w:szCs w:val="22"/>
                <w:lang w:val="en-US" w:eastAsia="zh-CN"/>
              </w:rPr>
              <w:t>船流量</w:t>
            </w:r>
            <w:r>
              <w:rPr>
                <w:rFonts w:hint="eastAsia" w:ascii="仿宋_GB2312" w:hAnsi="仿宋_GB2312" w:eastAsia="仿宋_GB2312" w:cs="仿宋_GB2312"/>
                <w:bCs/>
                <w:sz w:val="22"/>
                <w:szCs w:val="22"/>
                <w:lang w:val="zh-CN"/>
              </w:rPr>
              <w:t>增多，通行速度突然减慢，处理不当可能发生事故。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5</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lang w:val="zh-CN"/>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1.通过施工作业路段时，应当注意警示标志，减速行驶，必要时停车等待。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2.遵从指挥人员指挥，在施工路段不得故意停车。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28</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阳光反射率高，路面摩擦系数低等情况，处置不当可能发生事故。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eastAsia="zh-CN"/>
              </w:rPr>
            </w:pPr>
            <w:r>
              <w:rPr>
                <w:rFonts w:hint="eastAsia" w:ascii="仿宋_GB2312" w:hAnsi="仿宋_GB2312" w:eastAsia="仿宋_GB2312" w:cs="仿宋_GB2312"/>
                <w:bCs/>
                <w:sz w:val="24"/>
                <w:lang w:val="en-US" w:eastAsia="zh-CN"/>
              </w:rPr>
              <w:t>3</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eastAsia="zh-CN"/>
              </w:rPr>
            </w:pPr>
            <w:r>
              <w:rPr>
                <w:rFonts w:hint="eastAsia" w:ascii="仿宋_GB2312" w:hAnsi="仿宋_GB2312" w:eastAsia="仿宋_GB2312" w:cs="仿宋_GB2312"/>
                <w:bCs/>
                <w:sz w:val="24"/>
                <w:lang w:val="en-US" w:eastAsia="zh-CN"/>
              </w:rPr>
              <w:t>6</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18</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lang w:val="zh-CN"/>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1.在雪地长时间行车时，需佩戴有色眼镜，以防造成眩目而影响安全行车。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2.严格控制车速，适当地增加行车的横向间距或采用预见性制动的方法。</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3.配备必要的防滑链条和工具；轮胎磨损严重的应提前更换。</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4.转弯时不能急转方向，避免紧急制动。减速慢行，礼让行车。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5.出车前应检查气压制动系统排污装置，并进行排污，防止在行车中因制动系统中的水结冰，造成刹车失灵。</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6.如遇雨天、雪天、雾天等恶劣天气，控制车速在20km/h以内，并打开示警灯，警示后车，防止追尾。</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7.制定相应的安全操作规程和应急处置措施。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8.加强驾驶人员的安全培训教育和考核。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29</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未查清水的深浅即涉水行驶，易使车辆熄火，导致人员受困；车辆打滑或陷入水中；水中有尖锐物刺破轮胎，导致人员困于水中。</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淹溺</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6</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3</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18</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lang w:val="zh-CN"/>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1.机动车行经漫水路或者漫水桥时，应当停车察明水情，确认安全后，低速通过。水情不明的情况下禁止通过。</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2.企业应对路段进行风险分析，制定相应的安全操作规程和应急处置措施。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3.加强驾驶人员的安全培训教育和考核。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742" w:type="dxa"/>
            <w:vAlign w:val="center"/>
          </w:tcPr>
          <w:p>
            <w:pPr>
              <w:topLinePunct/>
              <w:snapToGrid w:val="0"/>
              <w:spacing w:line="400" w:lineRule="exact"/>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30</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驾驶疏忽或车</w:t>
            </w:r>
            <w:r>
              <w:rPr>
                <w:rFonts w:hint="eastAsia" w:ascii="仿宋_GB2312" w:hAnsi="仿宋_GB2312" w:eastAsia="仿宋_GB2312" w:cs="仿宋_GB2312"/>
                <w:bCs/>
                <w:sz w:val="22"/>
                <w:szCs w:val="22"/>
                <w:lang w:val="en-US" w:eastAsia="zh-CN"/>
              </w:rPr>
              <w:t>船</w:t>
            </w:r>
            <w:r>
              <w:rPr>
                <w:rFonts w:hint="eastAsia" w:ascii="仿宋_GB2312" w:hAnsi="仿宋_GB2312" w:eastAsia="仿宋_GB2312" w:cs="仿宋_GB2312"/>
                <w:bCs/>
                <w:sz w:val="22"/>
                <w:szCs w:val="22"/>
                <w:lang w:val="zh-CN"/>
              </w:rPr>
              <w:t>发生故障时处置不当，引发的坠崖、落水事故。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lang w:val="zh-CN"/>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1.行到邻水、邻崖路段时，应减速慢行，高度集中注意力，遇到突发状况时，采取预判措施。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2.在邻水、邻崖路段，禁止超车。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3.企业应对路段进行风险分析，制定相应的安全操作规程和应急处置措施。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4.加强驾驶人员的安全培训教育和考核。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3</w:t>
            </w:r>
            <w:r>
              <w:rPr>
                <w:rFonts w:hint="eastAsia" w:ascii="仿宋_GB2312" w:hAnsi="仿宋_GB2312" w:eastAsia="仿宋_GB2312" w:cs="仿宋_GB2312"/>
                <w:bCs/>
                <w:sz w:val="24"/>
                <w:lang w:val="en-US" w:eastAsia="zh-CN"/>
              </w:rPr>
              <w:t>1</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隧道存在照明较差；较窄、限制高度；出入口明暗变化；出口瞬时横风等特殊情况，操作不当可能发生事故。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lang w:val="zh-CN"/>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1.隧道内不得超车、掉头、倒车。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2.按照规定速度行驶，与前车预留足够的安全距离。</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3.注意观察隧道标识，按规定线路行驶。</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4.进入隧道前和出隧道时，减速慢行注意灯光使用方法。</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5.交叉路口、铁路道口、急弯路、宽度不足4米的窄路、桥梁、陡坡、隧道以及距离上述地点50米以内的路段，不得停车。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6.驶出隧道前，通过车速表确认车速，到达出口时，握稳转向盘，以防隧道口处的横向风引起车辆偏离行驶路线。</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7.企业应对路段进行风险分析，制定相应的安全操作规程和应急处置措施。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8.加强驾驶人员的安全培训教育和考核。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3</w:t>
            </w:r>
            <w:r>
              <w:rPr>
                <w:rFonts w:hint="eastAsia" w:ascii="仿宋_GB2312" w:hAnsi="仿宋_GB2312" w:eastAsia="仿宋_GB2312" w:cs="仿宋_GB2312"/>
                <w:bCs/>
                <w:sz w:val="24"/>
                <w:lang w:val="en-US" w:eastAsia="zh-CN"/>
              </w:rPr>
              <w:t>2</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eastAsia="zh-CN"/>
              </w:rPr>
            </w:pPr>
            <w:r>
              <w:rPr>
                <w:rFonts w:hint="eastAsia" w:ascii="仿宋_GB2312" w:hAnsi="仿宋_GB2312" w:eastAsia="仿宋_GB2312" w:cs="仿宋_GB2312"/>
                <w:bCs/>
                <w:sz w:val="22"/>
                <w:szCs w:val="22"/>
                <w:lang w:val="zh-CN"/>
              </w:rPr>
              <w:t>做出影响驾驶人员正常驾驶的行为，可能导致事故发生。未及时纠正驾驶人员违规操作的行为，可能导致事故发生。发生突发状况，应急处置不当，可能导致事故后果扩大。</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rPr>
              <w:t>4</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color w:val="FFC000"/>
                <w:sz w:val="24"/>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1.经过相应的培训，并考试合格取得相应的证件。掌握危险化学品运输的安全应急知识。</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2.必须掌握所押运危险品性质、危害特性以及包装容器的使用特性。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3.必须配备应急处理器材和防护用品，熟练掌握使用方法。</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4.严格监管危险化学品的运输过程，坚决制止驾驶员将车辆驶入危险化学品车辆禁止通行的区域。</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5.配合督促驾驶员做好危险化学品运输及行车安全工作，监督驾驶人员的不当行为。</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6.在危险化学品运输押运过程中，如发生交通事故或发生被盗、丢失、泄露等情况时，应及时向单位有关领导报告，同时向当地负责危险化学品安全监管部门和公安、环保、质检部门报告，并采取一切可能的警示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eastAsia="zh-CN"/>
              </w:rPr>
            </w:pPr>
            <w:r>
              <w:rPr>
                <w:rFonts w:hint="eastAsia" w:ascii="仿宋_GB2312" w:hAnsi="仿宋_GB2312" w:eastAsia="仿宋_GB2312" w:cs="仿宋_GB2312"/>
                <w:bCs/>
                <w:sz w:val="22"/>
                <w:szCs w:val="22"/>
              </w:rPr>
              <w:t>7.运输剧毒化学品或者易制爆危险化学品需要较长时间停车时，驾驶员或者押运员应当向当地公安机关报告。运输</w:t>
            </w:r>
            <w:r>
              <w:rPr>
                <w:rFonts w:hint="eastAsia" w:ascii="仿宋_GB2312" w:hAnsi="仿宋_GB2312" w:eastAsia="仿宋_GB2312" w:cs="仿宋_GB2312"/>
                <w:bCs/>
                <w:sz w:val="22"/>
                <w:szCs w:val="22"/>
                <w:lang w:eastAsia="zh-CN"/>
              </w:rPr>
              <w:t>其他危险</w:t>
            </w:r>
            <w:r>
              <w:rPr>
                <w:rFonts w:hint="eastAsia" w:ascii="仿宋_GB2312" w:hAnsi="仿宋_GB2312" w:eastAsia="仿宋_GB2312" w:cs="仿宋_GB2312"/>
                <w:bCs/>
                <w:sz w:val="22"/>
                <w:szCs w:val="22"/>
              </w:rPr>
              <w:t>化学品时，长时间停车，应采取相应的安全防范措施。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3</w:t>
            </w:r>
            <w:r>
              <w:rPr>
                <w:rFonts w:hint="eastAsia" w:ascii="仿宋_GB2312" w:hAnsi="仿宋_GB2312" w:eastAsia="仿宋_GB2312" w:cs="仿宋_GB2312"/>
                <w:bCs/>
                <w:sz w:val="24"/>
                <w:lang w:val="en-US" w:eastAsia="zh-CN"/>
              </w:rPr>
              <w:t>3</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雨天存在光线昏暗、能见度低；路面湿滑、泥泞；水网地区路面积水反光等情况，驾驶人员操作不当，可能引发事故。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lang w:val="zh-CN"/>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1.雨天行驶要提高警惕，注意前方情况，靠右侧行驶，严禁盲目超车。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2.要严格控制车速，泥泞道路要避免紧急制动，防止滑溜。</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3.要保持雨刮器正常工作。</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4.涉水后应轻踩制动踏板，检查车辆的制动效应。</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5.适当增加车距，必要情况下打开防雾灯和示廓灯，鸣喇叭，提示车辆和行人。</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6.雨天在山区行车要注意山体滑坡和路基塌陷。</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7.及时清除挡风玻璃上的雨水，保证视线清晰。</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8.卫星定位装置专职监控人员应及时提醒驾驶人员注意特殊天气。必要时寻找安全地带停车休息。</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9.如遇雨天、雪天、雾天等恶劣天气，控制车速在20km/h以内，并打开示警灯，警示后车，防止追尾。</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10.遇雷雨天气时，不得在树下、电线杆、高压线、铁塔、高层建筑及容易遭到雷击和产生火花的地点停车，应选择安全地点停放。</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11.遇有泥泞、冰冻、颠簸、狭窄及山崖等路段时，应低速缓慢行驶，防止车辆侧滑、打滑及危险货物剧烈震荡等情况发生，确保行车安全。</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12.机动车在夜间没有路灯、照明不良或者遇有雾、雨、雪、沙尘、冰雹等低能见度情况下行驶时，应当开启前照灯、示廓灯和后位灯，但同方向行驶的后车与前车近距离行驶时，不得使用远光灯。机动车雾天行驶应当开启雾灯和危险报警闪光灯。</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13.运输危险货物应根据货物性质，采取相应的防水等措施。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14.制定相应的安全操作规程和应急处置措施。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15.加强驾驶人员的安全培训教育和考核。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3</w:t>
            </w:r>
            <w:r>
              <w:rPr>
                <w:rFonts w:hint="eastAsia" w:ascii="仿宋_GB2312" w:hAnsi="仿宋_GB2312" w:eastAsia="仿宋_GB2312" w:cs="仿宋_GB2312"/>
                <w:bCs/>
                <w:sz w:val="24"/>
                <w:lang w:val="en-US" w:eastAsia="zh-CN"/>
              </w:rPr>
              <w:t>4</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雪天存在视线不足；路面被积雪覆盖；能见度低；路面湿滑等情况，操作不当可能发生安全事故。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5</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lang w:val="zh-CN"/>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1.严格控制车速，适当地增加行车的横向间距或采用预见性制动的方法。</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2.配备必要的防滑链条和工具。</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3.转弯时不能急转方向，避免紧急制动。</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4.要减速慢行，礼让行车。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5.出车前应检查气压制动系统排污装置，并进行排污，防止在行车中因制动系统中的水结冰，造成刹车失灵。</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6.及时清除挡风玻璃上的积雪，保证视线清晰。</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7.卫星定位装置专职监控人员应及时提醒驾驶人员注意特殊天气。必要时寻找安全地带停车休息。</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8.如遇雨天、雪天、雾天等恶劣天气，控制车速在20km/h以内，并打开示警灯，警示后车，防止追尾。</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9.机动车在夜间没有路灯、照明不良或者遇有雾、雨、雪、沙尘、冰雹等低能见度情况下行驶时，应当开启前照灯、示廓灯和后位灯，但同方向行驶的后车与前车近距离行驶时，不得使用远光灯。机动车雾天行驶应当开启雾灯和危险报警闪光灯。</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10.制定相应的安全操作规程和应急处置措施。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11.加强驾驶人员的安全培训教育和考核。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3</w:t>
            </w:r>
            <w:r>
              <w:rPr>
                <w:rFonts w:hint="eastAsia" w:ascii="仿宋_GB2312" w:hAnsi="仿宋_GB2312" w:eastAsia="仿宋_GB2312" w:cs="仿宋_GB2312"/>
                <w:bCs/>
                <w:sz w:val="24"/>
                <w:lang w:val="en-US" w:eastAsia="zh-CN"/>
              </w:rPr>
              <w:t>5</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装卸过程监管不到位，可能间接引发事故；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eastAsia="zh-CN"/>
              </w:rPr>
            </w:pPr>
            <w:r>
              <w:rPr>
                <w:rFonts w:hint="eastAsia" w:ascii="仿宋_GB2312" w:hAnsi="仿宋_GB2312" w:eastAsia="仿宋_GB2312" w:cs="仿宋_GB2312"/>
                <w:bCs/>
                <w:sz w:val="22"/>
                <w:szCs w:val="22"/>
                <w:lang w:val="zh-CN"/>
              </w:rPr>
              <w:t>不熟悉装卸物资特性，装卸操作不当引发的事故。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rPr>
              <w:t>4</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sz w:val="24"/>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zh-CN" w:eastAsia="zh-CN" w:bidi="ar-SA"/>
              </w:rPr>
            </w:pPr>
            <w:r>
              <w:rPr>
                <w:rFonts w:hint="eastAsia" w:ascii="仿宋_GB2312" w:hAnsi="仿宋_GB2312" w:eastAsia="仿宋_GB2312" w:cs="仿宋_GB2312"/>
                <w:bCs/>
                <w:color w:val="FFC000"/>
                <w:sz w:val="24"/>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1.装卸作业前，应按照相关规定检查车辆的安全设施、装卸工具、</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2.装卸人员、装卸物品等是否符合要求，不符合要求的应要求相关人员立即整改，不能整改的应停止装卸工作并及时汇报。</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3.危险化学品的装卸作业应当遵守安全作业标准、规程和制度，并在装卸管理人员的现场指挥或者监控下进行。</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rPr>
            </w:pPr>
            <w:r>
              <w:rPr>
                <w:rFonts w:hint="eastAsia" w:ascii="仿宋_GB2312" w:hAnsi="仿宋_GB2312" w:eastAsia="仿宋_GB2312" w:cs="仿宋_GB2312"/>
                <w:bCs/>
                <w:sz w:val="22"/>
                <w:szCs w:val="22"/>
              </w:rPr>
              <w:t>4.装卸管理人员应经过相应的培训，并考试合格取得相应的证件。5.装卸管理人员应具备相应的专业知识，熟练掌握应急处置措施。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eastAsia="zh-CN"/>
              </w:rPr>
            </w:pPr>
            <w:r>
              <w:rPr>
                <w:rFonts w:hint="eastAsia" w:ascii="仿宋_GB2312" w:hAnsi="仿宋_GB2312" w:eastAsia="仿宋_GB2312" w:cs="仿宋_GB2312"/>
                <w:bCs/>
                <w:sz w:val="22"/>
                <w:szCs w:val="22"/>
              </w:rPr>
              <w:t>6.制定危险化学品装卸作业操作规程，按规定为作业员配备与装卸危险化学品物理化学性质相适应的安全防护用品。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trPr>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3</w:t>
            </w:r>
            <w:r>
              <w:rPr>
                <w:rFonts w:hint="eastAsia" w:ascii="仿宋_GB2312" w:hAnsi="仿宋_GB2312" w:eastAsia="仿宋_GB2312" w:cs="仿宋_GB2312"/>
                <w:bCs/>
                <w:sz w:val="24"/>
                <w:lang w:val="en-US" w:eastAsia="zh-CN"/>
              </w:rPr>
              <w:t>6</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电器元件、货物易自燃；轮胎易发生爆胎；制动易失效等情况发生，易引发事故。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火灾</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lang w:val="zh-CN"/>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1.驾驶人员注意休息，保持旺盛精力。必要时使用防暑降温物品进行降温。</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2.出车前应查看驾驶人员的精神状态，合理安排驾驶人员的休息时间。</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3.及时检查轮胎，损害或老化的及时更换；注意胎压监测，发现异常时及时进行检查。</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4.车辆修理保养时应对电气线路进行检查和维护；加大出车前、行车中安全检查力度。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5.驾驶员严格执行日常维护及“三检”制度。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6.运输危险货物应根据货物性质，采取相应的遮阳、控温等措施。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37</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存在能见度低、风力大、路面摩擦系数低等情况，操作不当可能发生安全事故。</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lang w:val="zh-CN"/>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1.风力过大时，应在合理位置停车避让。</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2.大风天行车要控制车速，加强眺望，特别注意道路上突然出现横穿人员。</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3.关闭驾驶室门窗，防止沙尘刮入。</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4.及时清除挡风玻璃上的尘土，保证视线清晰。</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5.卫星定位装置专职监控人员应及时提醒驾驶人员注意特殊天气。</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6.如遇雨天、雪天、雾天等恶劣天气，控制车速在20km/h以内，并打开示警灯，警示后车，防止追尾。</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7.机动车在夜间没有路灯、照明不良或者遇有雾、雨、雪、沙尘等低能见度情况下行驶时，应当开启前照灯、示廓灯和后位灯，但同方向行驶的后车与前车近距离行驶时，不得使用远光灯。</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8.制定相应的安全操作规程和应急处置措施。</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9.加强驾驶人员的安全培训教育和考核。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38</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安全规章制度不健全或缺失，安全主体责任不明确</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3</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12</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C级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w:t>
            </w:r>
            <w:r>
              <w:rPr>
                <w:rFonts w:hint="eastAsia" w:ascii="仿宋_GB2312" w:hAnsi="仿宋_GB2312" w:eastAsia="仿宋_GB2312" w:cs="仿宋_GB2312"/>
                <w:bCs/>
                <w:color w:val="FFFF00"/>
                <w:sz w:val="24"/>
                <w:lang w:val="zh-CN"/>
              </w:rPr>
              <w:t>黄色</w:t>
            </w:r>
          </w:p>
        </w:tc>
        <w:tc>
          <w:tcPr>
            <w:tcW w:w="8092" w:type="dxa"/>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1.企业应根据实际情况按照《安全生产法》《道路交通安全法》《道路运输条例》等法律法规、规范标准完善安全管理规章制度；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2.定期组织人员对规章制度执行情况进行审查，发现未完善及不符合实际的应及时完善。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39</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安全操作规程不健全或缺失导致违章作业或违章指挥</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3</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6</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18</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lang w:val="zh-CN"/>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1.企业应按照相关法律法规、规范标准的要求根据岗位人员及车辆情况制定各岗位人员、各种设备的安全操作规程；</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2.定期组织人员对操作规程执行情况进行审查，发现未完善及不符合实际的应及时完善。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40</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安全教育缺失或不到位导致从业人员安全意识淡薄</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lang w:val="zh-CN"/>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1.企业应制定安全培训制度；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2.制定培训计划、定期开展再培训及考核工作；</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3.如实记录培训工作开展情况，参加人员签字，培训资料派专人负责，保留培训影像资料。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4</w:t>
            </w:r>
            <w:r>
              <w:rPr>
                <w:rFonts w:hint="eastAsia" w:ascii="仿宋_GB2312" w:hAnsi="仿宋_GB2312" w:eastAsia="仿宋_GB2312" w:cs="仿宋_GB2312"/>
                <w:bCs/>
                <w:sz w:val="24"/>
                <w:lang w:val="en-US" w:eastAsia="zh-CN"/>
              </w:rPr>
              <w:t>1</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事故隐患排查缺失或不到位</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5</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lang w:val="zh-CN"/>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1.企业应制定安全生产事故隐患排查制度；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2.制定隐患排查工作计划和隐患治理方案；</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3.定期开展隐患排查、治理工作，如实记录工作开展情况，资料应派专人报送。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4</w:t>
            </w:r>
            <w:r>
              <w:rPr>
                <w:rFonts w:hint="eastAsia" w:ascii="仿宋_GB2312" w:hAnsi="仿宋_GB2312" w:eastAsia="仿宋_GB2312" w:cs="仿宋_GB2312"/>
                <w:bCs/>
                <w:sz w:val="24"/>
                <w:lang w:val="en-US" w:eastAsia="zh-CN"/>
              </w:rPr>
              <w:t>2</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招聘资质审核不规范，证件不符、过期、无效等情况</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6</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12</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C级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FF00"/>
                <w:sz w:val="24"/>
                <w:lang w:val="zh-CN"/>
              </w:rPr>
              <w:t>/黄色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1.制定驾驶员招聘管理制度，审核驾驶员证件，提醒驾驶员证件满期情况，保证企业内所有驾驶员证件都在有效期内。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4</w:t>
            </w:r>
            <w:r>
              <w:rPr>
                <w:rFonts w:hint="eastAsia" w:ascii="仿宋_GB2312" w:hAnsi="仿宋_GB2312" w:eastAsia="仿宋_GB2312" w:cs="仿宋_GB2312"/>
                <w:bCs/>
                <w:sz w:val="24"/>
                <w:lang w:val="en-US" w:eastAsia="zh-CN"/>
              </w:rPr>
              <w:t>3</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超资质范围经营、</w:t>
            </w:r>
            <w:r>
              <w:rPr>
                <w:rFonts w:hint="eastAsia" w:ascii="仿宋_GB2312" w:hAnsi="仿宋_GB2312" w:eastAsia="仿宋_GB2312" w:cs="仿宋_GB2312"/>
                <w:bCs/>
                <w:sz w:val="22"/>
                <w:szCs w:val="22"/>
                <w:lang w:val="en-US" w:eastAsia="zh-CN"/>
              </w:rPr>
              <w:t>设备</w:t>
            </w:r>
            <w:r>
              <w:rPr>
                <w:rFonts w:hint="eastAsia" w:ascii="仿宋_GB2312" w:hAnsi="仿宋_GB2312" w:eastAsia="仿宋_GB2312" w:cs="仿宋_GB2312"/>
                <w:bCs/>
                <w:sz w:val="22"/>
                <w:szCs w:val="22"/>
                <w:lang w:val="zh-CN"/>
              </w:rPr>
              <w:t>安全技术状况不达标</w:t>
            </w:r>
          </w:p>
        </w:tc>
        <w:tc>
          <w:tcPr>
            <w:tcW w:w="1411" w:type="dxa"/>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交通事故</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6</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12</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C级/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FF00"/>
                <w:sz w:val="24"/>
                <w:lang w:val="zh-CN"/>
              </w:rPr>
              <w:t>黄色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1.严格按照资质范围内经营；</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2.不得使用未过车辆技术审查的车辆；</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3.按时检查车辆安全技术情况。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4</w:t>
            </w:r>
            <w:r>
              <w:rPr>
                <w:rFonts w:hint="eastAsia" w:ascii="仿宋_GB2312" w:hAnsi="仿宋_GB2312" w:eastAsia="仿宋_GB2312" w:cs="仿宋_GB2312"/>
                <w:bCs/>
                <w:sz w:val="24"/>
                <w:lang w:val="en-US" w:eastAsia="zh-CN"/>
              </w:rPr>
              <w:t>4</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违规动火作业</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lang w:val="en-US" w:eastAsia="zh-CN"/>
              </w:rPr>
            </w:pPr>
            <w:r>
              <w:rPr>
                <w:rFonts w:hint="eastAsia"/>
                <w:lang w:val="en-US" w:eastAsia="zh-CN"/>
              </w:rPr>
              <w:t>火灾</w:t>
            </w:r>
          </w:p>
          <w:p>
            <w:pPr>
              <w:pStyle w:val="2"/>
              <w:ind w:left="0" w:leftChars="0" w:firstLine="0" w:firstLineChars="0"/>
              <w:rPr>
                <w:rFonts w:hint="default"/>
                <w:lang w:val="en-US" w:eastAsia="zh-CN"/>
              </w:rPr>
            </w:pPr>
            <w:r>
              <w:rPr>
                <w:rFonts w:hint="eastAsia" w:ascii="仿宋_GB2312" w:hAnsi="仿宋_GB2312" w:eastAsia="仿宋_GB2312" w:cs="仿宋_GB2312"/>
                <w:bCs/>
                <w:sz w:val="24"/>
                <w:lang w:val="en-US" w:eastAsia="zh-CN"/>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5</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4</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color w:val="FFC000"/>
                <w:sz w:val="24"/>
                <w:lang w:val="zh-CN"/>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1.制定</w:t>
            </w:r>
            <w:r>
              <w:rPr>
                <w:rFonts w:hint="eastAsia" w:ascii="仿宋_GB2312" w:hAnsi="仿宋_GB2312" w:eastAsia="仿宋_GB2312" w:cs="仿宋_GB2312"/>
                <w:bCs/>
                <w:sz w:val="22"/>
                <w:szCs w:val="22"/>
                <w:lang w:val="en-US" w:eastAsia="zh-CN"/>
              </w:rPr>
              <w:t>动火作业审批</w:t>
            </w:r>
            <w:r>
              <w:rPr>
                <w:rFonts w:hint="eastAsia" w:ascii="仿宋_GB2312" w:hAnsi="仿宋_GB2312" w:eastAsia="仿宋_GB2312" w:cs="仿宋_GB2312"/>
                <w:bCs/>
                <w:sz w:val="22"/>
                <w:szCs w:val="22"/>
                <w:lang w:val="zh-CN"/>
              </w:rPr>
              <w:t>制度；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2.对出现违</w:t>
            </w:r>
            <w:r>
              <w:rPr>
                <w:rFonts w:hint="eastAsia" w:ascii="仿宋_GB2312" w:hAnsi="仿宋_GB2312" w:eastAsia="仿宋_GB2312" w:cs="仿宋_GB2312"/>
                <w:bCs/>
                <w:sz w:val="22"/>
                <w:szCs w:val="22"/>
                <w:lang w:val="en-US" w:eastAsia="zh-CN"/>
              </w:rPr>
              <w:t>规</w:t>
            </w:r>
            <w:r>
              <w:rPr>
                <w:rFonts w:hint="eastAsia" w:ascii="仿宋_GB2312" w:hAnsi="仿宋_GB2312" w:eastAsia="仿宋_GB2312" w:cs="仿宋_GB2312"/>
                <w:bCs/>
                <w:sz w:val="22"/>
                <w:szCs w:val="22"/>
                <w:lang w:val="zh-CN"/>
              </w:rPr>
              <w:t>的进行提醒、处罚；</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w:t>
            </w:r>
            <w:r>
              <w:rPr>
                <w:rFonts w:hint="eastAsia" w:ascii="仿宋_GB2312" w:hAnsi="仿宋_GB2312" w:eastAsia="仿宋_GB2312" w:cs="仿宋_GB2312"/>
                <w:bCs/>
                <w:sz w:val="22"/>
                <w:szCs w:val="22"/>
                <w:lang w:val="en-US" w:eastAsia="zh-CN"/>
              </w:rPr>
              <w:t>安全监护</w:t>
            </w:r>
            <w:r>
              <w:rPr>
                <w:rFonts w:hint="eastAsia" w:ascii="仿宋_GB2312" w:hAnsi="仿宋_GB2312" w:eastAsia="仿宋_GB2312" w:cs="仿宋_GB2312"/>
                <w:bCs/>
                <w:sz w:val="22"/>
                <w:szCs w:val="22"/>
                <w:lang w:val="zh-CN"/>
              </w:rPr>
              <w:t>人员</w:t>
            </w:r>
            <w:r>
              <w:rPr>
                <w:rFonts w:hint="eastAsia" w:ascii="仿宋_GB2312" w:hAnsi="仿宋_GB2312" w:eastAsia="仿宋_GB2312" w:cs="仿宋_GB2312"/>
                <w:bCs/>
                <w:sz w:val="22"/>
                <w:szCs w:val="22"/>
                <w:lang w:val="en-US" w:eastAsia="zh-CN"/>
              </w:rPr>
              <w:t>不得离岗</w:t>
            </w:r>
            <w:r>
              <w:rPr>
                <w:rFonts w:hint="eastAsia" w:ascii="仿宋_GB2312" w:hAnsi="仿宋_GB2312" w:eastAsia="仿宋_GB2312" w:cs="仿宋_GB2312"/>
                <w:bCs/>
                <w:sz w:val="22"/>
                <w:szCs w:val="22"/>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45</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违规进行受限空间作业</w:t>
            </w:r>
          </w:p>
        </w:tc>
        <w:tc>
          <w:tcPr>
            <w:tcW w:w="1411" w:type="dxa"/>
            <w:vAlign w:val="center"/>
          </w:tcPr>
          <w:p>
            <w:pPr>
              <w:pStyle w:val="2"/>
              <w:ind w:left="0" w:leftChars="0" w:firstLine="0" w:firstLineChars="0"/>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中毒窒息</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5</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4</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lang w:val="zh-CN"/>
              </w:rPr>
              <w:t>B级</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color w:val="FFC000"/>
                <w:sz w:val="24"/>
                <w:lang w:val="en-US" w:eastAsia="zh-CN"/>
              </w:rPr>
            </w:pPr>
            <w:r>
              <w:rPr>
                <w:rFonts w:hint="eastAsia" w:ascii="仿宋_GB2312" w:hAnsi="仿宋_GB2312" w:eastAsia="仿宋_GB2312" w:cs="仿宋_GB2312"/>
                <w:bCs/>
                <w:color w:val="FFC000"/>
                <w:sz w:val="24"/>
                <w:lang w:val="zh-CN"/>
              </w:rPr>
              <w:t>/橙色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1制定受限空间作业审批制度；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2监护人员不得离岗</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lang w:val="en-US" w:eastAsia="zh-CN"/>
              </w:rPr>
            </w:pPr>
            <w:r>
              <w:rPr>
                <w:rFonts w:hint="eastAsia" w:ascii="仿宋_GB2312" w:hAnsi="仿宋_GB2312" w:eastAsia="仿宋_GB2312" w:cs="仿宋_GB2312"/>
                <w:bCs/>
                <w:sz w:val="22"/>
                <w:szCs w:val="22"/>
                <w:lang w:val="en-US" w:eastAsia="zh-CN"/>
              </w:rPr>
              <w:t>3先通风、后检测、再作业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vAlign w:val="center"/>
          </w:tcPr>
          <w:p>
            <w:pPr>
              <w:topLinePunct/>
              <w:snapToGrid w:val="0"/>
              <w:spacing w:line="400" w:lineRule="exact"/>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46</w:t>
            </w:r>
          </w:p>
        </w:tc>
        <w:tc>
          <w:tcPr>
            <w:tcW w:w="1935"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无证操作特种设备</w:t>
            </w:r>
          </w:p>
        </w:tc>
        <w:tc>
          <w:tcPr>
            <w:tcW w:w="1411"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机械伤害</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车辆伤害</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物体打击</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lang w:val="en-US" w:eastAsia="zh-CN"/>
              </w:rPr>
            </w:pPr>
            <w:r>
              <w:rPr>
                <w:rFonts w:hint="eastAsia" w:ascii="仿宋_GB2312" w:hAnsi="仿宋_GB2312" w:eastAsia="仿宋_GB2312" w:cs="仿宋_GB2312"/>
                <w:bCs/>
                <w:kern w:val="2"/>
                <w:sz w:val="24"/>
                <w:szCs w:val="24"/>
                <w:lang w:val="en-US" w:eastAsia="zh-CN" w:bidi="ar-SA"/>
              </w:rPr>
              <w:t>其他伤害</w:t>
            </w:r>
          </w:p>
        </w:tc>
        <w:tc>
          <w:tcPr>
            <w:tcW w:w="433"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5</w:t>
            </w:r>
          </w:p>
        </w:tc>
        <w:tc>
          <w:tcPr>
            <w:tcW w:w="350"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6</w:t>
            </w:r>
          </w:p>
        </w:tc>
        <w:tc>
          <w:tcPr>
            <w:tcW w:w="717"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30</w:t>
            </w:r>
          </w:p>
        </w:tc>
        <w:tc>
          <w:tcPr>
            <w:tcW w:w="824"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color w:val="FFC000"/>
                <w:sz w:val="24"/>
                <w:lang w:val="en-US" w:eastAsia="zh-CN"/>
              </w:rPr>
            </w:pPr>
            <w:r>
              <w:rPr>
                <w:rFonts w:hint="eastAsia" w:ascii="仿宋_GB2312" w:hAnsi="仿宋_GB2312" w:eastAsia="仿宋_GB2312" w:cs="仿宋_GB2312"/>
                <w:bCs/>
                <w:sz w:val="24"/>
                <w:lang w:val="en-US" w:eastAsia="zh-CN"/>
              </w:rPr>
              <w:t>A级</w:t>
            </w:r>
            <w:r>
              <w:rPr>
                <w:rFonts w:hint="eastAsia" w:ascii="仿宋_GB2312" w:hAnsi="仿宋_GB2312" w:eastAsia="仿宋_GB2312" w:cs="仿宋_GB2312"/>
                <w:bCs/>
                <w:color w:val="FF0000"/>
                <w:sz w:val="24"/>
                <w:lang w:val="en-US" w:eastAsia="zh-CN"/>
              </w:rPr>
              <w:t>/红色</w:t>
            </w:r>
          </w:p>
        </w:tc>
        <w:tc>
          <w:tcPr>
            <w:tcW w:w="8092" w:type="dxa"/>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1坚持安全生产检查；</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2制定并落实特种设备管理制度</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3安全教育培训</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lang w:val="en-US" w:eastAsia="zh-CN"/>
              </w:rPr>
            </w:pPr>
            <w:r>
              <w:rPr>
                <w:rFonts w:hint="eastAsia" w:ascii="仿宋_GB2312" w:hAnsi="仿宋_GB2312" w:eastAsia="仿宋_GB2312" w:cs="仿宋_GB2312"/>
                <w:bCs/>
                <w:sz w:val="22"/>
                <w:szCs w:val="22"/>
                <w:lang w:val="en-US" w:eastAsia="zh-CN"/>
              </w:rPr>
              <w:t>4落实并加大处罚力度</w:t>
            </w:r>
          </w:p>
        </w:tc>
      </w:tr>
    </w:tbl>
    <w:p>
      <w:pPr>
        <w:topLinePunct/>
        <w:snapToGrid w:val="0"/>
        <w:spacing w:line="400" w:lineRule="exact"/>
        <w:rPr>
          <w:rFonts w:hint="eastAsia" w:ascii="仿宋_GB2312" w:hAnsi="仿宋_GB2312" w:eastAsia="仿宋_GB2312" w:cs="仿宋_GB2312"/>
          <w:bCs/>
          <w:sz w:val="24"/>
        </w:rPr>
      </w:pPr>
    </w:p>
    <w:p>
      <w:pPr>
        <w:pStyle w:val="20"/>
        <w:ind w:firstLine="640"/>
        <w:rPr>
          <w:rFonts w:ascii="仿宋" w:hAnsi="仿宋" w:eastAsia="仿宋" w:cs="仿宋"/>
          <w:sz w:val="32"/>
          <w:szCs w:val="32"/>
        </w:rPr>
      </w:pPr>
    </w:p>
    <w:p>
      <w:pPr>
        <w:pStyle w:val="3"/>
        <w:tabs>
          <w:tab w:val="left" w:pos="432"/>
        </w:tabs>
        <w:autoSpaceDE w:val="0"/>
        <w:autoSpaceDN w:val="0"/>
        <w:adjustRightInd w:val="0"/>
        <w:snapToGrid w:val="0"/>
        <w:spacing w:before="0" w:after="0" w:line="240" w:lineRule="auto"/>
        <w:outlineLvl w:val="9"/>
        <w:rPr>
          <w:rFonts w:ascii="仿宋" w:hAnsi="仿宋" w:eastAsia="仿宋" w:cs="仿宋"/>
          <w:kern w:val="2"/>
          <w:sz w:val="30"/>
          <w:szCs w:val="30"/>
        </w:rPr>
        <w:sectPr>
          <w:footerReference r:id="rId7" w:type="default"/>
          <w:pgSz w:w="16838" w:h="11906" w:orient="landscape"/>
          <w:pgMar w:top="1800" w:right="1440" w:bottom="1800" w:left="1440" w:header="851" w:footer="992" w:gutter="0"/>
          <w:pgNumType w:fmt="decimal"/>
          <w:cols w:space="425" w:num="1"/>
          <w:docGrid w:type="lines" w:linePitch="312" w:charSpace="0"/>
        </w:sectPr>
      </w:pPr>
    </w:p>
    <w:p>
      <w:pPr>
        <w:keepNext w:val="0"/>
        <w:keepLines w:val="0"/>
        <w:pageBreakBefore w:val="0"/>
        <w:kinsoku/>
        <w:wordWrap/>
        <w:overflowPunct/>
        <w:topLinePunct w:val="0"/>
        <w:autoSpaceDE/>
        <w:autoSpaceDN/>
        <w:bidi w:val="0"/>
        <w:spacing w:line="560" w:lineRule="exact"/>
        <w:ind w:firstLine="640" w:firstLineChars="200"/>
        <w:textAlignment w:val="auto"/>
        <w:outlineLvl w:val="1"/>
        <w:rPr>
          <w:rFonts w:hint="default" w:ascii="仿宋_GB2312" w:hAnsi="仿宋_GB2312" w:eastAsia="仿宋_GB2312" w:cs="仿宋_GB2312"/>
          <w:sz w:val="32"/>
          <w:szCs w:val="32"/>
          <w:lang w:val="en-US" w:eastAsia="zh-CN"/>
        </w:rPr>
      </w:pPr>
      <w:bookmarkStart w:id="623" w:name="_Toc5861"/>
      <w:r>
        <w:rPr>
          <w:rFonts w:hint="eastAsia" w:ascii="仿宋_GB2312" w:hAnsi="仿宋_GB2312" w:eastAsia="仿宋_GB2312" w:cs="仿宋_GB2312"/>
          <w:sz w:val="32"/>
          <w:szCs w:val="32"/>
          <w:lang w:val="en-US" w:eastAsia="zh-CN"/>
        </w:rPr>
        <w:t>小结结论：</w:t>
      </w:r>
      <w:r>
        <w:rPr>
          <w:rFonts w:hint="eastAsia" w:ascii="仿宋_GB2312" w:hAnsi="仿宋_GB2312" w:eastAsia="仿宋_GB2312" w:cs="仿宋_GB2312"/>
          <w:sz w:val="32"/>
          <w:szCs w:val="32"/>
          <w:lang w:eastAsia="zh-CN"/>
        </w:rPr>
        <w:t>针对交通运输行业的特点及作业方式，选用风险矩阵（LS）评价法，</w:t>
      </w:r>
      <w:r>
        <w:rPr>
          <w:rFonts w:hint="eastAsia" w:ascii="仿宋_GB2312" w:hAnsi="仿宋_GB2312" w:eastAsia="仿宋_GB2312" w:cs="仿宋_GB2312"/>
          <w:sz w:val="32"/>
          <w:szCs w:val="32"/>
          <w:lang w:val="en-US" w:eastAsia="zh-CN"/>
        </w:rPr>
        <w:t>对46个风险因素分析，具有重大风险（Ⅰ级、红色）的7项；具有较大风险（Ⅱ级、橙色）25项；具有一般风险14项（Ⅲ级、黄色）。</w:t>
      </w:r>
    </w:p>
    <w:p>
      <w:pPr>
        <w:keepNext w:val="0"/>
        <w:keepLines w:val="0"/>
        <w:pageBreakBefore w:val="0"/>
        <w:kinsoku/>
        <w:wordWrap/>
        <w:overflowPunct/>
        <w:topLinePunct w:val="0"/>
        <w:autoSpaceDE/>
        <w:autoSpaceDN/>
        <w:bidi w:val="0"/>
        <w:spacing w:line="560" w:lineRule="exact"/>
        <w:ind w:firstLine="640" w:firstLineChars="200"/>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3.3作业条件危险性评价法</w:t>
      </w:r>
      <w:bookmarkEnd w:id="62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采用LEC 打分法，即作业条件危险性评价法。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LEC 法是以与系统危险性有关的三种因素指标值来评价人员伤亡危险性的大小。这三个因素是：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L——发生事故的可能性大小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E——人体暴露于危险环境的频繁程度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C——发生事故后可能造成的后果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D=L×E×C</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D——危险性分值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三个因素的取值范围和危险性分值的取值范围及危险性评价见附表。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 xml:space="preserve"> 作业条件危险性评价分值表</w:t>
      </w:r>
    </w:p>
    <w:p>
      <w:pPr>
        <w:keepNext w:val="0"/>
        <w:keepLines w:val="0"/>
        <w:pageBreakBefore w:val="0"/>
        <w:widowControl w:val="0"/>
        <w:kinsoku/>
        <w:wordWrap/>
        <w:overflowPunct/>
        <w:topLinePunct w:val="0"/>
        <w:autoSpaceDE/>
        <w:autoSpaceDN/>
        <w:bidi w:val="0"/>
        <w:adjustRightInd/>
        <w:snapToGrid/>
        <w:spacing w:line="520" w:lineRule="exact"/>
        <w:ind w:firstLine="2249" w:firstLineChars="700"/>
        <w:textAlignment w:val="auto"/>
        <w:outlineLvl w:val="0"/>
        <w:rPr>
          <w:rFonts w:hint="eastAsia" w:ascii="仿宋_GB2312" w:eastAsia="仿宋_GB2312" w:hAnsiTheme="minorHAnsi" w:cstheme="minorBidi"/>
          <w:b w:val="0"/>
          <w:bCs w:val="0"/>
          <w:kern w:val="2"/>
          <w:sz w:val="32"/>
          <w:szCs w:val="32"/>
          <w:lang w:val="en-US" w:eastAsia="zh-CN" w:bidi="ar-SA"/>
        </w:rPr>
      </w:pPr>
      <w:bookmarkStart w:id="624" w:name="_Toc29816"/>
      <w:bookmarkStart w:id="625" w:name="_Toc27639"/>
      <w:bookmarkStart w:id="626" w:name="_Toc16001"/>
      <w:bookmarkStart w:id="627" w:name="_Toc20665"/>
      <w:bookmarkStart w:id="628" w:name="_Toc29714"/>
      <w:r>
        <w:rPr>
          <w:rFonts w:hint="eastAsia" w:ascii="仿宋_GB2312" w:eastAsia="仿宋_GB2312" w:hAnsiTheme="minorHAnsi" w:cstheme="minorBidi"/>
          <w:b/>
          <w:bCs/>
          <w:kern w:val="2"/>
          <w:sz w:val="32"/>
          <w:szCs w:val="32"/>
          <w:lang w:val="en-US" w:eastAsia="zh-CN" w:bidi="ar-SA"/>
        </w:rPr>
        <w:t>发生事故的可能性（L）</w:t>
      </w:r>
      <w:bookmarkEnd w:id="624"/>
      <w:bookmarkEnd w:id="625"/>
      <w:bookmarkEnd w:id="626"/>
      <w:bookmarkEnd w:id="627"/>
      <w:bookmarkEnd w:id="628"/>
    </w:p>
    <w:tbl>
      <w:tblPr>
        <w:tblStyle w:val="21"/>
        <w:tblpPr w:leftFromText="180" w:rightFromText="180" w:vertAnchor="text" w:horzAnchor="page" w:tblpX="1782" w:tblpY="328"/>
        <w:tblOverlap w:val="never"/>
        <w:tblW w:w="8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5"/>
        <w:gridCol w:w="1324"/>
        <w:gridCol w:w="300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3015"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bCs/>
                <w:kern w:val="2"/>
                <w:sz w:val="24"/>
                <w:szCs w:val="24"/>
                <w:lang w:val="en-US" w:eastAsia="zh-CN" w:bidi="ar-SA"/>
              </w:rPr>
            </w:pPr>
            <w:r>
              <w:rPr>
                <w:rFonts w:hint="eastAsia" w:ascii="仿宋_GB2312" w:eastAsia="仿宋_GB2312" w:hAnsiTheme="minorHAnsi" w:cstheme="minorBidi"/>
                <w:b/>
                <w:bCs/>
                <w:kern w:val="2"/>
                <w:sz w:val="24"/>
                <w:szCs w:val="24"/>
                <w:lang w:val="en-US" w:eastAsia="zh-CN" w:bidi="ar-SA"/>
              </w:rPr>
              <w:t>事故发生的可能性</w:t>
            </w:r>
          </w:p>
        </w:tc>
        <w:tc>
          <w:tcPr>
            <w:tcW w:w="1324"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bCs/>
                <w:kern w:val="2"/>
                <w:sz w:val="24"/>
                <w:szCs w:val="24"/>
                <w:lang w:val="en-US" w:eastAsia="zh-CN" w:bidi="ar-SA"/>
              </w:rPr>
            </w:pPr>
            <w:r>
              <w:rPr>
                <w:rFonts w:hint="eastAsia" w:ascii="仿宋_GB2312" w:eastAsia="仿宋_GB2312" w:hAnsiTheme="minorHAnsi" w:cstheme="minorBidi"/>
                <w:b/>
                <w:bCs/>
                <w:kern w:val="2"/>
                <w:sz w:val="24"/>
                <w:szCs w:val="24"/>
                <w:lang w:val="en-US" w:eastAsia="zh-CN" w:bidi="ar-SA"/>
              </w:rPr>
              <w:t>分值</w:t>
            </w:r>
          </w:p>
        </w:tc>
        <w:tc>
          <w:tcPr>
            <w:tcW w:w="300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bCs/>
                <w:kern w:val="2"/>
                <w:sz w:val="24"/>
                <w:szCs w:val="24"/>
                <w:lang w:val="en-US" w:eastAsia="zh-CN" w:bidi="ar-SA"/>
              </w:rPr>
            </w:pPr>
            <w:r>
              <w:rPr>
                <w:rFonts w:hint="eastAsia" w:ascii="仿宋_GB2312" w:eastAsia="仿宋_GB2312" w:hAnsiTheme="minorHAnsi" w:cstheme="minorBidi"/>
                <w:b/>
                <w:bCs/>
                <w:kern w:val="2"/>
                <w:sz w:val="24"/>
                <w:szCs w:val="24"/>
                <w:lang w:val="en-US" w:eastAsia="zh-CN" w:bidi="ar-SA"/>
              </w:rPr>
              <w:t>事故发生的可能性</w:t>
            </w:r>
          </w:p>
        </w:tc>
        <w:tc>
          <w:tcPr>
            <w:tcW w:w="1099"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bCs/>
                <w:kern w:val="2"/>
                <w:sz w:val="24"/>
                <w:szCs w:val="24"/>
                <w:lang w:val="en-US" w:eastAsia="zh-CN" w:bidi="ar-SA"/>
              </w:rPr>
            </w:pPr>
            <w:r>
              <w:rPr>
                <w:rFonts w:hint="eastAsia" w:ascii="仿宋_GB2312" w:eastAsia="仿宋_GB2312" w:hAnsiTheme="minorHAnsi" w:cstheme="minorBidi"/>
                <w:b/>
                <w:bCs/>
                <w:kern w:val="2"/>
                <w:sz w:val="24"/>
                <w:szCs w:val="24"/>
                <w:lang w:val="en-US" w:eastAsia="zh-CN" w:bidi="ar-SA"/>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trPr>
        <w:tc>
          <w:tcPr>
            <w:tcW w:w="3015"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完全可以预料到</w:t>
            </w:r>
          </w:p>
        </w:tc>
        <w:tc>
          <w:tcPr>
            <w:tcW w:w="1324"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10</w:t>
            </w:r>
          </w:p>
        </w:tc>
        <w:tc>
          <w:tcPr>
            <w:tcW w:w="300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很不可能，可以设想</w:t>
            </w:r>
          </w:p>
        </w:tc>
        <w:tc>
          <w:tcPr>
            <w:tcW w:w="1099"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trPr>
        <w:tc>
          <w:tcPr>
            <w:tcW w:w="3015"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相当可能</w:t>
            </w:r>
          </w:p>
        </w:tc>
        <w:tc>
          <w:tcPr>
            <w:tcW w:w="1324"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6</w:t>
            </w:r>
          </w:p>
        </w:tc>
        <w:tc>
          <w:tcPr>
            <w:tcW w:w="300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极不可能</w:t>
            </w:r>
          </w:p>
        </w:tc>
        <w:tc>
          <w:tcPr>
            <w:tcW w:w="1099"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trPr>
        <w:tc>
          <w:tcPr>
            <w:tcW w:w="3015"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可能，但不经常</w:t>
            </w:r>
          </w:p>
        </w:tc>
        <w:tc>
          <w:tcPr>
            <w:tcW w:w="1324"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3</w:t>
            </w:r>
          </w:p>
        </w:tc>
        <w:tc>
          <w:tcPr>
            <w:tcW w:w="300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实际不可能</w:t>
            </w:r>
          </w:p>
        </w:tc>
        <w:tc>
          <w:tcPr>
            <w:tcW w:w="1099"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exact"/>
        </w:trPr>
        <w:tc>
          <w:tcPr>
            <w:tcW w:w="3015"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可能性小，完全意外</w:t>
            </w:r>
          </w:p>
        </w:tc>
        <w:tc>
          <w:tcPr>
            <w:tcW w:w="1324"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1</w:t>
            </w:r>
          </w:p>
        </w:tc>
        <w:tc>
          <w:tcPr>
            <w:tcW w:w="300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p>
        </w:tc>
        <w:tc>
          <w:tcPr>
            <w:tcW w:w="1099"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520" w:lineRule="exact"/>
        <w:ind w:firstLine="1606" w:firstLineChars="500"/>
        <w:textAlignment w:val="auto"/>
        <w:rPr>
          <w:rFonts w:hint="eastAsia" w:ascii="仿宋_GB2312" w:eastAsia="仿宋_GB2312" w:hAnsiTheme="minorHAnsi" w:cstheme="minorBidi"/>
          <w:b/>
          <w:bCs/>
          <w:kern w:val="2"/>
          <w:sz w:val="32"/>
          <w:szCs w:val="32"/>
          <w:lang w:val="en-US" w:eastAsia="zh-CN" w:bidi="ar-SA"/>
        </w:rPr>
      </w:pPr>
      <w:r>
        <w:rPr>
          <w:rFonts w:hint="eastAsia" w:ascii="仿宋_GB2312" w:eastAsia="仿宋_GB2312" w:hAnsiTheme="minorHAnsi" w:cstheme="minorBidi"/>
          <w:b/>
          <w:bCs/>
          <w:kern w:val="2"/>
          <w:sz w:val="32"/>
          <w:szCs w:val="32"/>
          <w:lang w:val="en-US" w:eastAsia="zh-CN" w:bidi="ar-SA"/>
        </w:rPr>
        <w:t>人员暴露于危险环境的频繁程度（E）</w:t>
      </w:r>
    </w:p>
    <w:tbl>
      <w:tblPr>
        <w:tblStyle w:val="21"/>
        <w:tblpPr w:leftFromText="180" w:rightFromText="180" w:vertAnchor="text" w:horzAnchor="page" w:tblpX="1117" w:tblpY="131"/>
        <w:tblOverlap w:val="never"/>
        <w:tblW w:w="98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0"/>
        <w:gridCol w:w="922"/>
        <w:gridCol w:w="4228"/>
        <w:gridCol w:w="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3940"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eastAsia="仿宋_GB2312" w:hAnsiTheme="minorHAnsi" w:cstheme="minorBidi"/>
                <w:b/>
                <w:bCs/>
                <w:kern w:val="2"/>
                <w:sz w:val="24"/>
                <w:szCs w:val="24"/>
                <w:lang w:val="en-US" w:eastAsia="zh-CN" w:bidi="ar-SA"/>
              </w:rPr>
            </w:pPr>
            <w:r>
              <w:rPr>
                <w:rFonts w:hint="eastAsia" w:ascii="仿宋_GB2312" w:eastAsia="仿宋_GB2312" w:hAnsiTheme="minorHAnsi" w:cstheme="minorBidi"/>
                <w:b/>
                <w:bCs/>
                <w:kern w:val="2"/>
                <w:sz w:val="24"/>
                <w:szCs w:val="24"/>
                <w:lang w:val="en-US" w:eastAsia="zh-CN" w:bidi="ar-SA"/>
              </w:rPr>
              <w:t>人员暴露于危险环境的频繁程</w:t>
            </w:r>
          </w:p>
        </w:tc>
        <w:tc>
          <w:tcPr>
            <w:tcW w:w="922"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eastAsia="仿宋_GB2312" w:hAnsiTheme="minorHAnsi" w:cstheme="minorBidi"/>
                <w:b/>
                <w:bCs/>
                <w:kern w:val="2"/>
                <w:sz w:val="24"/>
                <w:szCs w:val="24"/>
                <w:lang w:val="en-US" w:eastAsia="zh-CN" w:bidi="ar-SA"/>
              </w:rPr>
            </w:pPr>
            <w:r>
              <w:rPr>
                <w:rFonts w:hint="eastAsia" w:ascii="仿宋_GB2312" w:eastAsia="仿宋_GB2312" w:hAnsiTheme="minorHAnsi" w:cstheme="minorBidi"/>
                <w:b/>
                <w:bCs/>
                <w:kern w:val="2"/>
                <w:sz w:val="24"/>
                <w:szCs w:val="24"/>
                <w:lang w:val="en-US" w:eastAsia="zh-CN" w:bidi="ar-SA"/>
              </w:rPr>
              <w:t>分值</w:t>
            </w:r>
          </w:p>
        </w:tc>
        <w:tc>
          <w:tcPr>
            <w:tcW w:w="4228"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eastAsia="仿宋_GB2312" w:hAnsiTheme="minorHAnsi" w:cstheme="minorBidi"/>
                <w:b/>
                <w:bCs/>
                <w:kern w:val="2"/>
                <w:sz w:val="24"/>
                <w:szCs w:val="24"/>
                <w:lang w:val="en-US" w:eastAsia="zh-CN" w:bidi="ar-SA"/>
              </w:rPr>
            </w:pPr>
            <w:r>
              <w:rPr>
                <w:rFonts w:hint="eastAsia" w:ascii="仿宋_GB2312" w:eastAsia="仿宋_GB2312" w:hAnsiTheme="minorHAnsi" w:cstheme="minorBidi"/>
                <w:b/>
                <w:bCs/>
                <w:kern w:val="2"/>
                <w:sz w:val="24"/>
                <w:szCs w:val="24"/>
                <w:lang w:val="en-US" w:eastAsia="zh-CN" w:bidi="ar-SA"/>
              </w:rPr>
              <w:t>人员暴露于危险环境的频繁程度</w:t>
            </w:r>
          </w:p>
        </w:tc>
        <w:tc>
          <w:tcPr>
            <w:tcW w:w="749"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eastAsia="仿宋_GB2312" w:hAnsiTheme="minorHAnsi" w:cstheme="minorBidi"/>
                <w:b/>
                <w:bCs/>
                <w:kern w:val="2"/>
                <w:sz w:val="24"/>
                <w:szCs w:val="24"/>
                <w:lang w:val="en-US" w:eastAsia="zh-CN" w:bidi="ar-SA"/>
              </w:rPr>
            </w:pPr>
            <w:r>
              <w:rPr>
                <w:rFonts w:hint="eastAsia" w:ascii="仿宋_GB2312" w:eastAsia="仿宋_GB2312" w:hAnsiTheme="minorHAnsi" w:cstheme="minorBidi"/>
                <w:b/>
                <w:bCs/>
                <w:kern w:val="2"/>
                <w:sz w:val="24"/>
                <w:szCs w:val="24"/>
                <w:lang w:val="en-US" w:eastAsia="zh-CN" w:bidi="ar-SA"/>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exact"/>
        </w:trPr>
        <w:tc>
          <w:tcPr>
            <w:tcW w:w="3940" w:type="dxa"/>
            <w:shd w:val="clear" w:color="auto" w:fill="FFFFFF"/>
            <w:noWrap w:val="0"/>
            <w:tcMar>
              <w:top w:w="60" w:type="dxa"/>
              <w:left w:w="60" w:type="dxa"/>
              <w:bottom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连续暴露</w:t>
            </w:r>
          </w:p>
        </w:tc>
        <w:tc>
          <w:tcPr>
            <w:tcW w:w="922" w:type="dxa"/>
            <w:shd w:val="clear" w:color="auto" w:fill="FFFFFF"/>
            <w:noWrap w:val="0"/>
            <w:tcMar>
              <w:top w:w="60" w:type="dxa"/>
              <w:left w:w="60" w:type="dxa"/>
              <w:bottom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520" w:lineRule="exact"/>
              <w:ind w:firstLine="240" w:firstLineChars="100"/>
              <w:jc w:val="left"/>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10</w:t>
            </w:r>
          </w:p>
        </w:tc>
        <w:tc>
          <w:tcPr>
            <w:tcW w:w="4228" w:type="dxa"/>
            <w:shd w:val="clear" w:color="auto" w:fill="FFFFFF"/>
            <w:noWrap w:val="0"/>
            <w:tcMar>
              <w:top w:w="60" w:type="dxa"/>
              <w:left w:w="60" w:type="dxa"/>
              <w:bottom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每月一次暴露</w:t>
            </w:r>
          </w:p>
        </w:tc>
        <w:tc>
          <w:tcPr>
            <w:tcW w:w="749"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240" w:firstLineChars="100"/>
              <w:jc w:val="both"/>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exact"/>
        </w:trPr>
        <w:tc>
          <w:tcPr>
            <w:tcW w:w="3940" w:type="dxa"/>
            <w:shd w:val="clear" w:color="auto" w:fill="FFFFFF"/>
            <w:noWrap w:val="0"/>
            <w:tcMar>
              <w:top w:w="60" w:type="dxa"/>
              <w:left w:w="60" w:type="dxa"/>
              <w:bottom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每天工作时间内暴露</w:t>
            </w:r>
          </w:p>
        </w:tc>
        <w:tc>
          <w:tcPr>
            <w:tcW w:w="922" w:type="dxa"/>
            <w:shd w:val="clear" w:color="auto" w:fill="FFFFFF"/>
            <w:noWrap w:val="0"/>
            <w:tcMar>
              <w:top w:w="60" w:type="dxa"/>
              <w:left w:w="60" w:type="dxa"/>
              <w:bottom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520" w:lineRule="exact"/>
              <w:ind w:firstLine="240" w:firstLineChars="100"/>
              <w:jc w:val="left"/>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6</w:t>
            </w:r>
          </w:p>
        </w:tc>
        <w:tc>
          <w:tcPr>
            <w:tcW w:w="4228" w:type="dxa"/>
            <w:shd w:val="clear" w:color="auto" w:fill="FFFFFF"/>
            <w:noWrap w:val="0"/>
            <w:tcMar>
              <w:top w:w="60" w:type="dxa"/>
              <w:left w:w="60" w:type="dxa"/>
              <w:bottom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每年几次暴露</w:t>
            </w:r>
          </w:p>
        </w:tc>
        <w:tc>
          <w:tcPr>
            <w:tcW w:w="749"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240" w:firstLineChars="100"/>
              <w:jc w:val="both"/>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exact"/>
        </w:trPr>
        <w:tc>
          <w:tcPr>
            <w:tcW w:w="3940" w:type="dxa"/>
            <w:shd w:val="clear" w:color="auto" w:fill="FFFFFF"/>
            <w:noWrap w:val="0"/>
            <w:tcMar>
              <w:top w:w="60" w:type="dxa"/>
              <w:left w:w="60" w:type="dxa"/>
              <w:bottom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每天几次，或偶然暴露</w:t>
            </w:r>
          </w:p>
        </w:tc>
        <w:tc>
          <w:tcPr>
            <w:tcW w:w="922" w:type="dxa"/>
            <w:shd w:val="clear" w:color="auto" w:fill="FFFFFF"/>
            <w:noWrap w:val="0"/>
            <w:tcMar>
              <w:top w:w="60" w:type="dxa"/>
              <w:left w:w="60" w:type="dxa"/>
              <w:bottom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520" w:lineRule="exact"/>
              <w:ind w:firstLine="240" w:firstLineChars="100"/>
              <w:jc w:val="left"/>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4</w:t>
            </w:r>
          </w:p>
        </w:tc>
        <w:tc>
          <w:tcPr>
            <w:tcW w:w="4228" w:type="dxa"/>
            <w:shd w:val="clear" w:color="auto" w:fill="FFFFFF"/>
            <w:noWrap w:val="0"/>
            <w:tcMar>
              <w:top w:w="60" w:type="dxa"/>
              <w:left w:w="60" w:type="dxa"/>
              <w:bottom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非常罕见的暴露</w:t>
            </w:r>
          </w:p>
        </w:tc>
        <w:tc>
          <w:tcPr>
            <w:tcW w:w="749"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240" w:firstLineChars="100"/>
              <w:jc w:val="both"/>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trPr>
        <w:tc>
          <w:tcPr>
            <w:tcW w:w="3940" w:type="dxa"/>
            <w:shd w:val="clear" w:color="auto" w:fill="FFFFFF"/>
            <w:noWrap w:val="0"/>
            <w:tcMar>
              <w:top w:w="60" w:type="dxa"/>
              <w:left w:w="60" w:type="dxa"/>
              <w:bottom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每周一次，或偶然暴露</w:t>
            </w:r>
          </w:p>
        </w:tc>
        <w:tc>
          <w:tcPr>
            <w:tcW w:w="922" w:type="dxa"/>
            <w:shd w:val="clear" w:color="auto" w:fill="FFFFFF"/>
            <w:noWrap w:val="0"/>
            <w:tcMar>
              <w:top w:w="60" w:type="dxa"/>
              <w:left w:w="60" w:type="dxa"/>
              <w:bottom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520" w:lineRule="exact"/>
              <w:ind w:firstLine="240" w:firstLineChars="100"/>
              <w:jc w:val="left"/>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3</w:t>
            </w:r>
          </w:p>
        </w:tc>
        <w:tc>
          <w:tcPr>
            <w:tcW w:w="4228" w:type="dxa"/>
            <w:shd w:val="clear" w:color="auto" w:fill="FFFFFF"/>
            <w:noWrap w:val="0"/>
            <w:tcMar>
              <w:top w:w="60" w:type="dxa"/>
              <w:left w:w="60" w:type="dxa"/>
              <w:bottom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p>
        </w:tc>
        <w:tc>
          <w:tcPr>
            <w:tcW w:w="749"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520" w:lineRule="exact"/>
        <w:ind w:firstLine="1928" w:firstLineChars="600"/>
        <w:textAlignment w:val="auto"/>
        <w:rPr>
          <w:rFonts w:hint="eastAsia" w:ascii="仿宋_GB2312" w:eastAsia="仿宋_GB2312" w:hAnsiTheme="minorHAnsi" w:cstheme="minorBidi"/>
          <w:b/>
          <w:bCs/>
          <w:kern w:val="2"/>
          <w:sz w:val="32"/>
          <w:szCs w:val="32"/>
          <w:lang w:val="en-US" w:eastAsia="zh-CN" w:bidi="ar-SA"/>
        </w:rPr>
      </w:pPr>
      <w:r>
        <w:rPr>
          <w:rFonts w:hint="eastAsia" w:ascii="仿宋_GB2312" w:eastAsia="仿宋_GB2312" w:hAnsiTheme="minorHAnsi" w:cstheme="minorBidi"/>
          <w:b/>
          <w:bCs/>
          <w:kern w:val="2"/>
          <w:sz w:val="32"/>
          <w:szCs w:val="32"/>
          <w:lang w:val="en-US" w:eastAsia="zh-CN" w:bidi="ar-SA"/>
        </w:rPr>
        <w:t>发生事故可能造成的后果（C）</w:t>
      </w:r>
    </w:p>
    <w:tbl>
      <w:tblPr>
        <w:tblStyle w:val="21"/>
        <w:tblW w:w="9719" w:type="dxa"/>
        <w:tblInd w:w="-6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8"/>
        <w:gridCol w:w="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trPr>
        <w:tc>
          <w:tcPr>
            <w:tcW w:w="8858"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2891" w:firstLineChars="1200"/>
              <w:jc w:val="both"/>
              <w:textAlignment w:val="auto"/>
              <w:rPr>
                <w:rFonts w:hint="eastAsia" w:ascii="仿宋_GB2312" w:eastAsia="仿宋_GB2312" w:hAnsiTheme="minorHAnsi" w:cstheme="minorBidi"/>
                <w:b/>
                <w:bCs/>
                <w:kern w:val="2"/>
                <w:sz w:val="24"/>
                <w:szCs w:val="24"/>
                <w:lang w:val="en-US" w:eastAsia="zh-CN" w:bidi="ar-SA"/>
              </w:rPr>
            </w:pPr>
            <w:r>
              <w:rPr>
                <w:rFonts w:hint="eastAsia" w:ascii="仿宋_GB2312" w:eastAsia="仿宋_GB2312" w:hAnsiTheme="minorHAnsi" w:cstheme="minorBidi"/>
                <w:b/>
                <w:bCs/>
                <w:kern w:val="2"/>
                <w:sz w:val="24"/>
                <w:szCs w:val="24"/>
                <w:lang w:val="en-US" w:eastAsia="zh-CN" w:bidi="ar-SA"/>
              </w:rPr>
              <w:t>发生事故可能造成的后果</w:t>
            </w:r>
          </w:p>
        </w:tc>
        <w:tc>
          <w:tcPr>
            <w:tcW w:w="86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bCs/>
                <w:kern w:val="2"/>
                <w:sz w:val="24"/>
                <w:szCs w:val="24"/>
                <w:lang w:val="en-US" w:eastAsia="zh-CN" w:bidi="ar-SA"/>
              </w:rPr>
            </w:pPr>
            <w:r>
              <w:rPr>
                <w:rFonts w:hint="eastAsia" w:ascii="仿宋_GB2312" w:eastAsia="仿宋_GB2312" w:hAnsiTheme="minorHAnsi" w:cstheme="minorBidi"/>
                <w:b/>
                <w:bCs/>
                <w:kern w:val="2"/>
                <w:sz w:val="24"/>
                <w:szCs w:val="24"/>
                <w:lang w:val="en-US" w:eastAsia="zh-CN" w:bidi="ar-SA"/>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exact"/>
        </w:trPr>
        <w:tc>
          <w:tcPr>
            <w:tcW w:w="8858"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大灾难，多人死亡，或造成10 万元以上重大财产损失</w:t>
            </w:r>
          </w:p>
        </w:tc>
        <w:tc>
          <w:tcPr>
            <w:tcW w:w="86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exact"/>
        </w:trPr>
        <w:tc>
          <w:tcPr>
            <w:tcW w:w="8858"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数人死亡，或已发生多人患严重职业病，或造成5 万元以上10 万元以下财产损失</w:t>
            </w:r>
          </w:p>
        </w:tc>
        <w:tc>
          <w:tcPr>
            <w:tcW w:w="86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858"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一人死亡或发生严重职业病，或造成2 万元以上5 万元以下财产损失</w:t>
            </w:r>
          </w:p>
        </w:tc>
        <w:tc>
          <w:tcPr>
            <w:tcW w:w="86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exact"/>
        </w:trPr>
        <w:tc>
          <w:tcPr>
            <w:tcW w:w="8858"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数人重伤或极有可能引发职业病，或造成5000 元以上2 万元以下财产损失</w:t>
            </w:r>
          </w:p>
        </w:tc>
        <w:tc>
          <w:tcPr>
            <w:tcW w:w="86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exact"/>
        </w:trPr>
        <w:tc>
          <w:tcPr>
            <w:tcW w:w="8858"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一人重伤或对健康产生严重影响，或造成2000 元以上5000 元以下财产损失</w:t>
            </w:r>
          </w:p>
        </w:tc>
        <w:tc>
          <w:tcPr>
            <w:tcW w:w="86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858"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数人轻伤或对健康有明显影响，或造成500 元以上2000 元以下财产损失</w:t>
            </w:r>
          </w:p>
        </w:tc>
        <w:tc>
          <w:tcPr>
            <w:tcW w:w="86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858"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一人轻伤或对健康有一定影响，或造成500 元以下的财产损失</w:t>
            </w:r>
          </w:p>
        </w:tc>
        <w:tc>
          <w:tcPr>
            <w:tcW w:w="86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exact"/>
        </w:trPr>
        <w:tc>
          <w:tcPr>
            <w:tcW w:w="8858"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轻微伤害或不利于基本的安全、健康、卫生要求</w:t>
            </w:r>
          </w:p>
        </w:tc>
        <w:tc>
          <w:tcPr>
            <w:tcW w:w="86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1</w:t>
            </w:r>
          </w:p>
        </w:tc>
      </w:tr>
    </w:tbl>
    <w:p>
      <w:pPr>
        <w:keepNext w:val="0"/>
        <w:keepLines w:val="0"/>
        <w:pageBreakBefore w:val="0"/>
        <w:widowControl w:val="0"/>
        <w:kinsoku/>
        <w:wordWrap/>
        <w:overflowPunct/>
        <w:topLinePunct w:val="0"/>
        <w:autoSpaceDE/>
        <w:autoSpaceDN/>
        <w:bidi w:val="0"/>
        <w:adjustRightInd/>
        <w:snapToGrid/>
        <w:spacing w:line="520" w:lineRule="exact"/>
        <w:ind w:firstLine="1928" w:firstLineChars="600"/>
        <w:textAlignment w:val="auto"/>
        <w:rPr>
          <w:rFonts w:hint="eastAsia" w:ascii="仿宋_GB2312" w:eastAsia="仿宋_GB2312" w:hAnsiTheme="minorHAnsi" w:cstheme="minorBidi"/>
          <w:b/>
          <w:bCs/>
          <w:kern w:val="2"/>
          <w:sz w:val="32"/>
          <w:szCs w:val="32"/>
          <w:lang w:val="en-US" w:eastAsia="zh-CN" w:bidi="ar-SA"/>
        </w:rPr>
      </w:pPr>
      <w:r>
        <w:rPr>
          <w:rFonts w:hint="eastAsia" w:ascii="仿宋_GB2312" w:eastAsia="仿宋_GB2312" w:hAnsiTheme="minorHAnsi" w:cstheme="minorBidi"/>
          <w:b/>
          <w:bCs/>
          <w:kern w:val="2"/>
          <w:sz w:val="32"/>
          <w:szCs w:val="32"/>
          <w:lang w:val="en-US" w:eastAsia="zh-CN" w:bidi="ar-SA"/>
        </w:rPr>
        <w:t>风险等级划分标准（D）</w:t>
      </w:r>
    </w:p>
    <w:tbl>
      <w:tblPr>
        <w:tblStyle w:val="21"/>
        <w:tblpPr w:leftFromText="180" w:rightFromText="180" w:vertAnchor="text" w:horzAnchor="page" w:tblpX="1181" w:tblpY="323"/>
        <w:tblOverlap w:val="never"/>
        <w:tblW w:w="9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1"/>
        <w:gridCol w:w="5301"/>
        <w:gridCol w:w="1414"/>
        <w:gridCol w:w="1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40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241" w:firstLineChars="100"/>
              <w:textAlignment w:val="auto"/>
              <w:rPr>
                <w:rFonts w:hint="eastAsia" w:ascii="仿宋_GB2312" w:eastAsia="仿宋_GB2312" w:hAnsiTheme="minorHAnsi" w:cstheme="minorBidi"/>
                <w:b/>
                <w:bCs/>
                <w:kern w:val="2"/>
                <w:sz w:val="24"/>
                <w:szCs w:val="24"/>
                <w:lang w:val="en-US" w:eastAsia="zh-CN" w:bidi="ar-SA"/>
              </w:rPr>
            </w:pPr>
            <w:r>
              <w:rPr>
                <w:rFonts w:hint="eastAsia" w:ascii="仿宋_GB2312" w:eastAsia="仿宋_GB2312" w:hAnsiTheme="minorHAnsi" w:cstheme="minorBidi"/>
                <w:b/>
                <w:bCs/>
                <w:kern w:val="2"/>
                <w:sz w:val="24"/>
                <w:szCs w:val="24"/>
                <w:lang w:val="en-US" w:eastAsia="zh-CN" w:bidi="ar-SA"/>
              </w:rPr>
              <w:t>D 值</w:t>
            </w:r>
          </w:p>
        </w:tc>
        <w:tc>
          <w:tcPr>
            <w:tcW w:w="530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1687" w:firstLineChars="700"/>
              <w:textAlignment w:val="auto"/>
              <w:rPr>
                <w:rFonts w:hint="eastAsia" w:ascii="仿宋_GB2312" w:eastAsia="仿宋_GB2312" w:hAnsiTheme="minorHAnsi" w:cstheme="minorBidi"/>
                <w:b/>
                <w:bCs/>
                <w:kern w:val="2"/>
                <w:sz w:val="24"/>
                <w:szCs w:val="24"/>
                <w:lang w:val="en-US" w:eastAsia="zh-CN" w:bidi="ar-SA"/>
              </w:rPr>
            </w:pPr>
            <w:r>
              <w:rPr>
                <w:rFonts w:hint="eastAsia" w:ascii="仿宋_GB2312" w:eastAsia="仿宋_GB2312" w:hAnsiTheme="minorHAnsi" w:cstheme="minorBidi"/>
                <w:b/>
                <w:bCs/>
                <w:kern w:val="2"/>
                <w:sz w:val="24"/>
                <w:szCs w:val="24"/>
                <w:lang w:val="en-US" w:eastAsia="zh-CN" w:bidi="ar-SA"/>
              </w:rPr>
              <w:t>危险程度</w:t>
            </w:r>
          </w:p>
        </w:tc>
        <w:tc>
          <w:tcPr>
            <w:tcW w:w="1414"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eastAsia="仿宋_GB2312" w:hAnsiTheme="minorHAnsi" w:cstheme="minorBidi"/>
                <w:b/>
                <w:bCs/>
                <w:kern w:val="2"/>
                <w:sz w:val="24"/>
                <w:szCs w:val="24"/>
                <w:lang w:val="en-US" w:eastAsia="zh-CN" w:bidi="ar-SA"/>
              </w:rPr>
            </w:pPr>
            <w:r>
              <w:rPr>
                <w:rFonts w:hint="eastAsia" w:ascii="仿宋_GB2312" w:eastAsia="仿宋_GB2312" w:hAnsiTheme="minorHAnsi" w:cstheme="minorBidi"/>
                <w:b/>
                <w:bCs/>
                <w:kern w:val="2"/>
                <w:sz w:val="24"/>
                <w:szCs w:val="24"/>
                <w:lang w:val="en-US" w:eastAsia="zh-CN" w:bidi="ar-SA"/>
              </w:rPr>
              <w:t>风险分级</w:t>
            </w:r>
          </w:p>
        </w:tc>
        <w:tc>
          <w:tcPr>
            <w:tcW w:w="1602"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eastAsia="仿宋_GB2312" w:hAnsiTheme="minorHAnsi" w:cstheme="minorBidi"/>
                <w:b/>
                <w:bCs/>
                <w:kern w:val="2"/>
                <w:sz w:val="24"/>
                <w:szCs w:val="24"/>
                <w:lang w:val="en-US" w:eastAsia="zh-CN" w:bidi="ar-SA"/>
              </w:rPr>
            </w:pPr>
            <w:r>
              <w:rPr>
                <w:rFonts w:hint="eastAsia" w:ascii="仿宋_GB2312" w:eastAsia="仿宋_GB2312" w:hAnsiTheme="minorHAnsi" w:cstheme="minorBidi"/>
                <w:b/>
                <w:bCs/>
                <w:kern w:val="2"/>
                <w:sz w:val="24"/>
                <w:szCs w:val="24"/>
                <w:lang w:val="en-US" w:eastAsia="zh-CN" w:bidi="ar-SA"/>
              </w:rPr>
              <w:t>风险颜色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trPr>
        <w:tc>
          <w:tcPr>
            <w:tcW w:w="140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＞320</w:t>
            </w:r>
          </w:p>
        </w:tc>
        <w:tc>
          <w:tcPr>
            <w:tcW w:w="530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极其危险，需停止作业立即采取紧急措施</w:t>
            </w:r>
          </w:p>
        </w:tc>
        <w:tc>
          <w:tcPr>
            <w:tcW w:w="1414"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重大风险</w:t>
            </w:r>
          </w:p>
        </w:tc>
        <w:tc>
          <w:tcPr>
            <w:tcW w:w="1602"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A级/红色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trPr>
        <w:tc>
          <w:tcPr>
            <w:tcW w:w="140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190-320</w:t>
            </w:r>
          </w:p>
        </w:tc>
        <w:tc>
          <w:tcPr>
            <w:tcW w:w="530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显著或高度危险，需整改或策划相应控制措施</w:t>
            </w:r>
          </w:p>
        </w:tc>
        <w:tc>
          <w:tcPr>
            <w:tcW w:w="1414"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较大风险</w:t>
            </w:r>
          </w:p>
        </w:tc>
        <w:tc>
          <w:tcPr>
            <w:tcW w:w="1602"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B级/橙色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40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70-190</w:t>
            </w:r>
          </w:p>
        </w:tc>
        <w:tc>
          <w:tcPr>
            <w:tcW w:w="530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一般危险，需加以控制</w:t>
            </w:r>
          </w:p>
        </w:tc>
        <w:tc>
          <w:tcPr>
            <w:tcW w:w="1414"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default"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一般风险</w:t>
            </w:r>
          </w:p>
        </w:tc>
        <w:tc>
          <w:tcPr>
            <w:tcW w:w="1602"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C级/黄色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trPr>
        <w:tc>
          <w:tcPr>
            <w:tcW w:w="140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20-70</w:t>
            </w:r>
          </w:p>
        </w:tc>
        <w:tc>
          <w:tcPr>
            <w:tcW w:w="5301" w:type="dxa"/>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稍有危险，可以接受</w:t>
            </w:r>
          </w:p>
        </w:tc>
        <w:tc>
          <w:tcPr>
            <w:tcW w:w="1414" w:type="dxa"/>
            <w:vMerge w:val="restart"/>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default"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低风险</w:t>
            </w:r>
          </w:p>
        </w:tc>
        <w:tc>
          <w:tcPr>
            <w:tcW w:w="1602" w:type="dxa"/>
            <w:vMerge w:val="restart"/>
            <w:shd w:val="clear" w:color="auto" w:fill="FFFFFF"/>
            <w:noWrap w:val="0"/>
            <w:tcMar>
              <w:top w:w="60" w:type="dxa"/>
              <w:left w:w="60" w:type="dxa"/>
              <w:bottom w:w="60" w:type="dxa"/>
              <w:right w:w="60" w:type="dxa"/>
            </w:tcMar>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4"/>
                <w:szCs w:val="24"/>
                <w:lang w:val="en-US" w:eastAsia="zh-CN" w:bidi="ar-SA"/>
              </w:rPr>
            </w:pPr>
            <w:r>
              <w:rPr>
                <w:rFonts w:hint="eastAsia" w:ascii="仿宋_GB2312" w:eastAsia="仿宋_GB2312" w:hAnsiTheme="minorHAnsi" w:cstheme="minorBidi"/>
                <w:b w:val="0"/>
                <w:bCs w:val="0"/>
                <w:kern w:val="2"/>
                <w:sz w:val="24"/>
                <w:szCs w:val="24"/>
                <w:lang w:val="en-US" w:eastAsia="zh-CN" w:bidi="ar-SA"/>
              </w:rPr>
              <w:t>D级/蓝色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401"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eastAsia="仿宋_GB2312" w:hAnsiTheme="minorHAnsi" w:cstheme="minorBidi"/>
                <w:b w:val="0"/>
                <w:bCs w:val="0"/>
                <w:kern w:val="2"/>
                <w:sz w:val="28"/>
                <w:szCs w:val="28"/>
                <w:lang w:val="en-US" w:eastAsia="zh-CN" w:bidi="ar-SA"/>
              </w:rPr>
            </w:pPr>
            <w:r>
              <w:rPr>
                <w:rFonts w:hint="eastAsia" w:ascii="仿宋_GB2312" w:eastAsia="仿宋_GB2312" w:hAnsiTheme="minorHAnsi" w:cstheme="minorBidi"/>
                <w:b w:val="0"/>
                <w:bCs w:val="0"/>
                <w:kern w:val="2"/>
                <w:sz w:val="24"/>
                <w:szCs w:val="24"/>
                <w:lang w:val="en-US" w:eastAsia="zh-CN" w:bidi="ar-SA"/>
              </w:rPr>
              <w:t>＜20</w:t>
            </w:r>
          </w:p>
        </w:tc>
        <w:tc>
          <w:tcPr>
            <w:tcW w:w="5301"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仿宋_GB2312" w:eastAsia="仿宋_GB2312" w:hAnsiTheme="minorHAnsi" w:cstheme="minorBidi"/>
                <w:b w:val="0"/>
                <w:bCs w:val="0"/>
                <w:kern w:val="2"/>
                <w:sz w:val="28"/>
                <w:szCs w:val="28"/>
                <w:lang w:val="en-US" w:eastAsia="zh-CN" w:bidi="ar-SA"/>
              </w:rPr>
            </w:pPr>
            <w:r>
              <w:rPr>
                <w:rFonts w:hint="eastAsia" w:ascii="仿宋_GB2312" w:eastAsia="仿宋_GB2312" w:hAnsiTheme="minorHAnsi" w:cstheme="minorBidi"/>
                <w:b w:val="0"/>
                <w:bCs w:val="0"/>
                <w:kern w:val="2"/>
                <w:sz w:val="24"/>
                <w:szCs w:val="24"/>
                <w:lang w:val="en-US" w:eastAsia="zh-CN" w:bidi="ar-SA"/>
              </w:rPr>
              <w:t>轻微危害，需稍加注意</w:t>
            </w:r>
          </w:p>
        </w:tc>
        <w:tc>
          <w:tcPr>
            <w:tcW w:w="14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eastAsia="仿宋_GB2312" w:hAnsiTheme="minorHAnsi" w:cstheme="minorBidi"/>
                <w:b w:val="0"/>
                <w:bCs w:val="0"/>
                <w:kern w:val="2"/>
                <w:sz w:val="28"/>
                <w:szCs w:val="28"/>
                <w:lang w:val="en-US" w:eastAsia="zh-CN" w:bidi="ar-SA"/>
              </w:rPr>
            </w:pPr>
          </w:p>
        </w:tc>
        <w:tc>
          <w:tcPr>
            <w:tcW w:w="160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eastAsia="仿宋_GB2312" w:hAnsiTheme="minorHAnsi" w:cstheme="minorBidi"/>
                <w:b w:val="0"/>
                <w:bCs w:val="0"/>
                <w:kern w:val="2"/>
                <w:sz w:val="28"/>
                <w:szCs w:val="28"/>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eastAsia="仿宋_GB2312" w:hAnsiTheme="minorHAnsi" w:cstheme="minorBidi"/>
          <w:b w:val="0"/>
          <w:bCs w:val="0"/>
          <w:kern w:val="2"/>
          <w:sz w:val="28"/>
          <w:szCs w:val="28"/>
          <w:lang w:val="en-US" w:eastAsia="zh-CN" w:bidi="ar-SA"/>
        </w:rPr>
        <w:sectPr>
          <w:headerReference r:id="rId8" w:type="default"/>
          <w:footerReference r:id="rId9" w:type="default"/>
          <w:pgSz w:w="11906" w:h="16838"/>
          <w:pgMar w:top="1440" w:right="1800" w:bottom="1440" w:left="1800" w:header="851" w:footer="992" w:gutter="0"/>
          <w:pgNumType w:fmt="decimal"/>
          <w:cols w:space="425" w:num="1"/>
          <w:docGrid w:type="lines" w:linePitch="312" w:charSpace="0"/>
        </w:sectPr>
      </w:pPr>
    </w:p>
    <w:p>
      <w:pPr>
        <w:widowControl w:val="0"/>
        <w:numPr>
          <w:ilvl w:val="0"/>
          <w:numId w:val="0"/>
        </w:numPr>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主要风险类别、风险等级及控制措施</w:t>
      </w:r>
    </w:p>
    <w:tbl>
      <w:tblPr>
        <w:tblStyle w:val="21"/>
        <w:tblW w:w="15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2182"/>
        <w:gridCol w:w="1794"/>
        <w:gridCol w:w="608"/>
        <w:gridCol w:w="508"/>
        <w:gridCol w:w="672"/>
        <w:gridCol w:w="702"/>
        <w:gridCol w:w="1203"/>
        <w:gridCol w:w="6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81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218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主要危险有害因素</w:t>
            </w:r>
          </w:p>
        </w:tc>
        <w:tc>
          <w:tcPr>
            <w:tcW w:w="1794"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所在区域岗位</w:t>
            </w:r>
          </w:p>
        </w:tc>
        <w:tc>
          <w:tcPr>
            <w:tcW w:w="608"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L</w:t>
            </w:r>
          </w:p>
        </w:tc>
        <w:tc>
          <w:tcPr>
            <w:tcW w:w="508"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E</w:t>
            </w:r>
          </w:p>
        </w:tc>
        <w:tc>
          <w:tcPr>
            <w:tcW w:w="67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C</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D</w:t>
            </w:r>
          </w:p>
        </w:tc>
        <w:tc>
          <w:tcPr>
            <w:tcW w:w="1203"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风险等级</w:t>
            </w:r>
          </w:p>
        </w:tc>
        <w:tc>
          <w:tcPr>
            <w:tcW w:w="6576"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2168" w:firstLineChars="9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rPr>
              <w:t>控制</w:t>
            </w:r>
            <w:r>
              <w:rPr>
                <w:rFonts w:hint="eastAsia" w:ascii="仿宋_GB2312" w:hAnsi="仿宋_GB2312" w:eastAsia="仿宋_GB2312" w:cs="仿宋_GB2312"/>
                <w:b/>
                <w:bCs/>
                <w:sz w:val="24"/>
                <w:szCs w:val="24"/>
              </w:rPr>
              <w:t>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2" w:hRule="atLeast"/>
          <w:jc w:val="center"/>
        </w:trPr>
        <w:tc>
          <w:tcPr>
            <w:tcW w:w="81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218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jc w:val="center"/>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火灾</w:t>
            </w:r>
          </w:p>
        </w:tc>
        <w:tc>
          <w:tcPr>
            <w:tcW w:w="1794"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办公场所、建设工地、设备设施</w:t>
            </w:r>
            <w:r>
              <w:rPr>
                <w:rFonts w:hint="eastAsia" w:ascii="仿宋_GB2312" w:hAnsi="仿宋_GB2312" w:eastAsia="仿宋_GB2312" w:cs="仿宋_GB2312"/>
                <w:bCs/>
                <w:sz w:val="22"/>
                <w:szCs w:val="22"/>
                <w:lang w:val="zh-CN"/>
              </w:rPr>
              <w:t>车</w:t>
            </w:r>
            <w:r>
              <w:rPr>
                <w:rFonts w:hint="eastAsia" w:ascii="仿宋_GB2312" w:hAnsi="仿宋_GB2312" w:eastAsia="仿宋_GB2312" w:cs="仿宋_GB2312"/>
                <w:bCs/>
                <w:sz w:val="22"/>
                <w:szCs w:val="22"/>
                <w:lang w:val="en-US" w:eastAsia="zh-CN"/>
              </w:rPr>
              <w:t>船</w:t>
            </w:r>
            <w:r>
              <w:rPr>
                <w:rFonts w:hint="eastAsia" w:ascii="仿宋_GB2312" w:hAnsi="仿宋_GB2312" w:eastAsia="仿宋_GB2312" w:cs="仿宋_GB2312"/>
                <w:bCs/>
                <w:sz w:val="22"/>
                <w:szCs w:val="22"/>
                <w:lang w:val="zh-CN"/>
              </w:rPr>
              <w:t>、</w:t>
            </w:r>
            <w:r>
              <w:rPr>
                <w:rFonts w:hint="eastAsia" w:ascii="仿宋_GB2312" w:hAnsi="仿宋_GB2312" w:eastAsia="仿宋_GB2312" w:cs="仿宋_GB2312"/>
                <w:bCs/>
                <w:sz w:val="22"/>
                <w:szCs w:val="22"/>
                <w:lang w:val="en-US" w:eastAsia="zh-CN"/>
              </w:rPr>
              <w:t>场站、码头等</w:t>
            </w:r>
          </w:p>
        </w:tc>
        <w:tc>
          <w:tcPr>
            <w:tcW w:w="608"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eastAsia="zh-CN"/>
              </w:rPr>
            </w:pPr>
            <w:r>
              <w:rPr>
                <w:rFonts w:hint="eastAsia" w:ascii="仿宋_GB2312" w:hAnsi="仿宋_GB2312" w:eastAsia="仿宋_GB2312" w:cs="仿宋_GB2312"/>
                <w:bCs/>
                <w:sz w:val="22"/>
                <w:szCs w:val="22"/>
                <w:lang w:val="en-US" w:eastAsia="zh-CN"/>
              </w:rPr>
              <w:t>1</w:t>
            </w:r>
          </w:p>
        </w:tc>
        <w:tc>
          <w:tcPr>
            <w:tcW w:w="508"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w:t>
            </w:r>
          </w:p>
        </w:tc>
        <w:tc>
          <w:tcPr>
            <w:tcW w:w="67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100</w:t>
            </w:r>
          </w:p>
        </w:tc>
        <w:tc>
          <w:tcPr>
            <w:tcW w:w="70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2</w:t>
            </w:r>
            <w:r>
              <w:rPr>
                <w:rFonts w:hint="eastAsia" w:ascii="仿宋_GB2312" w:hAnsi="仿宋_GB2312" w:eastAsia="仿宋_GB2312" w:cs="仿宋_GB2312"/>
                <w:bCs/>
                <w:sz w:val="22"/>
                <w:szCs w:val="22"/>
                <w:lang w:val="zh-CN"/>
              </w:rPr>
              <w:t>00</w:t>
            </w:r>
          </w:p>
        </w:tc>
        <w:tc>
          <w:tcPr>
            <w:tcW w:w="1203"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B级/</w:t>
            </w:r>
            <w:r>
              <w:rPr>
                <w:rFonts w:hint="eastAsia" w:ascii="仿宋_GB2312" w:hAnsi="仿宋_GB2312" w:eastAsia="仿宋_GB2312" w:cs="仿宋_GB2312"/>
                <w:bCs/>
                <w:color w:val="FFC000"/>
                <w:sz w:val="22"/>
                <w:szCs w:val="22"/>
                <w:lang w:val="en-US" w:eastAsia="zh-CN"/>
              </w:rPr>
              <w:t>橙色</w:t>
            </w:r>
          </w:p>
        </w:tc>
        <w:tc>
          <w:tcPr>
            <w:tcW w:w="6576" w:type="dxa"/>
            <w:noWrap w:val="0"/>
            <w:vAlign w:val="top"/>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1、定期检查电气线路、用电设施、保持良好接地接零</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2、作业区域内严禁烟火（厨房除外）</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eastAsia="zh-CN"/>
              </w:rPr>
            </w:pPr>
            <w:r>
              <w:rPr>
                <w:rFonts w:hint="eastAsia" w:ascii="仿宋_GB2312" w:hAnsi="仿宋_GB2312" w:eastAsia="仿宋_GB2312" w:cs="仿宋_GB2312"/>
                <w:bCs/>
                <w:sz w:val="22"/>
                <w:szCs w:val="22"/>
                <w:lang w:val="zh-CN"/>
              </w:rPr>
              <w:t>3、禁止携带手机等物品进入</w:t>
            </w:r>
            <w:r>
              <w:rPr>
                <w:rFonts w:hint="eastAsia" w:ascii="仿宋_GB2312" w:hAnsi="仿宋_GB2312" w:eastAsia="仿宋_GB2312" w:cs="仿宋_GB2312"/>
                <w:bCs/>
                <w:sz w:val="22"/>
                <w:szCs w:val="22"/>
                <w:lang w:val="en-US" w:eastAsia="zh-CN"/>
              </w:rPr>
              <w:t>装卸地</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4、人员按操作规程操作</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5、保持消防通道畅通</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6、定期检查消防设施，保持灭火设施完好、有效</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7、对新进员工及在岗员工进行培训、特殊岗位持证上岗</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8、设备设施定期检查、保养</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9、保持良好的通风</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eastAsia="zh-CN"/>
              </w:rPr>
            </w:pPr>
            <w:r>
              <w:rPr>
                <w:rFonts w:hint="eastAsia" w:ascii="仿宋_GB2312" w:hAnsi="仿宋_GB2312" w:eastAsia="仿宋_GB2312" w:cs="仿宋_GB2312"/>
                <w:bCs/>
                <w:sz w:val="22"/>
                <w:szCs w:val="22"/>
                <w:lang w:val="zh-CN"/>
              </w:rPr>
              <w:t>1</w:t>
            </w:r>
            <w:r>
              <w:rPr>
                <w:rFonts w:hint="eastAsia" w:ascii="仿宋_GB2312" w:hAnsi="仿宋_GB2312" w:eastAsia="仿宋_GB2312" w:cs="仿宋_GB2312"/>
                <w:bCs/>
                <w:sz w:val="22"/>
                <w:szCs w:val="22"/>
                <w:lang w:val="en-US" w:eastAsia="zh-CN"/>
              </w:rPr>
              <w:t>0</w:t>
            </w:r>
            <w:r>
              <w:rPr>
                <w:rFonts w:hint="eastAsia" w:ascii="仿宋_GB2312" w:hAnsi="仿宋_GB2312" w:eastAsia="仿宋_GB2312" w:cs="仿宋_GB2312"/>
                <w:bCs/>
                <w:sz w:val="22"/>
                <w:szCs w:val="22"/>
                <w:lang w:val="zh-CN"/>
              </w:rPr>
              <w:t>、张贴</w:t>
            </w:r>
            <w:r>
              <w:rPr>
                <w:rFonts w:hint="eastAsia" w:ascii="仿宋_GB2312" w:hAnsi="仿宋_GB2312" w:eastAsia="仿宋_GB2312" w:cs="仿宋_GB2312"/>
                <w:bCs/>
                <w:sz w:val="22"/>
                <w:szCs w:val="22"/>
                <w:lang w:val="en-US" w:eastAsia="zh-CN"/>
              </w:rPr>
              <w:t>危险</w:t>
            </w:r>
            <w:r>
              <w:rPr>
                <w:rFonts w:hint="eastAsia" w:ascii="仿宋_GB2312" w:hAnsi="仿宋_GB2312" w:eastAsia="仿宋_GB2312" w:cs="仿宋_GB2312"/>
                <w:bCs/>
                <w:sz w:val="22"/>
                <w:szCs w:val="22"/>
                <w:lang w:val="zh-CN"/>
              </w:rPr>
              <w:t>化学品安全技术</w:t>
            </w:r>
            <w:r>
              <w:rPr>
                <w:rFonts w:hint="eastAsia" w:ascii="仿宋_GB2312" w:hAnsi="仿宋_GB2312" w:eastAsia="仿宋_GB2312" w:cs="仿宋_GB2312"/>
                <w:bCs/>
                <w:sz w:val="22"/>
                <w:szCs w:val="22"/>
                <w:lang w:val="en-US" w:eastAsia="zh-CN"/>
              </w:rPr>
              <w:t>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3" w:hRule="atLeast"/>
          <w:jc w:val="center"/>
        </w:trPr>
        <w:tc>
          <w:tcPr>
            <w:tcW w:w="81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218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jc w:val="center"/>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爆炸</w:t>
            </w:r>
          </w:p>
        </w:tc>
        <w:tc>
          <w:tcPr>
            <w:tcW w:w="1794"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2"/>
                <w:szCs w:val="22"/>
                <w:lang w:val="en-US"/>
              </w:rPr>
            </w:pPr>
            <w:r>
              <w:rPr>
                <w:rFonts w:hint="eastAsia" w:ascii="仿宋_GB2312" w:hAnsi="仿宋_GB2312" w:eastAsia="仿宋_GB2312" w:cs="仿宋_GB2312"/>
                <w:bCs/>
                <w:sz w:val="22"/>
                <w:szCs w:val="22"/>
                <w:lang w:val="en-US" w:eastAsia="zh-CN"/>
              </w:rPr>
              <w:t>危化品运输车船、建设工地</w:t>
            </w:r>
          </w:p>
        </w:tc>
        <w:tc>
          <w:tcPr>
            <w:tcW w:w="608"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1</w:t>
            </w:r>
          </w:p>
        </w:tc>
        <w:tc>
          <w:tcPr>
            <w:tcW w:w="508"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w:t>
            </w:r>
          </w:p>
        </w:tc>
        <w:tc>
          <w:tcPr>
            <w:tcW w:w="67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100</w:t>
            </w:r>
          </w:p>
        </w:tc>
        <w:tc>
          <w:tcPr>
            <w:tcW w:w="70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200</w:t>
            </w:r>
          </w:p>
        </w:tc>
        <w:tc>
          <w:tcPr>
            <w:tcW w:w="1203"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B级/</w:t>
            </w:r>
            <w:r>
              <w:rPr>
                <w:rFonts w:hint="eastAsia" w:ascii="仿宋_GB2312" w:hAnsi="仿宋_GB2312" w:eastAsia="仿宋_GB2312" w:cs="仿宋_GB2312"/>
                <w:bCs/>
                <w:color w:val="FFC000"/>
                <w:sz w:val="22"/>
                <w:szCs w:val="22"/>
                <w:lang w:val="en-US" w:eastAsia="zh-CN"/>
              </w:rPr>
              <w:t>橙色</w:t>
            </w:r>
          </w:p>
        </w:tc>
        <w:tc>
          <w:tcPr>
            <w:tcW w:w="6576" w:type="dxa"/>
            <w:noWrap w:val="0"/>
            <w:vAlign w:val="top"/>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1、定期检查电气线路、用电设施、保持良好接地接零</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2、作业区域内严禁烟火</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zh-CN"/>
              </w:rPr>
              <w:t>3、禁止携带手机等物品进入</w:t>
            </w:r>
            <w:r>
              <w:rPr>
                <w:rFonts w:hint="eastAsia" w:ascii="仿宋_GB2312" w:hAnsi="仿宋_GB2312" w:eastAsia="仿宋_GB2312" w:cs="仿宋_GB2312"/>
                <w:bCs/>
                <w:sz w:val="22"/>
                <w:szCs w:val="22"/>
                <w:lang w:val="en-US" w:eastAsia="zh-CN"/>
              </w:rPr>
              <w:t>装卸地</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4、人员按操作规程操作</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5、保持消防通道畅通</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6、定期检查消防设施，保持灭火设施完好、有效</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7、对新进员工及在岗员工进行培训、特殊岗位持证上岗</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8、设备设施定期检查、保养</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9、保持良好的通风</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w:t>
            </w:r>
            <w:r>
              <w:rPr>
                <w:rFonts w:hint="eastAsia" w:ascii="仿宋_GB2312" w:hAnsi="仿宋_GB2312" w:eastAsia="仿宋_GB2312" w:cs="仿宋_GB2312"/>
                <w:bCs/>
                <w:sz w:val="22"/>
                <w:szCs w:val="22"/>
                <w:lang w:val="en-US" w:eastAsia="zh-CN"/>
              </w:rPr>
              <w:t>0</w:t>
            </w:r>
            <w:r>
              <w:rPr>
                <w:rFonts w:hint="eastAsia" w:ascii="仿宋_GB2312" w:hAnsi="仿宋_GB2312" w:eastAsia="仿宋_GB2312" w:cs="仿宋_GB2312"/>
                <w:bCs/>
                <w:sz w:val="22"/>
                <w:szCs w:val="22"/>
                <w:lang w:val="zh-CN"/>
              </w:rPr>
              <w:t>、使用防爆型电气设备</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eastAsia="zh-CN"/>
              </w:rPr>
            </w:pPr>
            <w:r>
              <w:rPr>
                <w:rFonts w:hint="eastAsia" w:ascii="仿宋_GB2312" w:hAnsi="仿宋_GB2312" w:eastAsia="仿宋_GB2312" w:cs="仿宋_GB2312"/>
                <w:bCs/>
                <w:sz w:val="22"/>
                <w:szCs w:val="22"/>
                <w:lang w:val="en-US" w:eastAsia="zh-CN"/>
              </w:rPr>
              <w:t>11</w:t>
            </w:r>
            <w:r>
              <w:rPr>
                <w:rFonts w:hint="eastAsia" w:ascii="仿宋_GB2312" w:hAnsi="仿宋_GB2312" w:eastAsia="仿宋_GB2312" w:cs="仿宋_GB2312"/>
                <w:bCs/>
                <w:sz w:val="22"/>
                <w:szCs w:val="22"/>
                <w:lang w:val="zh-CN"/>
              </w:rPr>
              <w:t>、张贴危险</w:t>
            </w:r>
            <w:r>
              <w:rPr>
                <w:rFonts w:hint="eastAsia" w:ascii="仿宋_GB2312" w:hAnsi="仿宋_GB2312" w:eastAsia="仿宋_GB2312" w:cs="仿宋_GB2312"/>
                <w:bCs/>
                <w:sz w:val="22"/>
                <w:szCs w:val="22"/>
                <w:lang w:val="en-US" w:eastAsia="zh-CN"/>
              </w:rPr>
              <w:t>货物</w:t>
            </w:r>
            <w:r>
              <w:rPr>
                <w:rFonts w:hint="eastAsia" w:ascii="仿宋_GB2312" w:hAnsi="仿宋_GB2312" w:eastAsia="仿宋_GB2312" w:cs="仿宋_GB2312"/>
                <w:bCs/>
                <w:sz w:val="22"/>
                <w:szCs w:val="22"/>
                <w:lang w:val="zh-CN"/>
              </w:rPr>
              <w:t>安全</w:t>
            </w:r>
            <w:r>
              <w:rPr>
                <w:rFonts w:hint="eastAsia" w:ascii="仿宋_GB2312" w:hAnsi="仿宋_GB2312" w:eastAsia="仿宋_GB2312" w:cs="仿宋_GB2312"/>
                <w:bCs/>
                <w:sz w:val="22"/>
                <w:szCs w:val="22"/>
                <w:lang w:val="en-US" w:eastAsia="zh-CN"/>
              </w:rPr>
              <w:t>技术卡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1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218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道路交通事故</w:t>
            </w:r>
          </w:p>
        </w:tc>
        <w:tc>
          <w:tcPr>
            <w:tcW w:w="1794"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道路运输过程</w:t>
            </w:r>
          </w:p>
        </w:tc>
        <w:tc>
          <w:tcPr>
            <w:tcW w:w="608"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0.5</w:t>
            </w:r>
          </w:p>
        </w:tc>
        <w:tc>
          <w:tcPr>
            <w:tcW w:w="508"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67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80</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120</w:t>
            </w:r>
          </w:p>
        </w:tc>
        <w:tc>
          <w:tcPr>
            <w:tcW w:w="1203"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C级/</w:t>
            </w:r>
            <w:r>
              <w:rPr>
                <w:rFonts w:hint="eastAsia" w:ascii="仿宋_GB2312" w:hAnsi="仿宋_GB2312" w:eastAsia="仿宋_GB2312" w:cs="仿宋_GB2312"/>
                <w:bCs/>
                <w:color w:val="FFFF00"/>
                <w:sz w:val="22"/>
                <w:szCs w:val="22"/>
                <w:lang w:val="en-US" w:eastAsia="zh-CN"/>
              </w:rPr>
              <w:t>黄色</w:t>
            </w:r>
          </w:p>
        </w:tc>
        <w:tc>
          <w:tcPr>
            <w:tcW w:w="6576" w:type="dxa"/>
            <w:noWrap w:val="0"/>
            <w:vAlign w:val="top"/>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加强安全教育培训、预防性驾驶教育培训</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落实各项制度，遵守操作规程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1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218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水运交通事故</w:t>
            </w:r>
          </w:p>
        </w:tc>
        <w:tc>
          <w:tcPr>
            <w:tcW w:w="1794"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水运全过程</w:t>
            </w:r>
          </w:p>
        </w:tc>
        <w:tc>
          <w:tcPr>
            <w:tcW w:w="608"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0.5</w:t>
            </w:r>
          </w:p>
        </w:tc>
        <w:tc>
          <w:tcPr>
            <w:tcW w:w="508"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67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80</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120</w:t>
            </w:r>
          </w:p>
        </w:tc>
        <w:tc>
          <w:tcPr>
            <w:tcW w:w="1203"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C级/</w:t>
            </w:r>
            <w:r>
              <w:rPr>
                <w:rFonts w:hint="eastAsia" w:ascii="仿宋_GB2312" w:hAnsi="仿宋_GB2312" w:eastAsia="仿宋_GB2312" w:cs="仿宋_GB2312"/>
                <w:bCs/>
                <w:color w:val="FFFF00"/>
                <w:sz w:val="22"/>
                <w:szCs w:val="22"/>
                <w:lang w:val="en-US" w:eastAsia="zh-CN"/>
              </w:rPr>
              <w:t>黄色</w:t>
            </w:r>
          </w:p>
        </w:tc>
        <w:tc>
          <w:tcPr>
            <w:tcW w:w="6576" w:type="dxa"/>
            <w:noWrap w:val="0"/>
            <w:vAlign w:val="top"/>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加强安全教育培训、预防性驾驶教育培训</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落实各项制度，遵守操作规程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jc w:val="center"/>
        </w:trPr>
        <w:tc>
          <w:tcPr>
            <w:tcW w:w="81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p>
        </w:tc>
        <w:tc>
          <w:tcPr>
            <w:tcW w:w="218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jc w:val="center"/>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泄漏</w:t>
            </w:r>
          </w:p>
        </w:tc>
        <w:tc>
          <w:tcPr>
            <w:tcW w:w="1794"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车辆罐体、船舱、仓库</w:t>
            </w:r>
          </w:p>
        </w:tc>
        <w:tc>
          <w:tcPr>
            <w:tcW w:w="608"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0.5</w:t>
            </w:r>
          </w:p>
        </w:tc>
        <w:tc>
          <w:tcPr>
            <w:tcW w:w="508"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w:t>
            </w:r>
          </w:p>
        </w:tc>
        <w:tc>
          <w:tcPr>
            <w:tcW w:w="67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80</w:t>
            </w:r>
          </w:p>
        </w:tc>
        <w:tc>
          <w:tcPr>
            <w:tcW w:w="70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120</w:t>
            </w:r>
          </w:p>
        </w:tc>
        <w:tc>
          <w:tcPr>
            <w:tcW w:w="1203"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C级/</w:t>
            </w:r>
            <w:r>
              <w:rPr>
                <w:rFonts w:hint="eastAsia" w:ascii="仿宋_GB2312" w:hAnsi="仿宋_GB2312" w:eastAsia="仿宋_GB2312" w:cs="仿宋_GB2312"/>
                <w:bCs/>
                <w:color w:val="FFFF00"/>
                <w:sz w:val="22"/>
                <w:szCs w:val="22"/>
                <w:lang w:val="en-US" w:eastAsia="zh-CN"/>
              </w:rPr>
              <w:t>黄色</w:t>
            </w:r>
          </w:p>
        </w:tc>
        <w:tc>
          <w:tcPr>
            <w:tcW w:w="6576" w:type="dxa"/>
            <w:noWrap w:val="0"/>
            <w:vAlign w:val="top"/>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1、严格执行“三检”制度，防止泄漏发生</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2、作业完成后，及时密封好各种容器</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3、作业人员按安全操作规程操作</w:t>
            </w:r>
            <w:r>
              <w:rPr>
                <w:rFonts w:hint="eastAsia" w:ascii="仿宋_GB2312" w:hAnsi="仿宋_GB2312" w:eastAsia="仿宋_GB2312" w:cs="仿宋_GB2312"/>
                <w:bCs/>
                <w:sz w:val="22"/>
                <w:szCs w:val="22"/>
                <w:lang w:val="zh-CN" w:eastAsia="zh-CN"/>
              </w:rPr>
              <w:t>；</w:t>
            </w:r>
            <w:r>
              <w:rPr>
                <w:rFonts w:hint="eastAsia" w:ascii="仿宋_GB2312" w:hAnsi="仿宋_GB2312" w:eastAsia="仿宋_GB2312" w:cs="仿宋_GB2312"/>
                <w:bCs/>
                <w:sz w:val="22"/>
                <w:szCs w:val="22"/>
                <w:lang w:val="zh-CN"/>
              </w:rPr>
              <w:t>禁止摔打、碰撞</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4</w:t>
            </w:r>
            <w:r>
              <w:rPr>
                <w:rFonts w:hint="eastAsia" w:ascii="仿宋_GB2312" w:hAnsi="仿宋_GB2312" w:eastAsia="仿宋_GB2312" w:cs="仿宋_GB2312"/>
                <w:bCs/>
                <w:sz w:val="22"/>
                <w:szCs w:val="22"/>
                <w:lang w:val="zh-CN"/>
              </w:rPr>
              <w:t>、保持良好的通风</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5</w:t>
            </w:r>
            <w:r>
              <w:rPr>
                <w:rFonts w:hint="eastAsia" w:ascii="仿宋_GB2312" w:hAnsi="仿宋_GB2312" w:eastAsia="仿宋_GB2312" w:cs="仿宋_GB2312"/>
                <w:bCs/>
                <w:sz w:val="22"/>
                <w:szCs w:val="22"/>
                <w:lang w:val="zh-CN"/>
              </w:rPr>
              <w:t>、张贴危险</w:t>
            </w:r>
            <w:r>
              <w:rPr>
                <w:rFonts w:hint="eastAsia" w:ascii="仿宋_GB2312" w:hAnsi="仿宋_GB2312" w:eastAsia="仿宋_GB2312" w:cs="仿宋_GB2312"/>
                <w:bCs/>
                <w:sz w:val="22"/>
                <w:szCs w:val="22"/>
                <w:lang w:val="en-US" w:eastAsia="zh-CN"/>
              </w:rPr>
              <w:t>货物</w:t>
            </w:r>
            <w:r>
              <w:rPr>
                <w:rFonts w:hint="eastAsia" w:ascii="仿宋_GB2312" w:hAnsi="仿宋_GB2312" w:eastAsia="仿宋_GB2312" w:cs="仿宋_GB2312"/>
                <w:bCs/>
                <w:sz w:val="22"/>
                <w:szCs w:val="22"/>
                <w:lang w:val="zh-CN"/>
              </w:rPr>
              <w:t>安全</w:t>
            </w:r>
            <w:r>
              <w:rPr>
                <w:rFonts w:hint="eastAsia" w:ascii="仿宋_GB2312" w:hAnsi="仿宋_GB2312" w:eastAsia="仿宋_GB2312" w:cs="仿宋_GB2312"/>
                <w:bCs/>
                <w:sz w:val="22"/>
                <w:szCs w:val="22"/>
                <w:lang w:val="en-US" w:eastAsia="zh-CN"/>
              </w:rPr>
              <w:t>技术卡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81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c>
          <w:tcPr>
            <w:tcW w:w="218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jc w:val="center"/>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高空坠落</w:t>
            </w:r>
          </w:p>
        </w:tc>
        <w:tc>
          <w:tcPr>
            <w:tcW w:w="1794"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2米以上高处作业</w:t>
            </w:r>
          </w:p>
        </w:tc>
        <w:tc>
          <w:tcPr>
            <w:tcW w:w="608"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w:t>
            </w:r>
          </w:p>
        </w:tc>
        <w:tc>
          <w:tcPr>
            <w:tcW w:w="508"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eastAsia="zh-CN"/>
              </w:rPr>
            </w:pPr>
            <w:r>
              <w:rPr>
                <w:rFonts w:hint="eastAsia" w:ascii="仿宋_GB2312" w:hAnsi="仿宋_GB2312" w:eastAsia="仿宋_GB2312" w:cs="仿宋_GB2312"/>
                <w:bCs/>
                <w:sz w:val="22"/>
                <w:szCs w:val="22"/>
                <w:lang w:val="en-US" w:eastAsia="zh-CN"/>
              </w:rPr>
              <w:t>3</w:t>
            </w:r>
          </w:p>
        </w:tc>
        <w:tc>
          <w:tcPr>
            <w:tcW w:w="67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60</w:t>
            </w:r>
          </w:p>
        </w:tc>
        <w:tc>
          <w:tcPr>
            <w:tcW w:w="70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zh-CN"/>
              </w:rPr>
              <w:t>1</w:t>
            </w:r>
            <w:r>
              <w:rPr>
                <w:rFonts w:hint="eastAsia" w:ascii="仿宋_GB2312" w:hAnsi="仿宋_GB2312" w:eastAsia="仿宋_GB2312" w:cs="仿宋_GB2312"/>
                <w:bCs/>
                <w:sz w:val="22"/>
                <w:szCs w:val="22"/>
                <w:lang w:val="en-US" w:eastAsia="zh-CN"/>
              </w:rPr>
              <w:t>80</w:t>
            </w:r>
          </w:p>
        </w:tc>
        <w:tc>
          <w:tcPr>
            <w:tcW w:w="1203"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C级/</w:t>
            </w:r>
            <w:r>
              <w:rPr>
                <w:rFonts w:hint="eastAsia" w:ascii="仿宋_GB2312" w:hAnsi="仿宋_GB2312" w:eastAsia="仿宋_GB2312" w:cs="仿宋_GB2312"/>
                <w:bCs/>
                <w:color w:val="FFFF00"/>
                <w:sz w:val="22"/>
                <w:szCs w:val="22"/>
                <w:lang w:val="en-US" w:eastAsia="zh-CN"/>
              </w:rPr>
              <w:t>黄色</w:t>
            </w:r>
          </w:p>
        </w:tc>
        <w:tc>
          <w:tcPr>
            <w:tcW w:w="6576" w:type="dxa"/>
            <w:noWrap w:val="0"/>
            <w:vAlign w:val="top"/>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定期检查安全防护装置、设备</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对工作人员进行安全培训</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对存在的安全隐患及时排除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jc w:val="center"/>
        </w:trPr>
        <w:tc>
          <w:tcPr>
            <w:tcW w:w="81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7</w:t>
            </w:r>
          </w:p>
        </w:tc>
        <w:tc>
          <w:tcPr>
            <w:tcW w:w="218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jc w:val="center"/>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触电</w:t>
            </w:r>
          </w:p>
        </w:tc>
        <w:tc>
          <w:tcPr>
            <w:tcW w:w="1794"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办公场所</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场站、码头、仓库、建设工地</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p>
        </w:tc>
        <w:tc>
          <w:tcPr>
            <w:tcW w:w="608"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0.5</w:t>
            </w:r>
          </w:p>
        </w:tc>
        <w:tc>
          <w:tcPr>
            <w:tcW w:w="508"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w:t>
            </w:r>
          </w:p>
        </w:tc>
        <w:tc>
          <w:tcPr>
            <w:tcW w:w="67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80</w:t>
            </w:r>
          </w:p>
        </w:tc>
        <w:tc>
          <w:tcPr>
            <w:tcW w:w="70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120</w:t>
            </w:r>
          </w:p>
        </w:tc>
        <w:tc>
          <w:tcPr>
            <w:tcW w:w="1203"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C级/</w:t>
            </w:r>
            <w:r>
              <w:rPr>
                <w:rFonts w:hint="eastAsia" w:ascii="仿宋_GB2312" w:hAnsi="仿宋_GB2312" w:eastAsia="仿宋_GB2312" w:cs="仿宋_GB2312"/>
                <w:bCs/>
                <w:color w:val="FFFF00"/>
                <w:sz w:val="22"/>
                <w:szCs w:val="22"/>
                <w:lang w:val="en-US" w:eastAsia="zh-CN"/>
              </w:rPr>
              <w:t>黄色</w:t>
            </w:r>
          </w:p>
        </w:tc>
        <w:tc>
          <w:tcPr>
            <w:tcW w:w="6576" w:type="dxa"/>
            <w:noWrap w:val="0"/>
            <w:vAlign w:val="top"/>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1、定期检查电气线路、用电设施、保持良好接地接零</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2、安装漏电保护器</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3、人员按操作规程操作</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4、对新进员工及在岗员工进行培训</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5、设备设施定期检查、保养按操作规程操作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81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8</w:t>
            </w:r>
          </w:p>
        </w:tc>
        <w:tc>
          <w:tcPr>
            <w:tcW w:w="218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jc w:val="center"/>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车辆伤害</w:t>
            </w:r>
          </w:p>
        </w:tc>
        <w:tc>
          <w:tcPr>
            <w:tcW w:w="1794"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default"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码头、工地、道路等</w:t>
            </w:r>
          </w:p>
        </w:tc>
        <w:tc>
          <w:tcPr>
            <w:tcW w:w="608"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w:t>
            </w:r>
          </w:p>
        </w:tc>
        <w:tc>
          <w:tcPr>
            <w:tcW w:w="508"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w:t>
            </w:r>
          </w:p>
        </w:tc>
        <w:tc>
          <w:tcPr>
            <w:tcW w:w="67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60</w:t>
            </w:r>
          </w:p>
        </w:tc>
        <w:tc>
          <w:tcPr>
            <w:tcW w:w="70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120</w:t>
            </w:r>
          </w:p>
        </w:tc>
        <w:tc>
          <w:tcPr>
            <w:tcW w:w="1203"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C级/</w:t>
            </w:r>
            <w:r>
              <w:rPr>
                <w:rFonts w:hint="eastAsia" w:ascii="仿宋_GB2312" w:hAnsi="仿宋_GB2312" w:eastAsia="仿宋_GB2312" w:cs="仿宋_GB2312"/>
                <w:bCs/>
                <w:color w:val="FFFF00"/>
                <w:sz w:val="22"/>
                <w:szCs w:val="22"/>
                <w:lang w:val="en-US" w:eastAsia="zh-CN"/>
              </w:rPr>
              <w:t>黄色</w:t>
            </w:r>
          </w:p>
        </w:tc>
        <w:tc>
          <w:tcPr>
            <w:tcW w:w="6576" w:type="dxa"/>
            <w:noWrap w:val="0"/>
            <w:vAlign w:val="top"/>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对工作人员进行安全培训</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工作人员严格按操作规程作业</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加强</w:t>
            </w:r>
            <w:r>
              <w:rPr>
                <w:rFonts w:hint="eastAsia" w:ascii="仿宋_GB2312" w:hAnsi="仿宋_GB2312" w:eastAsia="仿宋_GB2312" w:cs="仿宋_GB2312"/>
                <w:bCs/>
                <w:sz w:val="22"/>
                <w:szCs w:val="22"/>
                <w:lang w:val="en-US" w:eastAsia="zh-CN"/>
              </w:rPr>
              <w:t>车辆技术和危货</w:t>
            </w:r>
            <w:r>
              <w:rPr>
                <w:rFonts w:hint="eastAsia" w:ascii="仿宋_GB2312" w:hAnsi="仿宋_GB2312" w:eastAsia="仿宋_GB2312" w:cs="仿宋_GB2312"/>
                <w:bCs/>
                <w:sz w:val="22"/>
                <w:szCs w:val="22"/>
                <w:lang w:val="zh-CN"/>
              </w:rPr>
              <w:t>安全标识的建设</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维修、清洗、保养等实行挂牌作业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81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9</w:t>
            </w:r>
          </w:p>
        </w:tc>
        <w:tc>
          <w:tcPr>
            <w:tcW w:w="218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jc w:val="center"/>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中毒和窒息</w:t>
            </w:r>
          </w:p>
        </w:tc>
        <w:tc>
          <w:tcPr>
            <w:tcW w:w="1794"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en-US" w:eastAsia="zh-CN"/>
              </w:rPr>
              <w:t>车船</w:t>
            </w:r>
            <w:r>
              <w:rPr>
                <w:rFonts w:hint="eastAsia" w:ascii="仿宋_GB2312" w:hAnsi="仿宋_GB2312" w:eastAsia="仿宋_GB2312" w:cs="仿宋_GB2312"/>
                <w:bCs/>
                <w:sz w:val="22"/>
                <w:szCs w:val="22"/>
                <w:lang w:val="zh-CN"/>
              </w:rPr>
              <w:t>、仓库、</w:t>
            </w:r>
            <w:r>
              <w:rPr>
                <w:rFonts w:hint="eastAsia" w:ascii="仿宋_GB2312" w:hAnsi="仿宋_GB2312" w:eastAsia="仿宋_GB2312" w:cs="仿宋_GB2312"/>
                <w:bCs/>
                <w:sz w:val="22"/>
                <w:szCs w:val="22"/>
                <w:lang w:val="en-US" w:eastAsia="zh-CN"/>
              </w:rPr>
              <w:t>受限空间</w:t>
            </w:r>
          </w:p>
        </w:tc>
        <w:tc>
          <w:tcPr>
            <w:tcW w:w="608"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w:t>
            </w:r>
          </w:p>
        </w:tc>
        <w:tc>
          <w:tcPr>
            <w:tcW w:w="508"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w:t>
            </w:r>
          </w:p>
        </w:tc>
        <w:tc>
          <w:tcPr>
            <w:tcW w:w="67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40</w:t>
            </w:r>
          </w:p>
        </w:tc>
        <w:tc>
          <w:tcPr>
            <w:tcW w:w="70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120</w:t>
            </w:r>
          </w:p>
        </w:tc>
        <w:tc>
          <w:tcPr>
            <w:tcW w:w="1203"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C级/</w:t>
            </w:r>
            <w:r>
              <w:rPr>
                <w:rFonts w:hint="eastAsia" w:ascii="仿宋_GB2312" w:hAnsi="仿宋_GB2312" w:eastAsia="仿宋_GB2312" w:cs="仿宋_GB2312"/>
                <w:bCs/>
                <w:color w:val="FFFF00"/>
                <w:sz w:val="22"/>
                <w:szCs w:val="22"/>
                <w:lang w:val="en-US" w:eastAsia="zh-CN"/>
              </w:rPr>
              <w:t>黄色</w:t>
            </w:r>
          </w:p>
        </w:tc>
        <w:tc>
          <w:tcPr>
            <w:tcW w:w="6576" w:type="dxa"/>
            <w:noWrap w:val="0"/>
            <w:vAlign w:val="top"/>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1、加强作业场所通风</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2、使用人员佩戴防护用品</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3、张贴安全警示标志及危险化学品MSDS</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4、对新进员工及在岗员工进行培训</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5、使用完的容器及时密封好，防止挥发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1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218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jc w:val="center"/>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zh-CN"/>
              </w:rPr>
              <w:t>其它</w:t>
            </w:r>
          </w:p>
        </w:tc>
        <w:tc>
          <w:tcPr>
            <w:tcW w:w="1794"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车辆</w:t>
            </w:r>
            <w:r>
              <w:rPr>
                <w:rFonts w:hint="eastAsia" w:ascii="仿宋_GB2312" w:hAnsi="仿宋_GB2312" w:eastAsia="仿宋_GB2312" w:cs="仿宋_GB2312"/>
                <w:bCs/>
                <w:sz w:val="22"/>
                <w:szCs w:val="22"/>
                <w:lang w:val="zh-CN"/>
              </w:rPr>
              <w:t>、仓库</w:t>
            </w:r>
            <w:r>
              <w:rPr>
                <w:rFonts w:hint="eastAsia" w:ascii="仿宋_GB2312" w:hAnsi="仿宋_GB2312" w:eastAsia="仿宋_GB2312" w:cs="仿宋_GB2312"/>
                <w:bCs/>
                <w:sz w:val="22"/>
                <w:szCs w:val="22"/>
                <w:lang w:val="zh-CN" w:eastAsia="zh-CN"/>
              </w:rPr>
              <w:t>、</w:t>
            </w:r>
            <w:r>
              <w:rPr>
                <w:rFonts w:hint="eastAsia" w:ascii="仿宋_GB2312" w:hAnsi="仿宋_GB2312" w:eastAsia="仿宋_GB2312" w:cs="仿宋_GB2312"/>
                <w:bCs/>
                <w:sz w:val="22"/>
                <w:szCs w:val="22"/>
                <w:lang w:val="zh-CN"/>
              </w:rPr>
              <w:t>办公室</w:t>
            </w:r>
          </w:p>
        </w:tc>
        <w:tc>
          <w:tcPr>
            <w:tcW w:w="608"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w:t>
            </w:r>
          </w:p>
        </w:tc>
        <w:tc>
          <w:tcPr>
            <w:tcW w:w="508"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6</w:t>
            </w:r>
          </w:p>
        </w:tc>
        <w:tc>
          <w:tcPr>
            <w:tcW w:w="67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w:t>
            </w:r>
          </w:p>
        </w:tc>
        <w:tc>
          <w:tcPr>
            <w:tcW w:w="702"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54</w:t>
            </w:r>
          </w:p>
        </w:tc>
        <w:tc>
          <w:tcPr>
            <w:tcW w:w="1203" w:type="dxa"/>
            <w:noWrap w:val="0"/>
            <w:vAlign w:val="center"/>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en-US" w:eastAsia="zh-CN"/>
              </w:rPr>
              <w:t>D级/蓝色</w:t>
            </w:r>
          </w:p>
        </w:tc>
        <w:tc>
          <w:tcPr>
            <w:tcW w:w="6576" w:type="dxa"/>
            <w:noWrap w:val="0"/>
            <w:vAlign w:val="top"/>
          </w:tcPr>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en-US" w:eastAsia="zh-CN"/>
              </w:rPr>
            </w:pPr>
            <w:r>
              <w:rPr>
                <w:rFonts w:hint="eastAsia" w:ascii="仿宋_GB2312" w:hAnsi="仿宋_GB2312" w:eastAsia="仿宋_GB2312" w:cs="仿宋_GB2312"/>
                <w:bCs/>
                <w:sz w:val="22"/>
                <w:szCs w:val="22"/>
                <w:lang w:val="zh-CN"/>
              </w:rPr>
              <w:t>1、按操作规程操作</w:t>
            </w:r>
            <w:r>
              <w:rPr>
                <w:rFonts w:hint="eastAsia" w:ascii="仿宋_GB2312" w:hAnsi="仿宋_GB2312" w:eastAsia="仿宋_GB2312" w:cs="仿宋_GB2312"/>
                <w:bCs/>
                <w:sz w:val="22"/>
                <w:szCs w:val="22"/>
                <w:lang w:val="zh-CN" w:eastAsia="zh-CN"/>
              </w:rPr>
              <w:t>；</w:t>
            </w:r>
            <w:r>
              <w:rPr>
                <w:rFonts w:hint="eastAsia" w:ascii="仿宋_GB2312" w:hAnsi="仿宋_GB2312" w:eastAsia="仿宋_GB2312" w:cs="仿宋_GB2312"/>
                <w:bCs/>
                <w:sz w:val="22"/>
                <w:szCs w:val="22"/>
                <w:lang w:val="en-US" w:eastAsia="zh-CN"/>
              </w:rPr>
              <w:t>按规定用火、用电</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2、对新进员工及在岗员工进行培训</w:t>
            </w:r>
          </w:p>
          <w:p>
            <w:pPr>
              <w:keepNext w:val="0"/>
              <w:keepLines w:val="0"/>
              <w:pageBreakBefore w:val="0"/>
              <w:widowControl w:val="0"/>
              <w:kinsoku/>
              <w:wordWrap/>
              <w:overflowPunct/>
              <w:topLinePunct/>
              <w:autoSpaceDE/>
              <w:autoSpaceDN/>
              <w:bidi w:val="0"/>
              <w:adjustRightInd/>
              <w:snapToGrid w:val="0"/>
              <w:spacing w:line="340" w:lineRule="exact"/>
              <w:textAlignment w:val="auto"/>
              <w:rPr>
                <w:rFonts w:hint="eastAsia" w:ascii="仿宋_GB2312" w:hAnsi="仿宋_GB2312" w:eastAsia="仿宋_GB2312" w:cs="仿宋_GB2312"/>
                <w:bCs/>
                <w:sz w:val="22"/>
                <w:szCs w:val="22"/>
                <w:lang w:val="zh-CN"/>
              </w:rPr>
            </w:pPr>
            <w:r>
              <w:rPr>
                <w:rFonts w:hint="eastAsia" w:ascii="仿宋_GB2312" w:hAnsi="仿宋_GB2312" w:eastAsia="仿宋_GB2312" w:cs="仿宋_GB2312"/>
                <w:bCs/>
                <w:sz w:val="22"/>
                <w:szCs w:val="22"/>
                <w:lang w:val="zh-CN"/>
              </w:rPr>
              <w:t>3、准备好常用的医药箱</w:t>
            </w:r>
          </w:p>
        </w:tc>
      </w:tr>
    </w:tbl>
    <w:p>
      <w:pPr>
        <w:keepNext w:val="0"/>
        <w:keepLines w:val="0"/>
        <w:pageBreakBefore w:val="0"/>
        <w:kinsoku/>
        <w:wordWrap/>
        <w:overflowPunct/>
        <w:topLinePunct w:val="0"/>
        <w:autoSpaceDE/>
        <w:autoSpaceDN/>
        <w:bidi w:val="0"/>
        <w:spacing w:line="560" w:lineRule="exact"/>
        <w:ind w:firstLine="640" w:firstLineChars="200"/>
        <w:textAlignment w:val="auto"/>
        <w:outlineLvl w:val="1"/>
        <w:rPr>
          <w:rFonts w:hint="default"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小结结论：根据作业活动中主要产生的风险因素10个方面，用作业条件危险性评价法分析，具有较大风险（Ⅱ级、橙色）2项；具有一般风险7项（Ⅲ级、黄色）。</w:t>
      </w:r>
    </w:p>
    <w:p>
      <w:pPr>
        <w:keepNext w:val="0"/>
        <w:keepLines w:val="0"/>
        <w:pageBreakBefore w:val="0"/>
        <w:kinsoku/>
        <w:wordWrap/>
        <w:overflowPunct/>
        <w:topLinePunct w:val="0"/>
        <w:autoSpaceDE/>
        <w:autoSpaceDN/>
        <w:bidi w:val="0"/>
        <w:spacing w:line="560" w:lineRule="exact"/>
        <w:ind w:firstLine="640" w:firstLineChars="200"/>
        <w:textAlignment w:val="auto"/>
        <w:outlineLvl w:val="1"/>
        <w:rPr>
          <w:rFonts w:hint="default" w:ascii="仿宋_GB2312" w:eastAsia="仿宋_GB2312" w:hAnsiTheme="minorHAnsi" w:cstheme="minorBidi"/>
          <w:b w:val="0"/>
          <w:bCs w:val="0"/>
          <w:kern w:val="2"/>
          <w:sz w:val="32"/>
          <w:szCs w:val="32"/>
          <w:lang w:val="en-US" w:eastAsia="zh-CN" w:bidi="ar-SA"/>
        </w:rPr>
        <w:sectPr>
          <w:pgSz w:w="16838" w:h="11906" w:orient="landscape"/>
          <w:pgMar w:top="1800" w:right="1440" w:bottom="1800" w:left="1440" w:header="851" w:footer="992" w:gutter="0"/>
          <w:pgNumType w:fmt="decimal"/>
          <w:cols w:space="425" w:num="1"/>
          <w:docGrid w:type="lines" w:linePitch="312" w:charSpace="0"/>
        </w:sectPr>
      </w:pPr>
    </w:p>
    <w:p>
      <w:pPr>
        <w:pStyle w:val="5"/>
        <w:keepNext w:val="0"/>
        <w:keepLines w:val="0"/>
        <w:pageBreakBefore w:val="0"/>
        <w:widowControl w:val="0"/>
        <w:kinsoku/>
        <w:wordWrap/>
        <w:overflowPunct/>
        <w:topLinePunct w:val="0"/>
        <w:bidi w:val="0"/>
        <w:adjustRightInd/>
        <w:snapToGrid/>
        <w:spacing w:before="0" w:after="0" w:line="560" w:lineRule="exact"/>
        <w:ind w:firstLine="643" w:firstLineChars="200"/>
        <w:textAlignment w:val="auto"/>
        <w:outlineLvl w:val="0"/>
        <w:rPr>
          <w:rFonts w:hint="eastAsia" w:ascii="黑体" w:hAnsi="黑体" w:eastAsia="黑体" w:cs="宋体"/>
          <w:b/>
          <w:bCs/>
          <w:color w:val="000000" w:themeColor="text1"/>
          <w:kern w:val="0"/>
          <w:sz w:val="32"/>
          <w:szCs w:val="32"/>
          <w:lang w:val="en-US" w:eastAsia="zh-CN" w:bidi="ar-SA"/>
          <w14:textFill>
            <w14:solidFill>
              <w14:schemeClr w14:val="tx1"/>
            </w14:solidFill>
          </w14:textFill>
        </w:rPr>
      </w:pPr>
      <w:bookmarkStart w:id="629" w:name="_Toc6891"/>
      <w:r>
        <w:rPr>
          <w:rFonts w:hint="eastAsia" w:ascii="黑体" w:hAnsi="黑体" w:eastAsia="黑体" w:cs="宋体"/>
          <w:b/>
          <w:bCs/>
          <w:color w:val="000000" w:themeColor="text1"/>
          <w:kern w:val="0"/>
          <w:sz w:val="32"/>
          <w:szCs w:val="32"/>
          <w:lang w:val="en-US" w:eastAsia="zh-CN" w:bidi="ar-SA"/>
          <w14:textFill>
            <w14:solidFill>
              <w14:schemeClr w14:val="tx1"/>
            </w14:solidFill>
          </w14:textFill>
        </w:rPr>
        <w:t>4 结论与建议</w:t>
      </w:r>
      <w:bookmarkEnd w:id="629"/>
    </w:p>
    <w:p>
      <w:pPr>
        <w:keepNext w:val="0"/>
        <w:keepLines w:val="0"/>
        <w:pageBreakBefore w:val="0"/>
        <w:kinsoku/>
        <w:wordWrap/>
        <w:overflowPunct/>
        <w:topLinePunct w:val="0"/>
        <w:autoSpaceDE/>
        <w:autoSpaceDN/>
        <w:bidi w:val="0"/>
        <w:spacing w:line="560" w:lineRule="exact"/>
        <w:ind w:firstLine="640" w:firstLineChars="200"/>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630" w:name="_Toc19441"/>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4.1结论</w:t>
      </w:r>
      <w:bookmarkEnd w:id="630"/>
    </w:p>
    <w:p>
      <w:pPr>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华文仿宋" w:hAnsi="华文仿宋" w:eastAsia="华文仿宋" w:cs="华文仿宋"/>
          <w:bCs w:val="0"/>
          <w:kern w:val="2"/>
          <w:sz w:val="32"/>
          <w:szCs w:val="32"/>
          <w:lang w:val="en-US" w:eastAsia="zh-CN" w:bidi="ar-SA"/>
        </w:rPr>
      </w:pPr>
      <w:r>
        <w:rPr>
          <w:rFonts w:hint="eastAsia" w:ascii="华文仿宋" w:hAnsi="华文仿宋" w:eastAsia="华文仿宋" w:cs="华文仿宋"/>
          <w:bCs w:val="0"/>
          <w:kern w:val="2"/>
          <w:sz w:val="32"/>
          <w:szCs w:val="32"/>
          <w:lang w:val="en-US" w:eastAsia="zh-CN" w:bidi="ar-SA"/>
        </w:rPr>
        <w:t>根据分析：</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b w:val="0"/>
          <w:bCs w:val="0"/>
          <w:color w:val="000000"/>
          <w:kern w:val="0"/>
          <w:sz w:val="32"/>
          <w:szCs w:val="32"/>
          <w:lang w:val="en-US" w:eastAsia="zh-CN" w:bidi="ar-SA"/>
        </w:rPr>
      </w:pPr>
      <w:r>
        <w:rPr>
          <w:rFonts w:hint="eastAsia" w:ascii="仿宋_GB2312" w:hAnsi="仿宋_GB2312" w:eastAsia="仿宋_GB2312" w:cs="仿宋_GB2312"/>
          <w:b w:val="0"/>
          <w:bCs w:val="0"/>
          <w:color w:val="000000"/>
          <w:kern w:val="0"/>
          <w:sz w:val="32"/>
          <w:szCs w:val="32"/>
          <w:lang w:val="en-US" w:eastAsia="zh-CN" w:bidi="ar-SA"/>
        </w:rPr>
        <w:t>1）华容县交通突发事件的自然灾害风险有害因素主要有暴雨、低温、大风、地震等，造成低温雨雪冰冻、地震、洪涝、泥石流、洪涝等灾害可能。制定对应的专项应急预案。</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b w:val="0"/>
          <w:bCs w:val="0"/>
          <w:color w:val="000000"/>
          <w:kern w:val="0"/>
          <w:sz w:val="32"/>
          <w:szCs w:val="32"/>
          <w:lang w:val="en-US" w:eastAsia="zh-CN" w:bidi="ar-SA"/>
        </w:rPr>
      </w:pPr>
      <w:r>
        <w:rPr>
          <w:rFonts w:hint="eastAsia" w:ascii="仿宋_GB2312" w:hAnsi="仿宋_GB2312" w:eastAsia="仿宋_GB2312" w:cs="仿宋_GB2312"/>
          <w:b w:val="0"/>
          <w:bCs w:val="0"/>
          <w:color w:val="000000"/>
          <w:kern w:val="0"/>
          <w:sz w:val="32"/>
          <w:szCs w:val="32"/>
          <w:lang w:val="en-US" w:eastAsia="zh-CN" w:bidi="ar-SA"/>
        </w:rPr>
        <w:t>2）华容县交通突发事件的事故灾害主要是道路运输、水路运输导致的有害因素。制定对应的专项应急预案。</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SA"/>
        </w:rPr>
      </w:pPr>
      <w:r>
        <w:rPr>
          <w:rFonts w:hint="eastAsia" w:ascii="仿宋_GB2312" w:hAnsi="仿宋_GB2312" w:eastAsia="仿宋_GB2312" w:cs="仿宋_GB2312"/>
          <w:b w:val="0"/>
          <w:bCs w:val="0"/>
          <w:color w:val="000000"/>
          <w:kern w:val="0"/>
          <w:sz w:val="32"/>
          <w:szCs w:val="32"/>
          <w:lang w:val="en-US" w:eastAsia="zh-CN" w:bidi="ar-SA"/>
        </w:rPr>
        <w:t>（1）根据危险有害因素辨识和风险评价评出的风险等级，华容县交通事故一般包括、火灾、爆炸、泄漏、中毒、窒息、灼伤等类型。事故处置及应急救援工作具有突发性强、危险性大和影响面广等特点，必须采取各种有效措施，提高安全监管、事故应急救援等方面人员应对危险化学品事故的能力，做好危险化学品事故的应急处置与救援工作。县交通运输局通过硬件投入和软件建设，基本可控制初期事故，区管辖范围内一旦发生事故，按应急处置的基本程序及事故应急处置的基本原则，迅速控制危险源，采取正确有效的防火防爆、现场环境处理、抢险人员个体防护措施，对于遏制事故发展，减少事故损失，防止次生事故发生，具有十分重要的作用。</w:t>
      </w:r>
    </w:p>
    <w:p>
      <w:pPr>
        <w:pStyle w:val="9"/>
        <w:keepNext w:val="0"/>
        <w:keepLines w:val="0"/>
        <w:pageBreakBefore w:val="0"/>
        <w:kinsoku/>
        <w:wordWrap/>
        <w:overflowPunct/>
        <w:topLinePunct w:val="0"/>
        <w:autoSpaceDE/>
        <w:autoSpaceDN/>
        <w:bidi w:val="0"/>
        <w:adjustRightInd/>
        <w:snapToGrid/>
        <w:spacing w:after="0" w:line="560" w:lineRule="exact"/>
        <w:ind w:lef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color w:val="000000"/>
          <w:kern w:val="0"/>
          <w:sz w:val="32"/>
          <w:szCs w:val="32"/>
          <w:lang w:val="en-US" w:eastAsia="zh-CN" w:bidi="ar-SA"/>
        </w:rPr>
        <w:t>(2）</w:t>
      </w:r>
      <w:r>
        <w:rPr>
          <w:rFonts w:hint="eastAsia" w:ascii="仿宋_GB2312" w:hAnsi="仿宋_GB2312" w:eastAsia="仿宋_GB2312" w:cs="仿宋_GB2312"/>
          <w:kern w:val="2"/>
          <w:sz w:val="32"/>
          <w:szCs w:val="32"/>
          <w:lang w:val="en-US" w:eastAsia="zh-CN" w:bidi="ar-SA"/>
        </w:rPr>
        <w:t>根据《湖南省交通运输安全生产重大风险致险 因素辨识技术指南》附录A道路运输企业风险评估，</w:t>
      </w:r>
      <w:r>
        <w:rPr>
          <w:rFonts w:hint="eastAsia" w:ascii="仿宋_GB2312" w:hAnsi="仿宋_GB2312" w:eastAsia="仿宋_GB2312" w:cs="仿宋_GB2312"/>
          <w:sz w:val="32"/>
          <w:szCs w:val="32"/>
          <w:lang w:val="en-US" w:eastAsia="zh-CN"/>
        </w:rPr>
        <w:t>矩阵（LS）评价法，</w:t>
      </w:r>
      <w:r>
        <w:rPr>
          <w:rFonts w:hint="eastAsia" w:ascii="仿宋_GB2312" w:hAnsi="仿宋_GB2312" w:eastAsia="仿宋_GB2312" w:cs="仿宋_GB2312"/>
          <w:kern w:val="2"/>
          <w:sz w:val="32"/>
          <w:szCs w:val="32"/>
          <w:lang w:val="en-US" w:eastAsia="zh-CN" w:bidi="ar-SA"/>
        </w:rPr>
        <w:t>针对不同作业单元，分析风险事件发生后，可能造成的最大人员伤亡、经济损失、环境污染、社会影响，综合参考道路运输（旅客运输、货物运输、城市客运）历史上类似事件后果损失，进行事故发生可能性和</w:t>
      </w:r>
      <w:r>
        <w:rPr>
          <w:rFonts w:hint="eastAsia" w:ascii="仿宋_GB2312" w:hAnsi="仿宋_GB2312" w:eastAsia="仿宋_GB2312" w:cs="仿宋_GB2312"/>
          <w:sz w:val="32"/>
          <w:szCs w:val="32"/>
        </w:rPr>
        <w:t>考虑到道路运输车辆可能造成群死群伤，后果严重程度为特别严重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
          <w:sz w:val="32"/>
          <w:szCs w:val="32"/>
          <w:lang w:val="en-US" w:eastAsia="zh-CN" w:bidi="ar-SA"/>
        </w:rPr>
        <w:t>后果严重程度指标评分值高。按事故发生可能性和严重程度组合，</w:t>
      </w:r>
      <w:r>
        <w:rPr>
          <w:rFonts w:hint="eastAsia" w:ascii="仿宋_GB2312" w:hAnsi="仿宋_GB2312" w:eastAsia="仿宋_GB2312" w:cs="仿宋_GB2312"/>
          <w:sz w:val="32"/>
          <w:szCs w:val="32"/>
        </w:rPr>
        <w:t>按公式确定</w:t>
      </w:r>
      <w:r>
        <w:rPr>
          <w:rFonts w:hint="eastAsia" w:ascii="仿宋_GB2312" w:hAnsi="仿宋_GB2312" w:eastAsia="仿宋_GB2312" w:cs="仿宋_GB2312"/>
          <w:sz w:val="32"/>
          <w:szCs w:val="32"/>
          <w:lang w:val="en-US" w:eastAsia="zh-CN"/>
        </w:rPr>
        <w:t>华容县交通运输局</w:t>
      </w:r>
      <w:r>
        <w:rPr>
          <w:rFonts w:hint="eastAsia" w:ascii="仿宋_GB2312" w:hAnsi="仿宋_GB2312" w:eastAsia="仿宋_GB2312" w:cs="仿宋_GB2312"/>
          <w:sz w:val="32"/>
          <w:szCs w:val="32"/>
          <w:lang w:eastAsia="zh-CN"/>
        </w:rPr>
        <w:t>危险货物</w:t>
      </w:r>
      <w:r>
        <w:rPr>
          <w:rFonts w:hint="eastAsia" w:ascii="仿宋_GB2312" w:hAnsi="仿宋_GB2312" w:eastAsia="仿宋_GB2312" w:cs="仿宋_GB2312"/>
          <w:sz w:val="32"/>
          <w:szCs w:val="32"/>
          <w:lang w:val="en-US" w:eastAsia="zh-CN"/>
        </w:rPr>
        <w:t>道路</w:t>
      </w:r>
      <w:r>
        <w:rPr>
          <w:rFonts w:hint="eastAsia" w:ascii="仿宋_GB2312" w:hAnsi="仿宋_GB2312" w:eastAsia="仿宋_GB2312" w:cs="仿宋_GB2312"/>
          <w:sz w:val="32"/>
          <w:szCs w:val="32"/>
          <w:lang w:eastAsia="zh-CN"/>
        </w:rPr>
        <w:t>运输</w:t>
      </w:r>
      <w:r>
        <w:rPr>
          <w:rFonts w:hint="eastAsia" w:ascii="仿宋_GB2312" w:hAnsi="仿宋_GB2312" w:eastAsia="仿宋_GB2312" w:cs="仿宋_GB2312"/>
          <w:sz w:val="32"/>
          <w:szCs w:val="32"/>
        </w:rPr>
        <w:t>风险等级为</w:t>
      </w:r>
      <w:r>
        <w:rPr>
          <w:rFonts w:hint="eastAsia" w:ascii="仿宋_GB2312" w:hAnsi="仿宋_GB2312" w:eastAsia="仿宋_GB2312" w:cs="仿宋_GB2312"/>
          <w:sz w:val="32"/>
          <w:szCs w:val="32"/>
          <w:lang w:eastAsia="zh-CN"/>
        </w:rPr>
        <w:t>较</w:t>
      </w:r>
      <w:r>
        <w:rPr>
          <w:rFonts w:hint="eastAsia" w:ascii="仿宋_GB2312" w:hAnsi="仿宋_GB2312" w:eastAsia="仿宋_GB2312" w:cs="仿宋_GB2312"/>
          <w:sz w:val="32"/>
          <w:szCs w:val="32"/>
        </w:rPr>
        <w:t>大风险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风险是可变因素，要适时分析，将风险降低到</w:t>
      </w:r>
      <w:r>
        <w:rPr>
          <w:rFonts w:hint="eastAsia" w:ascii="仿宋_GB2312" w:hAnsi="仿宋_GB2312" w:eastAsia="仿宋_GB2312" w:cs="仿宋_GB2312"/>
          <w:kern w:val="2"/>
          <w:sz w:val="32"/>
          <w:szCs w:val="32"/>
          <w:lang w:val="en-US" w:eastAsia="zh-CN" w:bidi="ar-SA"/>
        </w:rPr>
        <w:t>个人风险可接受，社会风险同样可接受范围。</w:t>
      </w:r>
    </w:p>
    <w:p>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（3）通</w:t>
      </w:r>
      <w:r>
        <w:rPr>
          <w:rFonts w:hint="eastAsia" w:ascii="仿宋_GB2312" w:hAnsi="仿宋_GB2312" w:eastAsia="仿宋_GB2312" w:cs="仿宋_GB2312"/>
          <w:sz w:val="32"/>
          <w:szCs w:val="32"/>
          <w:lang w:val="en-US" w:eastAsia="zh-CN"/>
        </w:rPr>
        <w:t>过矩阵（LS）评价法</w:t>
      </w:r>
      <w:r>
        <w:rPr>
          <w:rFonts w:hint="eastAsia" w:ascii="仿宋_GB2312" w:hAnsi="仿宋_GB2312" w:eastAsia="仿宋_GB2312" w:cs="仿宋_GB2312"/>
          <w:kern w:val="2"/>
          <w:sz w:val="32"/>
          <w:szCs w:val="32"/>
          <w:lang w:val="en-US" w:eastAsia="zh-CN" w:bidi="ar-SA"/>
        </w:rPr>
        <w:t>对46项事故风险进行分析，其中：显著危险的有7项</w:t>
      </w:r>
      <w:r>
        <w:rPr>
          <w:rFonts w:hint="eastAsia" w:ascii="仿宋_GB2312" w:hAnsi="仿宋_GB2312" w:eastAsia="仿宋_GB2312" w:cs="仿宋_GB2312"/>
          <w:kern w:val="2"/>
          <w:sz w:val="32"/>
          <w:szCs w:val="32"/>
          <w:lang w:val="zh-CN" w:eastAsia="zh-CN" w:bidi="ar-SA"/>
        </w:rPr>
        <w:t>；</w:t>
      </w:r>
      <w:r>
        <w:rPr>
          <w:rFonts w:hint="eastAsia" w:ascii="仿宋_GB2312" w:hAnsi="仿宋_GB2312" w:eastAsia="仿宋_GB2312" w:cs="仿宋_GB2312"/>
          <w:kern w:val="2"/>
          <w:sz w:val="32"/>
          <w:szCs w:val="32"/>
          <w:lang w:val="en-US" w:eastAsia="zh-CN" w:bidi="ar-SA"/>
        </w:rPr>
        <w:t>比较危险的有39项。</w:t>
      </w:r>
    </w:p>
    <w:p>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b w:val="0"/>
          <w:bCs w:val="0"/>
          <w:color w:val="000000"/>
          <w:kern w:val="0"/>
          <w:sz w:val="32"/>
          <w:szCs w:val="32"/>
          <w:lang w:val="en-US" w:eastAsia="zh-CN" w:bidi="ar-SA"/>
        </w:rPr>
      </w:pPr>
      <w:r>
        <w:rPr>
          <w:rFonts w:hint="eastAsia" w:ascii="仿宋_GB2312" w:hAnsi="仿宋_GB2312" w:eastAsia="仿宋_GB2312" w:cs="仿宋_GB2312"/>
          <w:kern w:val="2"/>
          <w:sz w:val="32"/>
          <w:szCs w:val="32"/>
          <w:lang w:val="en-US" w:eastAsia="zh-CN" w:bidi="ar-SA"/>
        </w:rPr>
        <w:t>（4）通</w:t>
      </w:r>
      <w:r>
        <w:rPr>
          <w:rFonts w:hint="eastAsia" w:ascii="仿宋_GB2312" w:hAnsi="仿宋_GB2312" w:eastAsia="仿宋_GB2312" w:cs="仿宋_GB2312"/>
          <w:sz w:val="32"/>
          <w:szCs w:val="32"/>
          <w:lang w:val="en-US" w:eastAsia="zh-CN"/>
        </w:rPr>
        <w:t>过</w:t>
      </w:r>
      <w:r>
        <w:rPr>
          <w:rFonts w:hint="eastAsia" w:ascii="仿宋_GB2312" w:hAnsi="仿宋_GB2312" w:eastAsia="仿宋_GB2312" w:cs="仿宋_GB2312"/>
          <w:kern w:val="2"/>
          <w:sz w:val="32"/>
          <w:szCs w:val="32"/>
          <w:lang w:val="en-US" w:eastAsia="zh-CN" w:bidi="ar-SA"/>
        </w:rPr>
        <w:t>作业条件危险性评价法对10项主要易发生危险有害因素进行分析，二级（橙色）风险有：火灾、爆炸、交通事故；三级（黄色）风险有：泄漏、高空坠落、触电、车辆伤害、中毒和窒息、其它。</w:t>
      </w:r>
    </w:p>
    <w:p>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华容县突发事件的公共卫生事件主要和霍乱、中毒、血吸虫等风险有关（疫情不包含公共卫生事件内），通过预防控制、政府及卫生防疫部门采取有效措施基本不惧危害，制定对应的专项应急预案。</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b w:val="0"/>
          <w:bCs w:val="0"/>
          <w:color w:val="000000"/>
          <w:kern w:val="0"/>
          <w:sz w:val="32"/>
          <w:szCs w:val="32"/>
          <w:lang w:val="en-US" w:eastAsia="zh-CN" w:bidi="ar-SA"/>
        </w:rPr>
      </w:pPr>
      <w:r>
        <w:rPr>
          <w:rFonts w:hint="eastAsia" w:ascii="仿宋_GB2312" w:hAnsi="仿宋_GB2312" w:eastAsia="仿宋_GB2312" w:cs="仿宋_GB2312"/>
          <w:b w:val="0"/>
          <w:bCs w:val="0"/>
          <w:color w:val="000000"/>
          <w:kern w:val="0"/>
          <w:sz w:val="32"/>
          <w:szCs w:val="32"/>
          <w:lang w:val="en-US" w:eastAsia="zh-CN" w:bidi="ar-SA"/>
        </w:rPr>
        <w:t>4）华容县突发事件的社会安全事件通过分析为低风险。本县管辖范围内一旦发生社会安全事件，按应急处置的基本程序及事故应急处置的基本原则，迅速配合政府、公安采取正确有效的现场处理、抢险人员个体防护措施，对于遏制事故发展，减少事件造成事故损失，防止次生事故发生，具有十分重要的作用。</w:t>
      </w:r>
    </w:p>
    <w:p>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631" w:name="_Toc26146"/>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4.2建议</w:t>
      </w:r>
      <w:bookmarkEnd w:id="631"/>
    </w:p>
    <w:p>
      <w:pPr>
        <w:pStyle w:val="5"/>
        <w:keepNext/>
        <w:keepLines/>
        <w:pageBreakBefore w:val="0"/>
        <w:widowControl w:val="0"/>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SA"/>
        </w:rPr>
      </w:pPr>
      <w:bookmarkStart w:id="632" w:name="_Toc10954"/>
      <w:bookmarkStart w:id="633" w:name="_Toc30194"/>
      <w:r>
        <w:rPr>
          <w:rFonts w:hint="eastAsia" w:ascii="仿宋_GB2312" w:hAnsi="仿宋_GB2312" w:eastAsia="仿宋_GB2312" w:cs="仿宋_GB2312"/>
          <w:b w:val="0"/>
          <w:bCs w:val="0"/>
          <w:color w:val="000000"/>
          <w:kern w:val="0"/>
          <w:sz w:val="32"/>
          <w:szCs w:val="32"/>
          <w:lang w:val="en-US" w:eastAsia="zh-CN" w:bidi="ar-SA"/>
        </w:rPr>
        <w:t>通过危险有害因素辨识和评价结果可以看出，华容县交通运输局交通运输风险主要在道路运输方面，人员的“三违”、不安全行为、设备技术状况不良和安全装置失效等物的不安全状态是导致安全事故的主要原因；天气变化、环境影响、管理不到位是导致安全事故的客观原因，任何隐患不及时消除，都有可能造成不可挽救的损失。</w:t>
      </w:r>
      <w:bookmarkEnd w:id="632"/>
      <w:bookmarkEnd w:id="633"/>
    </w:p>
    <w:p>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634" w:name="_Toc14534"/>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4.2.1督促辖区内交通运输企业要加强对从业人员的管理：</w:t>
      </w:r>
      <w:bookmarkEnd w:id="634"/>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从业人员</w:t>
      </w:r>
      <w:r>
        <w:rPr>
          <w:rFonts w:hint="eastAsia" w:ascii="仿宋_GB2312" w:hAnsi="仿宋_GB2312" w:eastAsia="仿宋_GB2312" w:cs="仿宋_GB2312"/>
          <w:color w:val="000000"/>
          <w:kern w:val="0"/>
          <w:sz w:val="32"/>
          <w:szCs w:val="32"/>
          <w:lang w:eastAsia="zh-CN"/>
        </w:rPr>
        <w:t>（含特种作业人员）</w:t>
      </w:r>
      <w:r>
        <w:rPr>
          <w:rFonts w:hint="eastAsia" w:ascii="仿宋_GB2312" w:hAnsi="仿宋_GB2312" w:eastAsia="仿宋_GB2312" w:cs="仿宋_GB2312"/>
          <w:color w:val="000000"/>
          <w:kern w:val="0"/>
          <w:sz w:val="32"/>
          <w:szCs w:val="32"/>
        </w:rPr>
        <w:t>、管理人员持证上岗。</w:t>
      </w:r>
      <w:r>
        <w:rPr>
          <w:rFonts w:hint="eastAsia" w:ascii="仿宋_GB2312" w:hAnsi="仿宋_GB2312" w:eastAsia="仿宋_GB2312" w:cs="仿宋_GB2312"/>
          <w:color w:val="000000"/>
          <w:kern w:val="0"/>
          <w:sz w:val="32"/>
          <w:szCs w:val="32"/>
          <w:lang w:val="en-US" w:eastAsia="zh-CN"/>
        </w:rPr>
        <w:t>特别是主要负责人和安全管理人员必须具备与本企业安全生产相关的知识和管理处置能力，并经行业主管部门考核合格。</w:t>
      </w:r>
    </w:p>
    <w:p>
      <w:pPr>
        <w:keepNext w:val="0"/>
        <w:keepLines w:val="0"/>
        <w:pageBreakBefore w:val="0"/>
        <w:widowControl/>
        <w:shd w:val="clear" w:color="auto" w:fill="FFFFFF"/>
        <w:kinsoku w:val="0"/>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按规定要求定期组织全员安全生产教育培训，培训合格率达100%。</w:t>
      </w:r>
    </w:p>
    <w:p>
      <w:pPr>
        <w:keepNext w:val="0"/>
        <w:keepLines w:val="0"/>
        <w:pageBreakBefore w:val="0"/>
        <w:widowControl/>
        <w:shd w:val="clear" w:color="auto" w:fill="FFFFFF"/>
        <w:kinsoku w:val="0"/>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加强从业人员违章行为、安全隐患的排查治理，做好台账记录</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特别是动员一线员工积极参与隐患排查治理</w:t>
      </w:r>
      <w:r>
        <w:rPr>
          <w:rFonts w:hint="eastAsia" w:ascii="仿宋_GB2312" w:hAnsi="仿宋_GB2312" w:eastAsia="仿宋_GB2312" w:cs="仿宋_GB2312"/>
          <w:color w:val="000000"/>
          <w:kern w:val="0"/>
          <w:sz w:val="32"/>
          <w:szCs w:val="32"/>
        </w:rPr>
        <w:t>。</w:t>
      </w:r>
    </w:p>
    <w:p>
      <w:pPr>
        <w:keepNext w:val="0"/>
        <w:keepLines w:val="0"/>
        <w:pageBreakBefore w:val="0"/>
        <w:widowControl/>
        <w:shd w:val="clear" w:color="auto" w:fill="FFFFFF"/>
        <w:kinsoku w:val="0"/>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加强公司规章制度、操作规程公示、宣教、考核。</w:t>
      </w:r>
    </w:p>
    <w:p>
      <w:pPr>
        <w:keepNext w:val="0"/>
        <w:keepLines w:val="0"/>
        <w:pageBreakBefore w:val="0"/>
        <w:widowControl/>
        <w:shd w:val="clear" w:color="auto" w:fill="FFFFFF"/>
        <w:kinsoku w:val="0"/>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(5</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落实“一会三卡”，宣传并要求从业人员掌握相关业务知识。</w:t>
      </w:r>
    </w:p>
    <w:p>
      <w:pPr>
        <w:keepNext w:val="0"/>
        <w:keepLines w:val="0"/>
        <w:pageBreakBefore w:val="0"/>
        <w:widowControl/>
        <w:shd w:val="clear" w:color="auto" w:fill="FFFFFF"/>
        <w:kinsoku w:val="0"/>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落实全员安全生产责任制考核，兑现奖惩。</w:t>
      </w:r>
    </w:p>
    <w:p>
      <w:pPr>
        <w:keepNext w:val="0"/>
        <w:keepLines w:val="0"/>
        <w:pageBreakBefore w:val="0"/>
        <w:widowControl/>
        <w:shd w:val="clear" w:color="auto" w:fill="FFFFFF"/>
        <w:kinsoku w:val="0"/>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（7）建立并不断完善的双重预防机制建设；推进企业安全生产标准化建设。</w:t>
      </w:r>
    </w:p>
    <w:p>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635" w:name="_Toc12596"/>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4.2.2督促辖区内企业要加强安全设施的维护和保养，确保正常运行</w:t>
      </w:r>
      <w:bookmarkEnd w:id="635"/>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消防器材等安全设施专人监管，责任到人，确保安全设施的正常运行。</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定期检查安全警示标志，若出现标志缺失损坏等问题应及时更换。</w:t>
      </w:r>
    </w:p>
    <w:p>
      <w:pPr>
        <w:keepNext w:val="0"/>
        <w:keepLines w:val="0"/>
        <w:pageBreakBefore w:val="0"/>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加强对灭火、救火设施的检查</w:t>
      </w:r>
      <w:r>
        <w:rPr>
          <w:rFonts w:hint="eastAsia" w:ascii="仿宋_GB2312" w:hAnsi="仿宋_GB2312" w:eastAsia="仿宋_GB2312" w:cs="仿宋_GB2312"/>
          <w:color w:val="000000"/>
          <w:kern w:val="0"/>
          <w:sz w:val="32"/>
          <w:szCs w:val="32"/>
          <w:lang w:val="en-US" w:eastAsia="zh-CN"/>
        </w:rPr>
        <w:t>巡查</w:t>
      </w:r>
      <w:r>
        <w:rPr>
          <w:rFonts w:hint="eastAsia" w:ascii="仿宋_GB2312" w:hAnsi="仿宋_GB2312" w:eastAsia="仿宋_GB2312" w:cs="仿宋_GB2312"/>
          <w:color w:val="000000"/>
          <w:kern w:val="0"/>
          <w:sz w:val="32"/>
          <w:szCs w:val="32"/>
        </w:rPr>
        <w:t>。</w:t>
      </w:r>
    </w:p>
    <w:p>
      <w:pPr>
        <w:keepNext w:val="0"/>
        <w:keepLines w:val="0"/>
        <w:pageBreakBefore w:val="0"/>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定期对</w:t>
      </w:r>
      <w:r>
        <w:rPr>
          <w:rFonts w:hint="eastAsia" w:ascii="仿宋_GB2312" w:hAnsi="仿宋_GB2312" w:eastAsia="仿宋_GB2312" w:cs="仿宋_GB2312"/>
          <w:color w:val="000000"/>
          <w:kern w:val="0"/>
          <w:sz w:val="32"/>
          <w:szCs w:val="32"/>
          <w:lang w:eastAsia="zh-CN"/>
        </w:rPr>
        <w:t>应急物资</w:t>
      </w:r>
      <w:r>
        <w:rPr>
          <w:rFonts w:hint="eastAsia" w:ascii="仿宋_GB2312" w:hAnsi="仿宋_GB2312" w:eastAsia="仿宋_GB2312" w:cs="仿宋_GB2312"/>
          <w:color w:val="000000"/>
          <w:kern w:val="0"/>
          <w:sz w:val="32"/>
          <w:szCs w:val="32"/>
        </w:rPr>
        <w:t>清</w:t>
      </w:r>
      <w:r>
        <w:rPr>
          <w:rFonts w:hint="eastAsia" w:ascii="仿宋_GB2312" w:hAnsi="仿宋_GB2312" w:eastAsia="仿宋_GB2312" w:cs="仿宋_GB2312"/>
          <w:color w:val="000000"/>
          <w:kern w:val="0"/>
          <w:sz w:val="32"/>
          <w:szCs w:val="32"/>
          <w:lang w:val="en-US" w:eastAsia="zh-CN"/>
        </w:rPr>
        <w:t>洗、</w:t>
      </w:r>
      <w:r>
        <w:rPr>
          <w:rFonts w:hint="eastAsia" w:ascii="仿宋_GB2312" w:hAnsi="仿宋_GB2312" w:eastAsia="仿宋_GB2312" w:cs="仿宋_GB2312"/>
          <w:color w:val="000000"/>
          <w:kern w:val="0"/>
          <w:sz w:val="32"/>
          <w:szCs w:val="32"/>
        </w:rPr>
        <w:t>更换和维护，完善登记台账。</w:t>
      </w:r>
    </w:p>
    <w:p>
      <w:pPr>
        <w:keepNext w:val="0"/>
        <w:keepLines w:val="0"/>
        <w:pageBreakBefore w:val="0"/>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5</w:t>
      </w:r>
      <w:bookmarkStart w:id="643" w:name="_GoBack"/>
      <w:bookmarkEnd w:id="643"/>
      <w:r>
        <w:rPr>
          <w:rFonts w:hint="eastAsia" w:ascii="仿宋_GB2312" w:hAnsi="仿宋_GB2312" w:eastAsia="仿宋_GB2312" w:cs="仿宋_GB2312"/>
          <w:color w:val="000000"/>
          <w:kern w:val="0"/>
          <w:sz w:val="32"/>
          <w:szCs w:val="32"/>
          <w:lang w:val="en-US" w:eastAsia="zh-CN"/>
        </w:rPr>
        <w:t>）加大安全生产资金投入，按规定要求正确提取安全生产经费，规范使用。</w:t>
      </w:r>
    </w:p>
    <w:p>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636" w:name="_Toc13018"/>
      <w:bookmarkStart w:id="637" w:name="_Toc32285"/>
      <w:bookmarkStart w:id="638" w:name="_Toc2410"/>
      <w:bookmarkStart w:id="639" w:name="_Toc12024"/>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4.2.3要发现问题及时解决。督促企业尽可能采用新材料、新设备，及时更换破损设备设施，不使用淘汰设备设施，提高设备装备水平。</w:t>
      </w:r>
      <w:bookmarkEnd w:id="636"/>
      <w:bookmarkEnd w:id="637"/>
      <w:bookmarkEnd w:id="638"/>
      <w:bookmarkEnd w:id="639"/>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现场要有安全警示标志。</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加强设备日常管理。对设备要进行经常保养和检查，定期维修。</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消除一切足以导致火灾的点火源，阻止火灾事故灾害的扩大。</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加强动火、临时用电</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受限空间作业</w:t>
      </w:r>
      <w:r>
        <w:rPr>
          <w:rFonts w:hint="eastAsia" w:ascii="仿宋_GB2312" w:hAnsi="仿宋_GB2312" w:eastAsia="仿宋_GB2312" w:cs="仿宋_GB2312"/>
          <w:color w:val="000000"/>
          <w:kern w:val="0"/>
          <w:sz w:val="32"/>
          <w:szCs w:val="32"/>
        </w:rPr>
        <w:t>等危险作业的管理。</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b/>
          <w:bCs/>
          <w:color w:val="000000"/>
          <w:kern w:val="0"/>
          <w:sz w:val="32"/>
          <w:szCs w:val="32"/>
        </w:rPr>
      </w:pPr>
      <w:r>
        <w:rPr>
          <w:rFonts w:hint="eastAsia" w:ascii="仿宋_GB2312" w:hAnsi="仿宋_GB2312" w:eastAsia="仿宋_GB2312" w:cs="仿宋_GB2312"/>
          <w:color w:val="000000"/>
          <w:kern w:val="0"/>
          <w:sz w:val="32"/>
          <w:szCs w:val="32"/>
        </w:rPr>
        <w:t>(5</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对于各类设备应按规程的规定和要求，定期维护、检修和保养，不带病运行。</w:t>
      </w:r>
    </w:p>
    <w:p>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640" w:name="_Toc18934"/>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4.2.4督促辖区内企业加强设备设施安全技术状况、装置和安全设施设备的管理。</w:t>
      </w:r>
      <w:bookmarkEnd w:id="640"/>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对于车</w:t>
      </w:r>
      <w:r>
        <w:rPr>
          <w:rFonts w:hint="eastAsia" w:ascii="仿宋_GB2312" w:hAnsi="仿宋_GB2312" w:eastAsia="仿宋_GB2312" w:cs="仿宋_GB2312"/>
          <w:color w:val="000000"/>
          <w:kern w:val="0"/>
          <w:sz w:val="32"/>
          <w:szCs w:val="32"/>
          <w:lang w:val="en-US" w:eastAsia="zh-CN"/>
        </w:rPr>
        <w:t>船、建筑工具</w:t>
      </w:r>
      <w:r>
        <w:rPr>
          <w:rFonts w:hint="eastAsia" w:ascii="仿宋_GB2312" w:hAnsi="仿宋_GB2312" w:eastAsia="仿宋_GB2312" w:cs="仿宋_GB2312"/>
          <w:color w:val="000000"/>
          <w:kern w:val="0"/>
          <w:sz w:val="32"/>
          <w:szCs w:val="32"/>
        </w:rPr>
        <w:t>等设备应按规程的规定和要求，定期维护、检修和保养，设备</w:t>
      </w:r>
      <w:r>
        <w:rPr>
          <w:rFonts w:hint="eastAsia" w:ascii="仿宋_GB2312" w:hAnsi="仿宋_GB2312" w:eastAsia="仿宋_GB2312" w:cs="仿宋_GB2312"/>
          <w:color w:val="000000"/>
          <w:kern w:val="0"/>
          <w:sz w:val="32"/>
          <w:szCs w:val="32"/>
          <w:lang w:val="en-US" w:eastAsia="zh-CN"/>
        </w:rPr>
        <w:t>设施</w:t>
      </w:r>
      <w:r>
        <w:rPr>
          <w:rFonts w:hint="eastAsia" w:ascii="仿宋_GB2312" w:hAnsi="仿宋_GB2312" w:eastAsia="仿宋_GB2312" w:cs="仿宋_GB2312"/>
          <w:color w:val="000000"/>
          <w:kern w:val="0"/>
          <w:sz w:val="32"/>
          <w:szCs w:val="32"/>
        </w:rPr>
        <w:t>不带病运行。</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作业前认真检查各安全设备、电气、仪表、消防和安全设施、防护措施的准备情况。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加强对设备、设施的管理，定期检查做好台账记录。</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有专人进行管理，建立了出入台账记录。</w:t>
      </w:r>
    </w:p>
    <w:p>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641" w:name="_Toc3868"/>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4.2.5督促县内交通运输企业落实相关方管理的建议</w:t>
      </w:r>
      <w:bookmarkEnd w:id="641"/>
    </w:p>
    <w:p>
      <w:pPr>
        <w:keepNext w:val="0"/>
        <w:keepLines w:val="0"/>
        <w:pageBreakBefore w:val="0"/>
        <w:numPr>
          <w:ilvl w:val="0"/>
          <w:numId w:val="5"/>
        </w:numPr>
        <w:kinsoku/>
        <w:wordWrap/>
        <w:overflowPunct/>
        <w:topLinePunct w:val="0"/>
        <w:autoSpaceDE/>
        <w:autoSpaceDN/>
        <w:bidi w:val="0"/>
        <w:adjustRightInd/>
        <w:snapToGrid/>
        <w:spacing w:line="560" w:lineRule="exact"/>
        <w:ind w:left="0" w:leftChars="0" w:firstLine="640" w:firstLineChars="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形</w:t>
      </w:r>
      <w:r>
        <w:rPr>
          <w:rFonts w:hint="eastAsia" w:ascii="仿宋_GB2312" w:hAnsi="仿宋_GB2312" w:eastAsia="仿宋_GB2312" w:cs="仿宋_GB2312"/>
          <w:color w:val="000000"/>
          <w:kern w:val="0"/>
          <w:sz w:val="32"/>
          <w:szCs w:val="32"/>
        </w:rPr>
        <w:t>成有效对相关方安全管理措施和人员行为进行督促和统一协调管理。</w:t>
      </w:r>
    </w:p>
    <w:p>
      <w:pPr>
        <w:keepNext w:val="0"/>
        <w:keepLines w:val="0"/>
        <w:pageBreakBefore w:val="0"/>
        <w:numPr>
          <w:ilvl w:val="0"/>
          <w:numId w:val="5"/>
        </w:numPr>
        <w:kinsoku/>
        <w:wordWrap/>
        <w:overflowPunct/>
        <w:topLinePunct w:val="0"/>
        <w:autoSpaceDE/>
        <w:autoSpaceDN/>
        <w:bidi w:val="0"/>
        <w:adjustRightInd/>
        <w:snapToGrid/>
        <w:spacing w:line="560" w:lineRule="exact"/>
        <w:ind w:left="0" w:leftChars="0" w:firstLine="640" w:firstLineChars="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企业</w:t>
      </w:r>
      <w:r>
        <w:rPr>
          <w:rFonts w:hint="eastAsia" w:ascii="仿宋_GB2312" w:hAnsi="仿宋_GB2312" w:eastAsia="仿宋_GB2312" w:cs="仿宋_GB2312"/>
          <w:color w:val="000000"/>
          <w:kern w:val="0"/>
          <w:sz w:val="32"/>
          <w:szCs w:val="32"/>
        </w:rPr>
        <w:t>与</w:t>
      </w:r>
      <w:r>
        <w:rPr>
          <w:rFonts w:hint="eastAsia" w:ascii="仿宋_GB2312" w:hAnsi="仿宋_GB2312" w:eastAsia="仿宋_GB2312" w:cs="仿宋_GB2312"/>
          <w:color w:val="000000"/>
          <w:kern w:val="0"/>
          <w:sz w:val="32"/>
          <w:szCs w:val="32"/>
          <w:lang w:val="en-US" w:eastAsia="zh-CN"/>
        </w:rPr>
        <w:t>相关</w:t>
      </w:r>
      <w:r>
        <w:rPr>
          <w:rFonts w:hint="eastAsia" w:ascii="仿宋_GB2312" w:hAnsi="仿宋_GB2312" w:eastAsia="仿宋_GB2312" w:cs="仿宋_GB2312"/>
          <w:color w:val="000000"/>
          <w:kern w:val="0"/>
          <w:sz w:val="32"/>
          <w:szCs w:val="32"/>
        </w:rPr>
        <w:t>服务单位签订安全生产协议、应急救援处置协议。</w:t>
      </w:r>
    </w:p>
    <w:p>
      <w:pPr>
        <w:keepNext w:val="0"/>
        <w:keepLines w:val="0"/>
        <w:pageBreakBefore w:val="0"/>
        <w:numPr>
          <w:ilvl w:val="0"/>
          <w:numId w:val="5"/>
        </w:numPr>
        <w:kinsoku/>
        <w:wordWrap/>
        <w:overflowPunct/>
        <w:topLinePunct w:val="0"/>
        <w:autoSpaceDE/>
        <w:autoSpaceDN/>
        <w:bidi w:val="0"/>
        <w:adjustRightInd/>
        <w:snapToGrid/>
        <w:spacing w:line="560" w:lineRule="exact"/>
        <w:ind w:left="0" w:leftChars="0" w:firstLine="640" w:firstLineChars="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企业</w:t>
      </w:r>
      <w:r>
        <w:rPr>
          <w:rFonts w:hint="eastAsia" w:ascii="仿宋_GB2312" w:hAnsi="仿宋_GB2312" w:eastAsia="仿宋_GB2312" w:cs="仿宋_GB2312"/>
          <w:color w:val="000000"/>
          <w:kern w:val="0"/>
          <w:sz w:val="32"/>
          <w:szCs w:val="32"/>
        </w:rPr>
        <w:t>与外来承包施工单位及外来人员应签订安全生产协议；</w:t>
      </w:r>
    </w:p>
    <w:p>
      <w:pPr>
        <w:keepNext w:val="0"/>
        <w:keepLines w:val="0"/>
        <w:pageBreakBefore w:val="0"/>
        <w:numPr>
          <w:ilvl w:val="0"/>
          <w:numId w:val="5"/>
        </w:numPr>
        <w:kinsoku/>
        <w:wordWrap/>
        <w:overflowPunct/>
        <w:topLinePunct w:val="0"/>
        <w:autoSpaceDE/>
        <w:autoSpaceDN/>
        <w:bidi w:val="0"/>
        <w:adjustRightInd/>
        <w:snapToGrid/>
        <w:spacing w:line="560" w:lineRule="exact"/>
        <w:ind w:left="0" w:leftChars="0" w:firstLine="640" w:firstLineChars="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相关方协议还包括：实习生、参观学习、代培和临时作业人员或派遣单位。</w:t>
      </w:r>
    </w:p>
    <w:p>
      <w:pPr>
        <w:keepNext w:val="0"/>
        <w:keepLines w:val="0"/>
        <w:pageBreakBefore w:val="0"/>
        <w:numPr>
          <w:ilvl w:val="0"/>
          <w:numId w:val="5"/>
        </w:numPr>
        <w:kinsoku/>
        <w:wordWrap/>
        <w:overflowPunct/>
        <w:topLinePunct w:val="0"/>
        <w:autoSpaceDE/>
        <w:autoSpaceDN/>
        <w:bidi w:val="0"/>
        <w:adjustRightInd/>
        <w:snapToGrid/>
        <w:spacing w:line="560" w:lineRule="exact"/>
        <w:ind w:left="0" w:leftChars="0" w:firstLine="640" w:firstLineChars="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相关方自备设备、设施必须符合国家标准，进入公司应对其进行检查，不具备或不符合标准不得投入使用。</w:t>
      </w:r>
    </w:p>
    <w:p>
      <w:pPr>
        <w:keepNext w:val="0"/>
        <w:keepLines w:val="0"/>
        <w:pageBreakBefore w:val="0"/>
        <w:numPr>
          <w:ilvl w:val="0"/>
          <w:numId w:val="5"/>
        </w:numPr>
        <w:kinsoku/>
        <w:wordWrap/>
        <w:overflowPunct/>
        <w:topLinePunct w:val="0"/>
        <w:autoSpaceDE/>
        <w:autoSpaceDN/>
        <w:bidi w:val="0"/>
        <w:adjustRightInd/>
        <w:snapToGrid/>
        <w:spacing w:line="560" w:lineRule="exact"/>
        <w:ind w:left="0" w:leftChars="0" w:firstLine="640" w:firstLineChars="0"/>
        <w:jc w:val="both"/>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加强</w:t>
      </w:r>
      <w:r>
        <w:rPr>
          <w:rFonts w:hint="eastAsia" w:ascii="仿宋_GB2312" w:hAnsi="仿宋_GB2312" w:eastAsia="仿宋_GB2312" w:cs="仿宋_GB2312"/>
          <w:color w:val="000000"/>
          <w:kern w:val="0"/>
          <w:sz w:val="32"/>
          <w:szCs w:val="32"/>
        </w:rPr>
        <w:t>相关方出入登记、管理。</w:t>
      </w:r>
    </w:p>
    <w:p>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outlineLvl w:val="2"/>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642" w:name="_Toc17483"/>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4.2.6加强行业主管部门与企业事故应急救援预案对策措施建议</w:t>
      </w:r>
      <w:bookmarkEnd w:id="642"/>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加强</w:t>
      </w:r>
      <w:r>
        <w:rPr>
          <w:rFonts w:hint="eastAsia" w:ascii="仿宋_GB2312" w:hAnsi="仿宋_GB2312" w:eastAsia="仿宋_GB2312" w:cs="仿宋_GB2312"/>
          <w:color w:val="000000"/>
          <w:sz w:val="32"/>
          <w:szCs w:val="32"/>
          <w:lang w:val="en-US" w:eastAsia="zh-CN"/>
        </w:rPr>
        <w:t>县内</w:t>
      </w:r>
      <w:r>
        <w:rPr>
          <w:rFonts w:hint="eastAsia" w:ascii="仿宋_GB2312" w:hAnsi="仿宋_GB2312" w:eastAsia="仿宋_GB2312" w:cs="仿宋_GB2312"/>
          <w:color w:val="000000"/>
          <w:kern w:val="0"/>
          <w:sz w:val="32"/>
          <w:szCs w:val="32"/>
          <w:lang w:val="en-US" w:eastAsia="zh-CN"/>
        </w:rPr>
        <w:t>企业应急预案的制定、备案工作。</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监督</w:t>
      </w:r>
      <w:r>
        <w:rPr>
          <w:rFonts w:hint="eastAsia" w:ascii="仿宋_GB2312" w:hAnsi="仿宋_GB2312" w:eastAsia="仿宋_GB2312" w:cs="仿宋_GB2312"/>
          <w:color w:val="000000"/>
          <w:sz w:val="32"/>
          <w:szCs w:val="32"/>
          <w:lang w:val="en-US" w:eastAsia="zh-CN"/>
        </w:rPr>
        <w:t>县内行业管理部门、</w:t>
      </w:r>
      <w:r>
        <w:rPr>
          <w:rFonts w:hint="eastAsia" w:ascii="仿宋_GB2312" w:hAnsi="仿宋_GB2312" w:eastAsia="仿宋_GB2312" w:cs="仿宋_GB2312"/>
          <w:color w:val="000000"/>
          <w:kern w:val="0"/>
          <w:sz w:val="32"/>
          <w:szCs w:val="32"/>
          <w:lang w:val="en-US" w:eastAsia="zh-CN"/>
        </w:rPr>
        <w:t>企业</w:t>
      </w:r>
      <w:r>
        <w:rPr>
          <w:rFonts w:hint="eastAsia" w:ascii="仿宋_GB2312" w:hAnsi="仿宋_GB2312" w:eastAsia="仿宋_GB2312" w:cs="仿宋_GB2312"/>
          <w:color w:val="000000"/>
          <w:sz w:val="32"/>
          <w:szCs w:val="32"/>
        </w:rPr>
        <w:t>每年至少进行一次综合（专项）应急预案演练；每半年进行现场处置方案演练，并做好演练记录，以提高公司应急救援能力。</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检查县内企业</w:t>
      </w:r>
      <w:r>
        <w:rPr>
          <w:rFonts w:hint="eastAsia" w:ascii="仿宋_GB2312" w:hAnsi="仿宋_GB2312" w:eastAsia="仿宋_GB2312" w:cs="仿宋_GB2312"/>
          <w:color w:val="000000"/>
          <w:sz w:val="32"/>
          <w:szCs w:val="32"/>
        </w:rPr>
        <w:t>应制定</w:t>
      </w:r>
      <w:r>
        <w:rPr>
          <w:rFonts w:hint="eastAsia" w:ascii="仿宋_GB2312" w:hAnsi="仿宋_GB2312" w:eastAsia="仿宋_GB2312" w:cs="仿宋_GB2312"/>
          <w:color w:val="000000"/>
          <w:sz w:val="32"/>
          <w:szCs w:val="32"/>
          <w:lang w:val="en-US" w:eastAsia="zh-CN"/>
        </w:rPr>
        <w:t>的</w:t>
      </w:r>
      <w:r>
        <w:rPr>
          <w:rFonts w:hint="eastAsia" w:ascii="仿宋_GB2312" w:hAnsi="仿宋_GB2312" w:eastAsia="仿宋_GB2312" w:cs="仿宋_GB2312"/>
          <w:color w:val="000000"/>
          <w:sz w:val="32"/>
          <w:szCs w:val="32"/>
        </w:rPr>
        <w:t>演练方案，明确演练规模、方式、范围、内容。演练结束后应及时进行评估、总结，对演练中发现的问题应及时进行修正、补充、完善，使预案进一步合理化</w:t>
      </w:r>
      <w:r>
        <w:rPr>
          <w:rFonts w:hint="eastAsia" w:ascii="仿宋_GB2312" w:hAnsi="仿宋_GB2312" w:eastAsia="仿宋_GB2312" w:cs="仿宋_GB2312"/>
          <w:color w:val="000000"/>
          <w:sz w:val="32"/>
          <w:szCs w:val="32"/>
          <w:lang w:eastAsia="zh-CN"/>
        </w:rPr>
        <w:t>地</w:t>
      </w:r>
      <w:r>
        <w:rPr>
          <w:rFonts w:hint="eastAsia" w:ascii="仿宋_GB2312" w:hAnsi="仿宋_GB2312" w:eastAsia="仿宋_GB2312" w:cs="仿宋_GB2312"/>
          <w:color w:val="000000"/>
          <w:sz w:val="32"/>
          <w:szCs w:val="32"/>
          <w:lang w:val="en-US" w:eastAsia="zh-CN"/>
        </w:rPr>
        <w:t>记录、台账</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rPr>
          <w:rFonts w:ascii="仿宋_GB2312" w:hAnsi="仿宋_GB2312" w:eastAsia="仿宋_GB2312" w:cs="仿宋_GB2312"/>
          <w:sz w:val="30"/>
          <w:szCs w:val="30"/>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4）规范企业预案修订等相关工作。</w:t>
      </w:r>
      <w:r>
        <w:rPr>
          <w:rFonts w:hint="eastAsia" w:ascii="仿宋_GB2312" w:hAnsi="仿宋_GB2312" w:eastAsia="仿宋_GB2312" w:cs="仿宋_GB2312"/>
          <w:kern w:val="0"/>
          <w:sz w:val="32"/>
          <w:szCs w:val="32"/>
        </w:rPr>
        <w:t>若</w:t>
      </w:r>
      <w:r>
        <w:rPr>
          <w:rFonts w:hint="eastAsia" w:ascii="仿宋_GB2312" w:hAnsi="仿宋_GB2312" w:eastAsia="仿宋_GB2312" w:cs="仿宋_GB2312"/>
          <w:kern w:val="0"/>
          <w:sz w:val="32"/>
          <w:szCs w:val="32"/>
          <w:lang w:val="en-US" w:eastAsia="zh-CN"/>
        </w:rPr>
        <w:t>县内企业</w:t>
      </w:r>
      <w:r>
        <w:rPr>
          <w:rFonts w:hint="eastAsia" w:ascii="仿宋_GB2312" w:hAnsi="仿宋_GB2312" w:eastAsia="仿宋_GB2312" w:cs="仿宋_GB2312"/>
          <w:kern w:val="0"/>
          <w:sz w:val="32"/>
          <w:szCs w:val="32"/>
        </w:rPr>
        <w:t>周边情况、法律法规或相关规定</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企业内部</w:t>
      </w:r>
      <w:r>
        <w:rPr>
          <w:rFonts w:hint="eastAsia" w:ascii="仿宋_GB2312" w:hAnsi="仿宋_GB2312" w:eastAsia="仿宋_GB2312" w:cs="仿宋_GB2312"/>
          <w:kern w:val="0"/>
          <w:sz w:val="32"/>
          <w:szCs w:val="32"/>
        </w:rPr>
        <w:t>等发生较大变化时，应及时对预案进行更新并报应急管理部门和</w:t>
      </w:r>
      <w:r>
        <w:rPr>
          <w:rFonts w:hint="eastAsia" w:ascii="仿宋_GB2312" w:hAnsi="仿宋_GB2312" w:eastAsia="仿宋_GB2312" w:cs="仿宋_GB2312"/>
          <w:kern w:val="0"/>
          <w:sz w:val="32"/>
          <w:szCs w:val="32"/>
          <w:lang w:val="en-US" w:eastAsia="zh-CN"/>
        </w:rPr>
        <w:t>负有安全生产监督管理职责的有关部门</w:t>
      </w:r>
      <w:r>
        <w:rPr>
          <w:rFonts w:hint="eastAsia" w:ascii="仿宋_GB2312" w:hAnsi="仿宋_GB2312" w:eastAsia="仿宋_GB2312" w:cs="仿宋_GB2312"/>
          <w:kern w:val="0"/>
          <w:sz w:val="32"/>
          <w:szCs w:val="32"/>
        </w:rPr>
        <w:t>重新备案。</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embedRegular r:id="rId1" w:fontKey="{02E1C7F0-DCCF-439C-AAE7-E4D3BCDFA4B8}"/>
  </w:font>
  <w:font w:name="黑体">
    <w:altName w:val="SimSun-ExtB"/>
    <w:panose1 w:val="02010609060101010101"/>
    <w:charset w:val="86"/>
    <w:family w:val="auto"/>
    <w:pitch w:val="default"/>
    <w:sig w:usb0="800002BF" w:usb1="38CF7CFA" w:usb2="00000016" w:usb3="00000000" w:csb0="00040001" w:csb1="00000000"/>
    <w:embedRegular r:id="rId2" w:fontKey="{E7D58D24-9111-4A54-946F-5C7029068D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3" w:fontKey="{FDEC20E3-F6DF-455A-B0D0-12D1E0AF8D49}"/>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embedRegular r:id="rId4" w:fontKey="{A0F571F5-B4F4-49DA-AFEF-608B671754C6}"/>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5" w:fontKey="{B88F9D4C-9802-4FB6-B467-59FEEC354A12}"/>
  </w:font>
  <w:font w:name="PMingLiU">
    <w:altName w:val="PMingLiU-ExtB"/>
    <w:panose1 w:val="02020500000000000000"/>
    <w:charset w:val="88"/>
    <w:family w:val="auto"/>
    <w:pitch w:val="default"/>
    <w:sig w:usb0="00000000" w:usb1="00000000" w:usb2="00000016" w:usb3="00000000" w:csb0="00100001" w:csb1="00000000"/>
  </w:font>
  <w:font w:name="方正小标宋简体">
    <w:altName w:val="仿宋_GB2312"/>
    <w:panose1 w:val="03000509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6" w:fontKey="{833590EE-7A9E-4231-9EF2-F07C183A59C4}"/>
  </w:font>
  <w:font w:name="华文仿宋">
    <w:panose1 w:val="02010600040101010101"/>
    <w:charset w:val="86"/>
    <w:family w:val="auto"/>
    <w:pitch w:val="default"/>
    <w:sig w:usb0="00000287" w:usb1="080F0000" w:usb2="00000000" w:usb3="00000000" w:csb0="0004009F" w:csb1="DFD70000"/>
    <w:embedRegular r:id="rId7" w:fontKey="{7F939E97-C14A-4AF6-A389-9EDEF3636C9A}"/>
  </w:font>
  <w:font w:name="仿宋">
    <w:panose1 w:val="02010609060101010101"/>
    <w:charset w:val="86"/>
    <w:family w:val="auto"/>
    <w:pitch w:val="default"/>
    <w:sig w:usb0="800002BF" w:usb1="38CF7CFA" w:usb2="00000016" w:usb3="00000000" w:csb0="00040001" w:csb1="00000000"/>
    <w:embedRegular r:id="rId8" w:fontKey="{44DD88F4-FB46-4531-A62C-FC0C80C1A30A}"/>
  </w:font>
  <w:font w:name="SimSun-ExtB">
    <w:panose1 w:val="02010609060101010101"/>
    <w:charset w:val="86"/>
    <w:family w:val="auto"/>
    <w:pitch w:val="default"/>
    <w:sig w:usb0="00000001" w:usb1="02000000" w:usb2="00000000"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2" w:lineRule="auto"/>
      <w:ind w:left="122"/>
      <w:rPr>
        <w:rFonts w:ascii="宋体" w:hAnsi="宋体" w:eastAsia="宋体" w:cs="宋体"/>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t xml:space="preserve">— </w:t>
                          </w:r>
                          <w:r>
                            <w:fldChar w:fldCharType="begin"/>
                          </w:r>
                          <w:r>
                            <w:instrText xml:space="preserve"> PAGE  \* MERGEFORMAT </w:instrText>
                          </w:r>
                          <w:r>
                            <w:fldChar w:fldCharType="separate"/>
                          </w:r>
                          <w:r>
                            <w:t>30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30</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t xml:space="preserve">— </w:t>
                          </w:r>
                          <w:r>
                            <w:fldChar w:fldCharType="begin"/>
                          </w:r>
                          <w:r>
                            <w:instrText xml:space="preserve"> PAGE  \* MERGEFORMAT </w:instrText>
                          </w:r>
                          <w:r>
                            <w:fldChar w:fldCharType="separate"/>
                          </w:r>
                          <w:r>
                            <w:t>30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30</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t xml:space="preserve">— </w:t>
                          </w:r>
                          <w:r>
                            <w:fldChar w:fldCharType="begin"/>
                          </w:r>
                          <w:r>
                            <w:instrText xml:space="preserve"> PAGE  \* MERGEFORMAT </w:instrText>
                          </w:r>
                          <w:r>
                            <w:fldChar w:fldCharType="separate"/>
                          </w:r>
                          <w:r>
                            <w:t>33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TUzL05AgAAcw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TUzL05AgAAcwQAAA4AAAAAAAAAAQAgAAAAHwEAAGRycy9lMm9Eb2Mu&#10;eG1sUEsFBgAAAAAGAAYAWQEAAMoFA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33</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pPr>
                      <w:pStyle w:val="15"/>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5871"/>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50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1JrUUz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jN9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1JrUUzAgAAZQQAAA4AAAAAAAAAAQAgAAAAHwEAAGRycy9lMm9Eb2MueG1sUEsF&#10;BgAAAAAGAAYAWQEAAMQFA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50</w:t>
                    </w:r>
                    <w:r>
                      <w:fldChar w:fldCharType="end"/>
                    </w:r>
                    <w:r>
                      <w:t xml:space="preserve"> —</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sz w:val="21"/>
        <w:szCs w:val="21"/>
        <w:u w:val="single"/>
      </w:rPr>
    </w:pPr>
    <w:r>
      <w:rPr>
        <w:rFonts w:hint="eastAsia" w:ascii="宋体" w:hAnsi="宋体" w:eastAsia="宋体" w:cs="宋体"/>
        <w:spacing w:val="11"/>
        <w:sz w:val="21"/>
        <w:szCs w:val="21"/>
        <w:u w:val="single"/>
      </w:rPr>
      <w:t xml:space="preserve">附录 A   </w:t>
    </w:r>
    <w:r>
      <w:rPr>
        <w:rFonts w:hint="eastAsia" w:ascii="宋体" w:hAnsi="宋体" w:eastAsia="宋体" w:cs="宋体"/>
        <w:spacing w:val="11"/>
        <w:sz w:val="21"/>
        <w:szCs w:val="21"/>
        <w:u w:val="single"/>
        <w:lang w:val="en-US" w:eastAsia="zh-CN"/>
      </w:rPr>
      <w:t xml:space="preserve">        </w:t>
    </w:r>
    <w:r>
      <w:rPr>
        <w:rFonts w:hint="eastAsia" w:ascii="宋体" w:hAnsi="宋体" w:eastAsia="宋体" w:cs="宋体"/>
        <w:spacing w:val="11"/>
        <w:sz w:val="21"/>
        <w:szCs w:val="21"/>
        <w:u w:val="single"/>
      </w:rPr>
      <w:t xml:space="preserve"> </w:t>
    </w:r>
    <w:r>
      <w:rPr>
        <w:rFonts w:hint="eastAsia" w:ascii="宋体" w:hAnsi="宋体" w:eastAsia="宋体" w:cs="宋体"/>
        <w:spacing w:val="11"/>
        <w:sz w:val="21"/>
        <w:szCs w:val="21"/>
        <w:u w:val="single"/>
        <w:lang w:val="en-US" w:eastAsia="zh-CN"/>
      </w:rPr>
      <w:t xml:space="preserve">                华容县交通运输局突发事件</w:t>
    </w:r>
    <w:r>
      <w:rPr>
        <w:rFonts w:hint="eastAsia" w:ascii="宋体" w:hAnsi="宋体" w:eastAsia="宋体" w:cs="宋体"/>
        <w:spacing w:val="11"/>
        <w:sz w:val="21"/>
        <w:szCs w:val="21"/>
        <w:u w:val="single"/>
      </w:rPr>
      <w:t>故风险评估报告</w:t>
    </w:r>
    <w:r>
      <w:rPr>
        <w:rFonts w:hint="eastAsia" w:ascii="宋体" w:hAnsi="宋体" w:eastAsia="宋体" w:cs="宋体"/>
        <w:spacing w:val="11"/>
        <w:sz w:val="21"/>
        <w:szCs w:val="21"/>
        <w:u w:val="single"/>
        <w:lang w:val="en-US" w:eastAsia="zh-CN"/>
      </w:rPr>
      <w:t xml:space="preserve">        </w:t>
    </w:r>
    <w:r>
      <w:rPr>
        <w:rFonts w:hint="eastAsia"/>
        <w:spacing w:val="11"/>
        <w:sz w:val="21"/>
        <w:szCs w:val="21"/>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hint="default" w:eastAsiaTheme="minorEastAsia"/>
        <w:sz w:val="8"/>
        <w:szCs w:val="15"/>
        <w:u w:val="single"/>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AE6D32"/>
    <w:multiLevelType w:val="singleLevel"/>
    <w:tmpl w:val="C2AE6D32"/>
    <w:lvl w:ilvl="0" w:tentative="0">
      <w:start w:val="1"/>
      <w:numFmt w:val="decimal"/>
      <w:lvlText w:val="(%1)"/>
      <w:lvlJc w:val="left"/>
      <w:pPr>
        <w:tabs>
          <w:tab w:val="left" w:pos="312"/>
        </w:tabs>
      </w:pPr>
    </w:lvl>
  </w:abstractNum>
  <w:abstractNum w:abstractNumId="1">
    <w:nsid w:val="C732185F"/>
    <w:multiLevelType w:val="singleLevel"/>
    <w:tmpl w:val="C732185F"/>
    <w:lvl w:ilvl="0" w:tentative="0">
      <w:start w:val="1"/>
      <w:numFmt w:val="decimal"/>
      <w:suff w:val="nothing"/>
      <w:lvlText w:val="（%1）"/>
      <w:lvlJc w:val="left"/>
      <w:pPr>
        <w:ind w:left="-10"/>
      </w:pPr>
    </w:lvl>
  </w:abstractNum>
  <w:abstractNum w:abstractNumId="2">
    <w:nsid w:val="DB9E572B"/>
    <w:multiLevelType w:val="singleLevel"/>
    <w:tmpl w:val="DB9E572B"/>
    <w:lvl w:ilvl="0" w:tentative="0">
      <w:start w:val="1"/>
      <w:numFmt w:val="decimal"/>
      <w:suff w:val="nothing"/>
      <w:lvlText w:val="%1、"/>
      <w:lvlJc w:val="left"/>
    </w:lvl>
  </w:abstractNum>
  <w:abstractNum w:abstractNumId="3">
    <w:nsid w:val="F4E8F257"/>
    <w:multiLevelType w:val="singleLevel"/>
    <w:tmpl w:val="F4E8F257"/>
    <w:lvl w:ilvl="0" w:tentative="0">
      <w:start w:val="3"/>
      <w:numFmt w:val="chineseCounting"/>
      <w:suff w:val="nothing"/>
      <w:lvlText w:val="（%1）"/>
      <w:lvlJc w:val="left"/>
      <w:rPr>
        <w:rFonts w:hint="eastAsia"/>
      </w:rPr>
    </w:lvl>
  </w:abstractNum>
  <w:abstractNum w:abstractNumId="4">
    <w:nsid w:val="7CFBCB68"/>
    <w:multiLevelType w:val="singleLevel"/>
    <w:tmpl w:val="7CFBCB68"/>
    <w:lvl w:ilvl="0" w:tentative="0">
      <w:start w:val="1"/>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dit="readOnly" w:formatting="1"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kZGNhNTU0NzNiYmI1NGIxYzdkZDljNDcwNjQ4NjEifQ=="/>
  </w:docVars>
  <w:rsids>
    <w:rsidRoot w:val="6038462F"/>
    <w:rsid w:val="00021176"/>
    <w:rsid w:val="00043012"/>
    <w:rsid w:val="0005363A"/>
    <w:rsid w:val="0007082C"/>
    <w:rsid w:val="00084ED0"/>
    <w:rsid w:val="000C38C3"/>
    <w:rsid w:val="000E1A35"/>
    <w:rsid w:val="00127404"/>
    <w:rsid w:val="001553BE"/>
    <w:rsid w:val="001E1ADB"/>
    <w:rsid w:val="00257D86"/>
    <w:rsid w:val="00296BC8"/>
    <w:rsid w:val="003C2380"/>
    <w:rsid w:val="003C70AD"/>
    <w:rsid w:val="003D71DE"/>
    <w:rsid w:val="00472F66"/>
    <w:rsid w:val="004A06CF"/>
    <w:rsid w:val="00561007"/>
    <w:rsid w:val="00582B97"/>
    <w:rsid w:val="00591BEC"/>
    <w:rsid w:val="00597CA3"/>
    <w:rsid w:val="005C45AC"/>
    <w:rsid w:val="005D5363"/>
    <w:rsid w:val="005E7F5D"/>
    <w:rsid w:val="006369F8"/>
    <w:rsid w:val="007604C4"/>
    <w:rsid w:val="007A62EA"/>
    <w:rsid w:val="00805C77"/>
    <w:rsid w:val="00821826"/>
    <w:rsid w:val="008542E3"/>
    <w:rsid w:val="008977AD"/>
    <w:rsid w:val="008D57FB"/>
    <w:rsid w:val="008F7C1A"/>
    <w:rsid w:val="00977BF8"/>
    <w:rsid w:val="009A51CA"/>
    <w:rsid w:val="00A477BF"/>
    <w:rsid w:val="00A83DE6"/>
    <w:rsid w:val="00A94128"/>
    <w:rsid w:val="00AC1DCB"/>
    <w:rsid w:val="00AD041F"/>
    <w:rsid w:val="00B460BC"/>
    <w:rsid w:val="00B5126B"/>
    <w:rsid w:val="00B83137"/>
    <w:rsid w:val="00BC6514"/>
    <w:rsid w:val="00BD3CEC"/>
    <w:rsid w:val="00BE5B1F"/>
    <w:rsid w:val="00C223BE"/>
    <w:rsid w:val="00C83B4D"/>
    <w:rsid w:val="00CA079A"/>
    <w:rsid w:val="00CA5258"/>
    <w:rsid w:val="00CC0991"/>
    <w:rsid w:val="00CD0472"/>
    <w:rsid w:val="00CD4F24"/>
    <w:rsid w:val="00D1402D"/>
    <w:rsid w:val="00D25CE6"/>
    <w:rsid w:val="00D42E1E"/>
    <w:rsid w:val="00D81447"/>
    <w:rsid w:val="00E13333"/>
    <w:rsid w:val="00E401B1"/>
    <w:rsid w:val="00E64628"/>
    <w:rsid w:val="00E77173"/>
    <w:rsid w:val="00EB733F"/>
    <w:rsid w:val="00F04061"/>
    <w:rsid w:val="00F21857"/>
    <w:rsid w:val="00F37652"/>
    <w:rsid w:val="00FA207F"/>
    <w:rsid w:val="00FB3AB1"/>
    <w:rsid w:val="018C519F"/>
    <w:rsid w:val="01A93842"/>
    <w:rsid w:val="04B40BA8"/>
    <w:rsid w:val="056D5304"/>
    <w:rsid w:val="076D3A02"/>
    <w:rsid w:val="07E06245"/>
    <w:rsid w:val="08557E36"/>
    <w:rsid w:val="085E6990"/>
    <w:rsid w:val="08774119"/>
    <w:rsid w:val="08931718"/>
    <w:rsid w:val="08D7398D"/>
    <w:rsid w:val="08FA009D"/>
    <w:rsid w:val="0A4B0A3B"/>
    <w:rsid w:val="0B960791"/>
    <w:rsid w:val="0C30616F"/>
    <w:rsid w:val="0EE228A3"/>
    <w:rsid w:val="0F1B5DB5"/>
    <w:rsid w:val="1016518B"/>
    <w:rsid w:val="103F1AE1"/>
    <w:rsid w:val="10461F54"/>
    <w:rsid w:val="11022642"/>
    <w:rsid w:val="11522CB6"/>
    <w:rsid w:val="11540CC4"/>
    <w:rsid w:val="122C7D6F"/>
    <w:rsid w:val="12C71CC2"/>
    <w:rsid w:val="13B67F92"/>
    <w:rsid w:val="148D0DA1"/>
    <w:rsid w:val="151C19A5"/>
    <w:rsid w:val="16376C43"/>
    <w:rsid w:val="17A27A67"/>
    <w:rsid w:val="18A230A3"/>
    <w:rsid w:val="18CE5A58"/>
    <w:rsid w:val="19B20DA3"/>
    <w:rsid w:val="1B4F34F0"/>
    <w:rsid w:val="1CAA13C8"/>
    <w:rsid w:val="1CD55F41"/>
    <w:rsid w:val="1CF86C44"/>
    <w:rsid w:val="1D0F2632"/>
    <w:rsid w:val="1D6E0C57"/>
    <w:rsid w:val="1E037E8F"/>
    <w:rsid w:val="1EE5050E"/>
    <w:rsid w:val="1F2E313B"/>
    <w:rsid w:val="20BD1E1B"/>
    <w:rsid w:val="20F639E0"/>
    <w:rsid w:val="21191A82"/>
    <w:rsid w:val="2129610F"/>
    <w:rsid w:val="219B7F2A"/>
    <w:rsid w:val="22A931A3"/>
    <w:rsid w:val="230D6004"/>
    <w:rsid w:val="23A87807"/>
    <w:rsid w:val="23CB24AC"/>
    <w:rsid w:val="23EC37CA"/>
    <w:rsid w:val="26771756"/>
    <w:rsid w:val="275D49B7"/>
    <w:rsid w:val="27D34134"/>
    <w:rsid w:val="28171812"/>
    <w:rsid w:val="28DD3604"/>
    <w:rsid w:val="28EA2628"/>
    <w:rsid w:val="28EE3FB7"/>
    <w:rsid w:val="2A546AA9"/>
    <w:rsid w:val="2A8F08AD"/>
    <w:rsid w:val="2B163BA8"/>
    <w:rsid w:val="2B2067D5"/>
    <w:rsid w:val="2BB37649"/>
    <w:rsid w:val="2BCA4992"/>
    <w:rsid w:val="2C7D6A77"/>
    <w:rsid w:val="2C9F7BCD"/>
    <w:rsid w:val="2D4A3E16"/>
    <w:rsid w:val="2E7B0A3A"/>
    <w:rsid w:val="2F1F65C3"/>
    <w:rsid w:val="3034687E"/>
    <w:rsid w:val="31F516EE"/>
    <w:rsid w:val="32374B9D"/>
    <w:rsid w:val="33246A81"/>
    <w:rsid w:val="33594B5C"/>
    <w:rsid w:val="34975C0C"/>
    <w:rsid w:val="3522139B"/>
    <w:rsid w:val="35766551"/>
    <w:rsid w:val="371917A8"/>
    <w:rsid w:val="3786664E"/>
    <w:rsid w:val="37A12A4B"/>
    <w:rsid w:val="38E5616C"/>
    <w:rsid w:val="39096F19"/>
    <w:rsid w:val="3BCC190B"/>
    <w:rsid w:val="3D820C29"/>
    <w:rsid w:val="3F914BEE"/>
    <w:rsid w:val="4105229D"/>
    <w:rsid w:val="41194EF6"/>
    <w:rsid w:val="417D4344"/>
    <w:rsid w:val="43931FDB"/>
    <w:rsid w:val="4395495F"/>
    <w:rsid w:val="43A80A7B"/>
    <w:rsid w:val="43C05120"/>
    <w:rsid w:val="44FA19ED"/>
    <w:rsid w:val="45D64D26"/>
    <w:rsid w:val="488D2D5B"/>
    <w:rsid w:val="49551795"/>
    <w:rsid w:val="49C47BCD"/>
    <w:rsid w:val="4B5C058F"/>
    <w:rsid w:val="4C1E13B1"/>
    <w:rsid w:val="4DC82A2C"/>
    <w:rsid w:val="4E44311B"/>
    <w:rsid w:val="508C42AE"/>
    <w:rsid w:val="50A63C2F"/>
    <w:rsid w:val="50C053D7"/>
    <w:rsid w:val="50C468B6"/>
    <w:rsid w:val="50E21CB3"/>
    <w:rsid w:val="51817098"/>
    <w:rsid w:val="52503088"/>
    <w:rsid w:val="530C5654"/>
    <w:rsid w:val="53B35B89"/>
    <w:rsid w:val="53F80C32"/>
    <w:rsid w:val="542676A8"/>
    <w:rsid w:val="54A27782"/>
    <w:rsid w:val="55DF2C65"/>
    <w:rsid w:val="572242B0"/>
    <w:rsid w:val="57933756"/>
    <w:rsid w:val="59E67760"/>
    <w:rsid w:val="5A4C33E6"/>
    <w:rsid w:val="5AC4314B"/>
    <w:rsid w:val="5C8F15E1"/>
    <w:rsid w:val="5CF07492"/>
    <w:rsid w:val="5D944F26"/>
    <w:rsid w:val="5E2F29E1"/>
    <w:rsid w:val="5F1262BA"/>
    <w:rsid w:val="5F204BBB"/>
    <w:rsid w:val="6038462F"/>
    <w:rsid w:val="60D62EB6"/>
    <w:rsid w:val="60DE77B4"/>
    <w:rsid w:val="63F30537"/>
    <w:rsid w:val="66860EDB"/>
    <w:rsid w:val="66996731"/>
    <w:rsid w:val="66C42D8D"/>
    <w:rsid w:val="673B2BA8"/>
    <w:rsid w:val="688471B6"/>
    <w:rsid w:val="689C67B2"/>
    <w:rsid w:val="68FD36D6"/>
    <w:rsid w:val="691E53FA"/>
    <w:rsid w:val="6932072A"/>
    <w:rsid w:val="693754B3"/>
    <w:rsid w:val="6A5C0FEE"/>
    <w:rsid w:val="6B1116BB"/>
    <w:rsid w:val="6B4078AA"/>
    <w:rsid w:val="6BF80A73"/>
    <w:rsid w:val="6C3C4B73"/>
    <w:rsid w:val="6DEA61F3"/>
    <w:rsid w:val="6E126EA9"/>
    <w:rsid w:val="6F910639"/>
    <w:rsid w:val="6FC276CE"/>
    <w:rsid w:val="70CA0065"/>
    <w:rsid w:val="70F27898"/>
    <w:rsid w:val="7161026C"/>
    <w:rsid w:val="71932EB3"/>
    <w:rsid w:val="72620A09"/>
    <w:rsid w:val="72C1667F"/>
    <w:rsid w:val="731B6DE4"/>
    <w:rsid w:val="733D565B"/>
    <w:rsid w:val="734D5EFB"/>
    <w:rsid w:val="73751B6F"/>
    <w:rsid w:val="74D26F61"/>
    <w:rsid w:val="75271DBF"/>
    <w:rsid w:val="76A87097"/>
    <w:rsid w:val="79354912"/>
    <w:rsid w:val="79682C6A"/>
    <w:rsid w:val="7B476768"/>
    <w:rsid w:val="7BE40725"/>
    <w:rsid w:val="7C114F0F"/>
    <w:rsid w:val="7C653614"/>
    <w:rsid w:val="7DA12E68"/>
    <w:rsid w:val="7DBF28E8"/>
    <w:rsid w:val="7E042E1F"/>
    <w:rsid w:val="7E6845CE"/>
    <w:rsid w:val="7EC14D4E"/>
    <w:rsid w:val="7F651B7D"/>
    <w:rsid w:val="7F6F6FC2"/>
    <w:rsid w:val="7FC82F9A"/>
    <w:rsid w:val="7FE511DB"/>
    <w:rsid w:val="7FF52F01"/>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Cambria" w:hAnsi="Cambria" w:eastAsia="楷体" w:cs="Times New Roman"/>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7"/>
    <w:qFormat/>
    <w:uiPriority w:val="9"/>
    <w:pPr>
      <w:keepNext/>
      <w:keepLines/>
      <w:widowControl/>
      <w:spacing w:before="280" w:after="290" w:line="376" w:lineRule="auto"/>
      <w:ind w:left="864" w:hanging="864"/>
      <w:jc w:val="left"/>
      <w:outlineLvl w:val="3"/>
    </w:pPr>
    <w:rPr>
      <w:rFonts w:ascii="Calibri Light" w:hAnsi="Calibri Light"/>
      <w:b/>
      <w:bCs/>
      <w:kern w:val="0"/>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4正文"/>
    <w:basedOn w:val="1"/>
    <w:qFormat/>
    <w:uiPriority w:val="0"/>
    <w:pPr>
      <w:adjustRightInd w:val="0"/>
      <w:spacing w:beforeLines="50" w:afterLines="50" w:line="400" w:lineRule="atLeast"/>
      <w:ind w:firstLine="200" w:firstLineChars="200"/>
      <w:textAlignment w:val="baseline"/>
    </w:pPr>
    <w:rPr>
      <w:rFonts w:ascii="宋体" w:hAnsi="宋体" w:eastAsia="宋体" w:cs="Times New Roman"/>
      <w:sz w:val="24"/>
      <w:szCs w:val="24"/>
    </w:rPr>
  </w:style>
  <w:style w:type="paragraph" w:styleId="7">
    <w:name w:val="Normal Indent"/>
    <w:basedOn w:val="1"/>
    <w:next w:val="6"/>
    <w:qFormat/>
    <w:uiPriority w:val="0"/>
    <w:pPr>
      <w:ind w:firstLine="420" w:firstLineChars="200"/>
    </w:pPr>
  </w:style>
  <w:style w:type="paragraph" w:styleId="8">
    <w:name w:val="annotation text"/>
    <w:basedOn w:val="1"/>
    <w:qFormat/>
    <w:uiPriority w:val="0"/>
    <w:pPr>
      <w:jc w:val="left"/>
    </w:pPr>
  </w:style>
  <w:style w:type="paragraph" w:styleId="9">
    <w:name w:val="Body Text"/>
    <w:basedOn w:val="1"/>
    <w:next w:val="10"/>
    <w:qFormat/>
    <w:uiPriority w:val="0"/>
    <w:pPr>
      <w:widowControl/>
      <w:spacing w:after="120"/>
      <w:jc w:val="left"/>
    </w:pPr>
    <w:rPr>
      <w:rFonts w:ascii="Times New Roman" w:hAnsi="Times New Roman" w:cs="宋体"/>
      <w:kern w:val="0"/>
      <w:sz w:val="24"/>
    </w:rPr>
  </w:style>
  <w:style w:type="paragraph" w:customStyle="1" w:styleId="1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4"/>
    </w:rPr>
  </w:style>
  <w:style w:type="paragraph" w:styleId="11">
    <w:name w:val="Body Text Indent"/>
    <w:basedOn w:val="1"/>
    <w:next w:val="12"/>
    <w:qFormat/>
    <w:uiPriority w:val="0"/>
    <w:pPr>
      <w:autoSpaceDE w:val="0"/>
      <w:autoSpaceDN w:val="0"/>
      <w:adjustRightInd w:val="0"/>
      <w:ind w:firstLine="524"/>
    </w:pPr>
    <w:rPr>
      <w:rFonts w:ascii="仿宋_GB2312" w:eastAsia="仿宋_GB2312"/>
      <w:sz w:val="24"/>
      <w:szCs w:val="28"/>
      <w:lang w:val="zh-CN"/>
    </w:rPr>
  </w:style>
  <w:style w:type="paragraph" w:styleId="12">
    <w:name w:val="Body Text Indent 3"/>
    <w:basedOn w:val="1"/>
    <w:qFormat/>
    <w:uiPriority w:val="0"/>
    <w:pPr>
      <w:autoSpaceDE w:val="0"/>
      <w:autoSpaceDN w:val="0"/>
      <w:adjustRightInd w:val="0"/>
      <w:ind w:firstLine="490"/>
    </w:pPr>
    <w:rPr>
      <w:rFonts w:ascii="宋体" w:hAnsi="宋体"/>
      <w:sz w:val="24"/>
      <w:szCs w:val="28"/>
      <w:lang w:val="zh-CN"/>
    </w:rPr>
  </w:style>
  <w:style w:type="paragraph" w:styleId="13">
    <w:name w:val="toc 3"/>
    <w:basedOn w:val="1"/>
    <w:next w:val="1"/>
    <w:qFormat/>
    <w:uiPriority w:val="0"/>
    <w:pPr>
      <w:ind w:left="840" w:leftChars="400"/>
    </w:pPr>
  </w:style>
  <w:style w:type="paragraph" w:styleId="14">
    <w:name w:val="Plain Text"/>
    <w:basedOn w:val="1"/>
    <w:qFormat/>
    <w:uiPriority w:val="0"/>
    <w:rPr>
      <w:rFonts w:ascii="宋体" w:hAnsi="Courier New"/>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qFormat/>
    <w:uiPriority w:val="0"/>
  </w:style>
  <w:style w:type="paragraph" w:styleId="18">
    <w:name w:val="toc 2"/>
    <w:basedOn w:val="1"/>
    <w:next w:val="1"/>
    <w:qFormat/>
    <w:uiPriority w:val="0"/>
    <w:pPr>
      <w:ind w:left="420" w:leftChars="200"/>
    </w:pPr>
  </w:style>
  <w:style w:type="paragraph" w:styleId="19">
    <w:name w:val="Normal (Web)"/>
    <w:basedOn w:val="1"/>
    <w:qFormat/>
    <w:uiPriority w:val="0"/>
    <w:pPr>
      <w:widowControl/>
      <w:spacing w:beforeAutospacing="1" w:afterAutospacing="1"/>
      <w:jc w:val="left"/>
    </w:pPr>
    <w:rPr>
      <w:rFonts w:ascii="宋体" w:hAnsi="宋体"/>
      <w:kern w:val="0"/>
      <w:sz w:val="24"/>
    </w:rPr>
  </w:style>
  <w:style w:type="paragraph" w:styleId="20">
    <w:name w:val="Body Text First Indent 2"/>
    <w:basedOn w:val="11"/>
    <w:next w:val="1"/>
    <w:unhideWhenUsed/>
    <w:qFormat/>
    <w:uiPriority w:val="99"/>
    <w:pPr>
      <w:autoSpaceDE/>
      <w:autoSpaceDN/>
      <w:adjustRightInd/>
      <w:spacing w:after="120"/>
      <w:ind w:left="420" w:leftChars="200" w:firstLine="420" w:firstLineChars="200"/>
    </w:pPr>
    <w:rPr>
      <w:rFonts w:ascii="Calibri" w:eastAsia="宋体"/>
      <w:sz w:val="21"/>
      <w:szCs w:val="24"/>
      <w:lang w:val="en-US"/>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rPr>
  </w:style>
  <w:style w:type="character" w:styleId="25">
    <w:name w:val="Hyperlink"/>
    <w:basedOn w:val="23"/>
    <w:qFormat/>
    <w:uiPriority w:val="0"/>
    <w:rPr>
      <w:color w:val="0000FF"/>
      <w:u w:val="single"/>
    </w:rPr>
  </w:style>
  <w:style w:type="character" w:customStyle="1" w:styleId="26">
    <w:name w:val="MSG_EN_FONT_STYLE_NAME_TEMPLATE_ROLE_NUMBER MSG_EN_FONT_STYLE_NAME_BY_ROLE_TEXT 2 + MSG_EN_FONT_STYLE_MODIFER_SIZE 8"/>
    <w:qFormat/>
    <w:uiPriority w:val="0"/>
    <w:rPr>
      <w:rFonts w:ascii="PMingLiU" w:hAnsi="PMingLiU" w:eastAsia="PMingLiU" w:cs="PMingLiU"/>
      <w:b/>
      <w:bCs/>
      <w:color w:val="000000"/>
      <w:spacing w:val="10"/>
      <w:w w:val="100"/>
      <w:position w:val="0"/>
      <w:sz w:val="16"/>
      <w:szCs w:val="16"/>
      <w:u w:val="none"/>
      <w:lang w:val="zh-CN" w:eastAsia="zh-CN" w:bidi="zh-CN"/>
    </w:rPr>
  </w:style>
  <w:style w:type="paragraph" w:customStyle="1" w:styleId="27">
    <w:name w:val="MSG_EN_FONT_STYLE_NAME_TEMPLATE_ROLE_NUMBER MSG_EN_FONT_STYLE_NAME_BY_ROLE_TEXT 2"/>
    <w:basedOn w:val="1"/>
    <w:qFormat/>
    <w:uiPriority w:val="0"/>
    <w:pPr>
      <w:shd w:val="clear" w:color="auto" w:fill="FFFFFF"/>
      <w:spacing w:before="260" w:line="432" w:lineRule="exact"/>
      <w:ind w:firstLine="520"/>
      <w:jc w:val="distribute"/>
    </w:pPr>
    <w:rPr>
      <w:rFonts w:ascii="PMingLiU" w:hAnsi="PMingLiU" w:eastAsia="PMingLiU"/>
      <w:sz w:val="20"/>
      <w:szCs w:val="20"/>
    </w:rPr>
  </w:style>
  <w:style w:type="paragraph" w:customStyle="1" w:styleId="28">
    <w:name w:val="contentarticle"/>
    <w:basedOn w:val="1"/>
    <w:qFormat/>
    <w:uiPriority w:val="0"/>
    <w:pPr>
      <w:jc w:val="left"/>
    </w:pPr>
    <w:rPr>
      <w:rFonts w:cs="Times New Roman"/>
      <w:kern w:val="0"/>
      <w:szCs w:val="21"/>
    </w:rPr>
  </w:style>
  <w:style w:type="paragraph" w:customStyle="1" w:styleId="29">
    <w:name w:val="li_正文"/>
    <w:basedOn w:val="1"/>
    <w:qFormat/>
    <w:uiPriority w:val="0"/>
    <w:pPr>
      <w:topLinePunct/>
      <w:adjustRightInd w:val="0"/>
      <w:snapToGrid w:val="0"/>
      <w:spacing w:line="360" w:lineRule="auto"/>
      <w:ind w:firstLine="700" w:firstLineChars="250"/>
    </w:pPr>
    <w:rPr>
      <w:rFonts w:ascii="宋体" w:hAnsi="宋体"/>
      <w:sz w:val="28"/>
      <w:szCs w:val="28"/>
    </w:rPr>
  </w:style>
  <w:style w:type="paragraph" w:styleId="30">
    <w:name w:val="List Paragraph"/>
    <w:basedOn w:val="1"/>
    <w:unhideWhenUsed/>
    <w:qFormat/>
    <w:uiPriority w:val="99"/>
    <w:pPr>
      <w:ind w:firstLine="420" w:firstLineChars="200"/>
    </w:p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paragraph" w:customStyle="1" w:styleId="32">
    <w:name w:val="WPSOffice手动目录 2"/>
    <w:qFormat/>
    <w:uiPriority w:val="0"/>
    <w:pPr>
      <w:ind w:leftChars="200"/>
    </w:pPr>
    <w:rPr>
      <w:rFonts w:ascii="Times New Roman" w:hAnsi="Times New Roman" w:eastAsia="宋体" w:cs="Times New Roman"/>
      <w:sz w:val="20"/>
      <w:szCs w:val="20"/>
    </w:rPr>
  </w:style>
  <w:style w:type="table" w:customStyle="1" w:styleId="33">
    <w:name w:val="Table Normal"/>
    <w:semiHidden/>
    <w:unhideWhenUsed/>
    <w:qFormat/>
    <w:uiPriority w:val="0"/>
    <w:tblPr>
      <w:tblCellMar>
        <w:top w:w="0" w:type="dxa"/>
        <w:left w:w="0" w:type="dxa"/>
        <w:bottom w:w="0" w:type="dxa"/>
        <w:right w:w="0" w:type="dxa"/>
      </w:tblCellMar>
    </w:tblPr>
  </w:style>
  <w:style w:type="paragraph" w:customStyle="1" w:styleId="34">
    <w:name w:val="新正文"/>
    <w:basedOn w:val="1"/>
    <w:qFormat/>
    <w:uiPriority w:val="99"/>
    <w:pPr>
      <w:spacing w:line="560" w:lineRule="atLeast"/>
      <w:jc w:val="center"/>
      <w:outlineLvl w:val="0"/>
    </w:pPr>
    <w:rPr>
      <w:rFonts w:ascii="方正小标宋简体" w:hAnsi="方正小标宋简体" w:eastAsia="方正小标宋简体" w:cs="宋体"/>
      <w:bCs/>
      <w:color w:val="000000" w:themeColor="text1"/>
      <w:kern w:val="0"/>
      <w:sz w:val="36"/>
      <w:szCs w:val="36"/>
      <w14:textFill>
        <w14:solidFill>
          <w14:schemeClr w14:val="tx1"/>
        </w14:solidFill>
      </w14:textFill>
    </w:rPr>
  </w:style>
  <w:style w:type="paragraph" w:customStyle="1" w:styleId="35">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AF386C-2B57-4307-B99A-960F0255359A}">
  <ds:schemaRefs/>
</ds:datastoreItem>
</file>

<file path=docProps/app.xml><?xml version="1.0" encoding="utf-8"?>
<Properties xmlns="http://schemas.openxmlformats.org/officeDocument/2006/extended-properties" xmlns:vt="http://schemas.openxmlformats.org/officeDocument/2006/docPropsVTypes">
  <Template>Normal</Template>
  <Pages>73</Pages>
  <Words>39567</Words>
  <Characters>41604</Characters>
  <Lines>162</Lines>
  <Paragraphs>45</Paragraphs>
  <TotalTime>0</TotalTime>
  <ScaleCrop>false</ScaleCrop>
  <LinksUpToDate>false</LinksUpToDate>
  <CharactersWithSpaces>42136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2022-03-04T08:13:00Z</dcterms:created>
  <dc:creator>Administrator</dc:creator>
  <cp:lastModifiedBy>懒懒冰</cp:lastModifiedBy>
  <cp:lastPrinted>2023-03-03T01:19:00Z</cp:lastPrinted>
  <dcterms:modified xsi:type="dcterms:W3CDTF">2023-08-16T09:53:36Z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6E772391B0814867A4D52D1E8959CE8F_13</vt:lpwstr>
  </property>
</Properties>
</file>