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ascii="仿宋" w:hAnsi="仿宋" w:eastAsia="仿宋" w:cs="仿宋_GB2312"/>
          <w:sz w:val="32"/>
          <w:szCs w:val="32"/>
          <w:u w:val="single"/>
        </w:rPr>
        <w:t>华容县广播电视</w:t>
      </w:r>
      <w:r>
        <w:rPr>
          <w:rFonts w:hint="eastAsia" w:ascii="仿宋" w:hAnsi="仿宋" w:eastAsia="仿宋" w:cs="仿宋_GB2312"/>
          <w:sz w:val="32"/>
          <w:szCs w:val="32"/>
          <w:u w:val="single"/>
          <w:lang w:val="en-US" w:eastAsia="zh-CN"/>
        </w:rPr>
        <w:t>网络传输中心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spacing w:val="20"/>
          <w:sz w:val="36"/>
          <w:szCs w:val="36"/>
          <w:u w:val="single"/>
        </w:rPr>
        <w:t>20700</w:t>
      </w:r>
      <w:r>
        <w:rPr>
          <w:rFonts w:hint="eastAsia"/>
          <w:spacing w:val="20"/>
          <w:sz w:val="36"/>
          <w:szCs w:val="36"/>
          <w:u w:val="single"/>
          <w:lang w:val="en-US" w:eastAsia="zh-CN"/>
        </w:rPr>
        <w:t>2</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13</w:t>
      </w:r>
      <w:bookmarkStart w:id="0" w:name="_GoBack"/>
      <w:bookmarkEnd w:id="0"/>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7"/>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唐艳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spacing w:line="320" w:lineRule="exact"/>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4181811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spacing w:line="320" w:lineRule="exact"/>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1、承担全县范围内村村响、户户通及应急广播、有线和无线数字电视网络的传输、监测和技术验收工作；</w:t>
            </w:r>
          </w:p>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2、承担中央、省、市、县电视台在本地区的转播发射和发展维护工作；</w:t>
            </w:r>
          </w:p>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3、受委托承担全县智慧城市、旧城改造等重大网络建设或改造项目的具体实施工作。</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任务1：</w:t>
            </w:r>
            <w:r>
              <w:rPr>
                <w:rFonts w:hint="eastAsia" w:ascii="仿宋" w:hAnsi="仿宋" w:eastAsia="仿宋" w:cs="仿宋"/>
                <w:color w:val="000000"/>
                <w:sz w:val="24"/>
                <w:szCs w:val="24"/>
                <w:lang w:val="en-US" w:eastAsia="zh-CN"/>
              </w:rPr>
              <w:t>承担全县范围内村村响、户户通及应急广播、有线和无线数字电视网络的传输、监测和技术验收工作；</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任务2：承担中央、省、市、县电视台在本地区的转播发射和发展维护工作；</w:t>
            </w:r>
          </w:p>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任务</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受委托承担全县智慧城市、旧城改造等重大网络建设或改造项目的具体实施工作。</w:t>
            </w:r>
          </w:p>
          <w:p>
            <w:pPr>
              <w:pStyle w:val="2"/>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1、承担全县范围内村村响、户户通及应急广播、有线和无线数字电视网络的传输、监测和技术验收工作；</w:t>
            </w:r>
          </w:p>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2、承担中央、省、市、县电视台在本地区的转播发射和发展维护工作；</w:t>
            </w:r>
          </w:p>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3、受委托承担全县智慧城市、旧城改造等重大网络建设或改造项目的具体实施工作。</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27.05</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27.05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27.05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27.05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27.05</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 w:hAnsi="仿宋" w:eastAsia="仿宋" w:cs="仿宋"/>
                <w:color w:val="000000"/>
                <w:sz w:val="24"/>
                <w:szCs w:val="24"/>
                <w:lang w:val="en-US" w:eastAsia="zh-CN"/>
              </w:rPr>
            </w:pPr>
            <w:r>
              <w:rPr>
                <w:rFonts w:ascii="仿宋" w:hAnsi="仿宋" w:eastAsia="仿宋" w:cs="仿宋"/>
                <w:color w:val="000000"/>
                <w:sz w:val="24"/>
                <w:szCs w:val="24"/>
              </w:rPr>
              <w:t>1</w:t>
            </w:r>
            <w:r>
              <w:rPr>
                <w:rFonts w:hint="eastAsia" w:ascii="仿宋" w:hAnsi="仿宋" w:eastAsia="仿宋" w:cs="仿宋"/>
                <w:color w:val="000000"/>
                <w:sz w:val="24"/>
                <w:szCs w:val="24"/>
                <w:lang w:val="en-US" w:eastAsia="zh-CN"/>
              </w:rPr>
              <w:t>、承担全县范围内村村响、户户通及应急广播、有线和无线数字电视网络的传输、监测和技术验收工作；</w:t>
            </w:r>
          </w:p>
          <w:p>
            <w:pPr>
              <w:autoSpaceDN w:val="0"/>
              <w:spacing w:line="320" w:lineRule="exact"/>
              <w:jc w:val="left"/>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2、承担中央、省、市、县电视台在本地区的转播发射和发展维护工作；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lang w:val="en-US" w:eastAsia="zh-CN"/>
              </w:rPr>
              <w:t>3、受委托承担全县智慧城市、旧城改造等重大网络建设或改造项目的具体实施工作。</w:t>
            </w:r>
          </w:p>
        </w:tc>
        <w:tc>
          <w:tcPr>
            <w:tcW w:w="4585" w:type="dxa"/>
            <w:gridSpan w:val="9"/>
            <w:noWrap w:val="0"/>
            <w:vAlign w:val="center"/>
          </w:tcPr>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center"/>
              <w:textAlignment w:val="center"/>
              <w:rPr>
                <w:rFonts w:ascii="??_GB2312" w:hAnsi="??_GB2312" w:cs="??_GB2312"/>
                <w:color w:val="000000"/>
                <w:sz w:val="24"/>
                <w:szCs w:val="24"/>
              </w:rPr>
            </w:pPr>
          </w:p>
          <w:p>
            <w:pPr>
              <w:spacing w:line="320" w:lineRule="exact"/>
              <w:jc w:val="center"/>
              <w:textAlignment w:val="center"/>
              <w:rPr>
                <w:rFonts w:ascii="??_GB2312" w:hAnsi="??_GB2312" w:cs="??_GB2312"/>
                <w:color w:val="000000"/>
                <w:sz w:val="24"/>
                <w:szCs w:val="24"/>
              </w:rPr>
            </w:pPr>
            <w:r>
              <w:rPr>
                <w:rFonts w:ascii="??_GB2312" w:hAnsi="??_GB2312" w:cs="??_GB2312"/>
                <w:color w:val="000000"/>
                <w:sz w:val="24"/>
                <w:szCs w:val="24"/>
              </w:rPr>
              <w:t>100%</w:t>
            </w:r>
          </w:p>
          <w:p>
            <w:pPr>
              <w:spacing w:line="320" w:lineRule="exact"/>
              <w:jc w:val="both"/>
              <w:textAlignment w:val="center"/>
              <w:rPr>
                <w:rFonts w:ascii="??_GB2312" w:hAnsi="??_GB2312" w:cs="??_GB2312"/>
                <w:color w:val="000000"/>
                <w:sz w:val="24"/>
                <w:szCs w:val="24"/>
              </w:rPr>
            </w:pPr>
          </w:p>
          <w:p>
            <w:pPr>
              <w:spacing w:line="320" w:lineRule="exact"/>
              <w:jc w:val="center"/>
              <w:textAlignment w:val="center"/>
              <w:rPr>
                <w:rFonts w:hint="eastAsia" w:ascii="仿宋_GB2312" w:hAnsi="仿宋_GB2312" w:eastAsia="仿宋_GB2312" w:cs="仿宋_GB2312"/>
                <w:color w:val="000000"/>
                <w:sz w:val="24"/>
              </w:rPr>
            </w:pPr>
            <w:r>
              <w:rPr>
                <w:rFonts w:ascii="??_GB2312" w:hAnsi="??_GB2312" w:cs="??_GB2312"/>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sz w:val="24"/>
                <w:szCs w:val="24"/>
                <w:lang w:val="en-US" w:eastAsia="zh-CN"/>
              </w:rPr>
              <w:t>村村响、户户通及应急广播、有线和无线数字电视网络的传输、监测和技术验收工作；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 w:hAnsi="仿宋" w:eastAsia="仿宋" w:cs="仿宋"/>
                <w:color w:val="000000"/>
                <w:sz w:val="24"/>
                <w:szCs w:val="24"/>
                <w:lang w:val="en-US" w:eastAsia="zh-CN"/>
              </w:rPr>
              <w:t>承担中央、省、市、县电视台在本地区的转播发射和发展维护工作；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szCs w:val="24"/>
                <w:lang w:val="en-US" w:eastAsia="zh-CN"/>
              </w:rPr>
              <w:t>指标3：受委托承担全县智慧城市、旧城改造等重大网络建设或改造项目的具体实施工作。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w:t>
            </w:r>
            <w:r>
              <w:rPr>
                <w:rFonts w:hint="eastAsia" w:ascii="仿宋" w:hAnsi="仿宋" w:eastAsia="仿宋" w:cs="仿宋"/>
                <w:color w:val="000000"/>
                <w:sz w:val="24"/>
                <w:szCs w:val="24"/>
                <w:lang w:val="en-US" w:eastAsia="zh-CN"/>
              </w:rPr>
              <w:t>村村响、户户通及应急广播、有线和无线数字电视网络的传输、监测和技术验收工作；</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lang w:val="en-US" w:eastAsia="zh-CN"/>
              </w:rPr>
              <w:t>2000户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在规定时间内完成相关工作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spacing w:line="320" w:lineRule="exact"/>
              <w:jc w:val="left"/>
              <w:textAlignment w:val="center"/>
              <w:rPr>
                <w:rFonts w:hint="eastAsia" w:ascii="仿宋" w:hAnsi="仿宋" w:eastAsia="仿宋" w:cs="仿宋"/>
                <w:color w:val="000000"/>
                <w:sz w:val="24"/>
                <w:szCs w:val="24"/>
                <w:lang w:eastAsia="zh-CN"/>
              </w:rPr>
            </w:pPr>
            <w:r>
              <w:rPr>
                <w:rFonts w:hint="eastAsia" w:ascii="仿宋_GB2312" w:hAnsi="仿宋_GB2312" w:eastAsia="仿宋_GB2312" w:cs="仿宋_GB2312"/>
                <w:color w:val="000000"/>
                <w:sz w:val="24"/>
              </w:rPr>
              <w:t>指标</w:t>
            </w:r>
            <w:r>
              <w:rPr>
                <w:rFonts w:hint="eastAsia" w:ascii="仿宋" w:hAnsi="仿宋" w:eastAsia="仿宋" w:cs="仿宋"/>
                <w:color w:val="000000"/>
                <w:sz w:val="24"/>
                <w:szCs w:val="24"/>
              </w:rPr>
              <w:t>1：保持广播电视覆盖率达到</w:t>
            </w:r>
            <w:r>
              <w:rPr>
                <w:rFonts w:hint="eastAsia" w:ascii="仿宋_GB2312" w:hAnsi="仿宋_GB2312" w:eastAsia="仿宋_GB2312" w:cs="仿宋_GB2312"/>
                <w:color w:val="000000"/>
                <w:sz w:val="24"/>
              </w:rPr>
              <w:t>98</w:t>
            </w:r>
            <w:r>
              <w:rPr>
                <w:rFonts w:hint="eastAsia" w:ascii="仿宋" w:hAnsi="仿宋" w:eastAsia="仿宋" w:cs="仿宋"/>
                <w:color w:val="000000"/>
                <w:sz w:val="24"/>
                <w:szCs w:val="24"/>
              </w:rPr>
              <w:t>%以上</w:t>
            </w:r>
            <w:r>
              <w:rPr>
                <w:rFonts w:hint="eastAsia" w:ascii="仿宋" w:hAnsi="仿宋" w:eastAsia="仿宋" w:cs="仿宋"/>
                <w:color w:val="000000"/>
                <w:sz w:val="24"/>
                <w:szCs w:val="24"/>
                <w:lang w:eastAsia="zh-CN"/>
              </w:rPr>
              <w:t>。</w:t>
            </w:r>
          </w:p>
          <w:p>
            <w:pPr>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 w:hAnsi="仿宋" w:eastAsia="仿宋" w:cs="仿宋"/>
                <w:color w:val="000000"/>
                <w:sz w:val="24"/>
                <w:szCs w:val="24"/>
              </w:rPr>
              <w:t>指标2：群众满意率高于90%指标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_GB2312" w:hAnsi="??_GB2312" w:cs="??_GB2312"/>
                <w:b/>
                <w:bCs/>
                <w:color w:val="000000"/>
                <w:sz w:val="24"/>
                <w:szCs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_GB2312"/>
                <w:color w:val="000000"/>
                <w:sz w:val="24"/>
                <w:szCs w:val="24"/>
                <w:lang w:val="en-US" w:eastAsia="zh-CN"/>
              </w:rPr>
              <w:t>99.6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吴军华</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网络传输中心主任</w:t>
            </w: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网络传输中心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贺志宏</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网络传输中心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范</w:t>
            </w:r>
            <w:r>
              <w:rPr>
                <w:rFonts w:hint="eastAsia" w:ascii="??_GB2312" w:hAnsi="??_GB2312" w:cs="宋体"/>
                <w:color w:val="000000"/>
                <w:sz w:val="24"/>
                <w:szCs w:val="24"/>
                <w:lang w:val="en-US" w:eastAsia="zh-CN"/>
              </w:rPr>
              <w:t xml:space="preserve">  </w:t>
            </w:r>
            <w:r>
              <w:rPr>
                <w:rFonts w:hint="eastAsia" w:ascii="??_GB2312" w:hAnsi="??_GB2312" w:cs="宋体"/>
                <w:color w:val="000000"/>
                <w:sz w:val="24"/>
                <w:szCs w:val="24"/>
                <w:lang w:eastAsia="zh-CN"/>
              </w:rPr>
              <w:t>纯</w:t>
            </w: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r>
              <w:rPr>
                <w:rFonts w:hint="eastAsia" w:ascii="??_GB2312" w:hAnsi="??_GB2312" w:cs="宋体"/>
                <w:color w:val="000000"/>
                <w:sz w:val="24"/>
                <w:szCs w:val="24"/>
                <w:lang w:eastAsia="zh-CN"/>
              </w:rPr>
              <w:t>网络传输中心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p>
        </w:tc>
        <w:tc>
          <w:tcPr>
            <w:tcW w:w="3561" w:type="dxa"/>
            <w:gridSpan w:val="6"/>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p>
        </w:tc>
        <w:tc>
          <w:tcPr>
            <w:tcW w:w="1479" w:type="dxa"/>
            <w:noWrap w:val="0"/>
            <w:vAlign w:val="center"/>
          </w:tcPr>
          <w:p>
            <w:pPr>
              <w:spacing w:line="320" w:lineRule="exact"/>
              <w:jc w:val="center"/>
              <w:textAlignment w:val="center"/>
              <w:rPr>
                <w:rFonts w:hint="eastAsia" w:ascii="??_GB2312" w:hAnsi="??_GB2312" w:eastAsia="宋体" w:cs="??_GB2312"/>
                <w:color w:val="000000"/>
                <w:kern w:val="2"/>
                <w:sz w:val="24"/>
                <w:szCs w:val="24"/>
                <w:lang w:val="en-US" w:eastAsia="zh-CN" w:bidi="ar-SA"/>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                          联系电话：</w:t>
      </w:r>
      <w:r>
        <w:rPr>
          <w:rFonts w:hint="eastAsia" w:eastAsia="仿宋_GB2312" w:cs="仿宋_GB2312"/>
          <w:bCs/>
          <w:sz w:val="28"/>
          <w:szCs w:val="28"/>
          <w:lang w:val="en-US" w:eastAsia="zh-CN"/>
        </w:rPr>
        <w:t>4181811</w:t>
      </w: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w:t>
            </w:r>
          </w:p>
          <w:p>
            <w:pPr>
              <w:spacing w:line="440" w:lineRule="exact"/>
              <w:ind w:firstLine="640" w:firstLineChars="200"/>
              <w:rPr>
                <w:rFonts w:hint="eastAsia" w:eastAsia="仿宋_GB2312"/>
                <w:sz w:val="32"/>
                <w:szCs w:val="32"/>
              </w:rPr>
            </w:pP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根据《华容县财政局关于开展</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财政支出绩效自评工作的通知》（华财</w:t>
            </w:r>
            <w:r>
              <w:rPr>
                <w:rFonts w:hint="eastAsia" w:ascii="仿宋_GB2312" w:eastAsia="仿宋_GB2312" w:cs="仿宋_GB2312"/>
                <w:sz w:val="32"/>
                <w:szCs w:val="32"/>
                <w:lang w:eastAsia="zh-CN"/>
              </w:rPr>
              <w:t>函</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仿宋_GB2312" w:eastAsia="仿宋_GB2312"/>
                <w:sz w:val="32"/>
                <w:szCs w:val="32"/>
                <w:lang w:val="en-US" w:eastAsia="zh-CN"/>
              </w:rPr>
              <w:t>37</w:t>
            </w:r>
            <w:r>
              <w:rPr>
                <w:rFonts w:hint="eastAsia" w:ascii="仿宋_GB2312" w:eastAsia="仿宋_GB2312"/>
                <w:sz w:val="32"/>
                <w:szCs w:val="32"/>
              </w:rPr>
              <w:t>号</w:t>
            </w:r>
            <w:r>
              <w:rPr>
                <w:rFonts w:hint="eastAsia" w:ascii="仿宋_GB2312" w:eastAsia="仿宋_GB2312" w:cs="仿宋_GB2312"/>
                <w:sz w:val="32"/>
                <w:szCs w:val="32"/>
              </w:rPr>
              <w:t>）文件精神，遵循“科学性、规范性、客观性和公正性”的原则，我</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对</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年度部门整体支出绩效进行了合理评价，现将有关情况报告如下。</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一、部门（单位）概况</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（一）部门（单位）基本情况</w:t>
            </w:r>
          </w:p>
          <w:p>
            <w:pPr>
              <w:pStyle w:val="2"/>
              <w:numPr>
                <w:ilvl w:val="0"/>
                <w:numId w:val="0"/>
              </w:numPr>
              <w:ind w:firstLine="640" w:firstLineChars="200"/>
              <w:rPr>
                <w:rFonts w:hint="eastAsia" w:ascii="仿宋_GB2312" w:hAnsi="仿宋_GB2312" w:eastAsia="仿宋_GB2312" w:cs="仿宋_GB2312"/>
                <w:b w:val="0"/>
                <w:color w:val="000000"/>
                <w:kern w:val="2"/>
                <w:sz w:val="32"/>
                <w:szCs w:val="32"/>
                <w:lang w:val="en-US" w:eastAsia="zh-CN" w:bidi="ar-SA"/>
              </w:rPr>
            </w:pPr>
            <w:r>
              <w:rPr>
                <w:rFonts w:hint="eastAsia" w:ascii="仿宋_GB2312" w:hAnsi="仿宋_GB2312" w:eastAsia="仿宋_GB2312" w:cs="仿宋_GB2312"/>
                <w:b w:val="0"/>
                <w:color w:val="000000"/>
                <w:kern w:val="2"/>
                <w:sz w:val="32"/>
                <w:szCs w:val="32"/>
                <w:lang w:val="en-US" w:eastAsia="zh-CN" w:bidi="ar-SA"/>
              </w:rPr>
              <w:t>华容县广播电视网络传输中心是华容县融媒体中心（华容县广播电视台）下属二级机构，为经营类事业单位。</w:t>
            </w:r>
            <w:r>
              <w:rPr>
                <w:rFonts w:hint="default" w:ascii="仿宋_GB2312" w:hAnsi="仿宋_GB2312" w:eastAsia="仿宋_GB2312" w:cs="仿宋_GB2312"/>
                <w:b w:val="0"/>
                <w:color w:val="000000"/>
                <w:kern w:val="2"/>
                <w:sz w:val="32"/>
                <w:szCs w:val="32"/>
                <w:lang w:val="en-US" w:eastAsia="zh-CN" w:bidi="ar-SA"/>
              </w:rPr>
              <w:t>20</w:t>
            </w:r>
            <w:r>
              <w:rPr>
                <w:rFonts w:hint="eastAsia" w:ascii="仿宋_GB2312" w:hAnsi="仿宋_GB2312" w:eastAsia="仿宋_GB2312" w:cs="仿宋_GB2312"/>
                <w:b w:val="0"/>
                <w:color w:val="000000"/>
                <w:kern w:val="2"/>
                <w:sz w:val="32"/>
                <w:szCs w:val="32"/>
                <w:lang w:val="en-US" w:eastAsia="zh-CN" w:bidi="ar-SA"/>
              </w:rPr>
              <w:t>21年编制部门核实华容县广播电视网络中心人员编制57人，实有人数为57人，其中差额拨款事业编制20人，自收自支事业编制37人。</w:t>
            </w:r>
          </w:p>
          <w:p>
            <w:pPr>
              <w:spacing w:line="560" w:lineRule="exact"/>
              <w:ind w:firstLine="640" w:firstLineChars="200"/>
              <w:rPr>
                <w:rFonts w:hint="eastAsia" w:ascii="仿宋_GB2312" w:hAnsi="仿宋_GB2312" w:eastAsia="仿宋_GB2312"/>
                <w:color w:val="000000"/>
                <w:sz w:val="32"/>
                <w:szCs w:val="32"/>
                <w:lang w:eastAsia="zh-CN"/>
              </w:rPr>
            </w:pPr>
            <w:r>
              <w:rPr>
                <w:rFonts w:hint="eastAsia" w:ascii="仿宋_GB2312" w:hAnsi="仿宋_GB2312" w:eastAsia="仿宋_GB2312" w:cs="仿宋_GB2312"/>
                <w:color w:val="000000"/>
                <w:sz w:val="32"/>
                <w:szCs w:val="32"/>
              </w:rPr>
              <w:t>（二）部门（单位）整体支出规模、使用方向和主要内容、涉及范围等</w:t>
            </w:r>
            <w:r>
              <w:rPr>
                <w:rFonts w:hint="eastAsia" w:ascii="仿宋_GB2312" w:hAnsi="仿宋_GB2312" w:eastAsia="仿宋_GB2312" w:cs="仿宋_GB2312"/>
                <w:color w:val="000000"/>
                <w:sz w:val="32"/>
                <w:szCs w:val="32"/>
                <w:lang w:eastAsia="zh-CN"/>
              </w:rPr>
              <w:t>。</w:t>
            </w:r>
          </w:p>
          <w:p>
            <w:pPr>
              <w:spacing w:line="56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年收入合计</w:t>
            </w:r>
            <w:r>
              <w:rPr>
                <w:rFonts w:hint="eastAsia" w:ascii="仿宋_GB2312" w:hAnsi="仿宋_GB2312" w:eastAsia="仿宋_GB2312" w:cs="仿宋_GB2312"/>
                <w:color w:val="000000"/>
                <w:sz w:val="32"/>
                <w:szCs w:val="32"/>
                <w:lang w:val="en-US" w:eastAsia="zh-CN"/>
              </w:rPr>
              <w:t>27.05</w:t>
            </w:r>
            <w:r>
              <w:rPr>
                <w:rFonts w:hint="eastAsia" w:ascii="仿宋_GB2312" w:hAnsi="仿宋_GB2312" w:eastAsia="仿宋_GB2312" w:cs="仿宋_GB2312"/>
                <w:color w:val="000000"/>
                <w:sz w:val="32"/>
                <w:szCs w:val="32"/>
              </w:rPr>
              <w:t>万，其中财政拨款收入</w:t>
            </w:r>
            <w:r>
              <w:rPr>
                <w:rFonts w:hint="eastAsia" w:ascii="仿宋_GB2312" w:hAnsi="仿宋_GB2312" w:eastAsia="仿宋_GB2312" w:cs="仿宋_GB2312"/>
                <w:color w:val="000000"/>
                <w:sz w:val="32"/>
                <w:szCs w:val="32"/>
                <w:lang w:val="en-US" w:eastAsia="zh-CN"/>
              </w:rPr>
              <w:t>27.05</w:t>
            </w:r>
            <w:r>
              <w:rPr>
                <w:rFonts w:hint="eastAsia" w:ascii="仿宋_GB2312" w:hAnsi="仿宋_GB2312" w:eastAsia="仿宋_GB2312" w:cs="仿宋_GB2312"/>
                <w:color w:val="000000"/>
                <w:sz w:val="32"/>
                <w:szCs w:val="32"/>
              </w:rPr>
              <w:t>万元。上级补助收入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万元；事业收入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万；附属单位上缴收入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万元；其他收入</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w:t>
            </w:r>
          </w:p>
          <w:p>
            <w:pPr>
              <w:spacing w:line="600" w:lineRule="exact"/>
              <w:ind w:firstLine="640" w:firstLineChars="200"/>
              <w:rPr>
                <w:rFonts w:ascii="仿宋_GB2312" w:hAnsi="仿宋_GB2312" w:eastAsia="仿宋_GB2312"/>
                <w:color w:val="000000"/>
                <w:sz w:val="32"/>
                <w:szCs w:val="32"/>
              </w:rPr>
            </w:pP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27.05</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27.05</w:t>
            </w:r>
            <w:r>
              <w:rPr>
                <w:rFonts w:hint="eastAsia" w:ascii="仿宋_GB2312" w:hAnsi="仿宋_GB2312" w:eastAsia="仿宋_GB2312" w:cs="仿宋_GB2312"/>
                <w:color w:val="000000"/>
                <w:sz w:val="32"/>
                <w:szCs w:val="32"/>
              </w:rPr>
              <w:t>万元，主要用于基本工资福利支出、差旅费、办公费等，占本年总支出</w:t>
            </w:r>
            <w:r>
              <w:rPr>
                <w:rFonts w:hint="eastAsia" w:ascii="仿宋_GB2312" w:hAnsi="仿宋_GB2312" w:eastAsia="仿宋_GB2312" w:cs="仿宋_GB2312"/>
                <w:color w:val="000000"/>
                <w:sz w:val="32"/>
                <w:szCs w:val="32"/>
                <w:lang w:val="en-US" w:eastAsia="zh-CN"/>
              </w:rPr>
              <w:t>100</w:t>
            </w:r>
            <w:r>
              <w:rPr>
                <w:rFonts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万元；上缴上级支出</w:t>
            </w:r>
            <w:r>
              <w:rPr>
                <w:rFonts w:ascii="仿宋_GB2312" w:hAnsi="仿宋_GB2312" w:eastAsia="仿宋_GB2312" w:cs="仿宋_GB2312"/>
                <w:color w:val="000000"/>
                <w:sz w:val="32"/>
                <w:szCs w:val="32"/>
              </w:rPr>
              <w:t xml:space="preserve"> 0</w:t>
            </w:r>
            <w:r>
              <w:rPr>
                <w:rFonts w:hint="eastAsia" w:ascii="仿宋_GB2312" w:hAnsi="仿宋_GB2312" w:eastAsia="仿宋_GB2312" w:cs="仿宋_GB2312"/>
                <w:color w:val="000000"/>
                <w:sz w:val="32"/>
                <w:szCs w:val="32"/>
              </w:rPr>
              <w:t>万元；经营支出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万元；对附属单位补助支出</w:t>
            </w:r>
            <w:r>
              <w:rPr>
                <w:rFonts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rPr>
              <w:t>万元。</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二、部门（单位）整体支出管理及使用情况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（一）基本支出</w:t>
            </w:r>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年支出合计</w:t>
            </w:r>
            <w:r>
              <w:rPr>
                <w:rFonts w:hint="eastAsia" w:ascii="仿宋_GB2312" w:hAnsi="仿宋_GB2312" w:eastAsia="仿宋_GB2312" w:cs="仿宋_GB2312"/>
                <w:color w:val="000000"/>
                <w:sz w:val="32"/>
                <w:szCs w:val="32"/>
                <w:lang w:val="en-US" w:eastAsia="zh-CN"/>
              </w:rPr>
              <w:t>27.05</w:t>
            </w:r>
            <w:r>
              <w:rPr>
                <w:rFonts w:hint="eastAsia" w:asci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27.05</w:t>
            </w:r>
            <w:r>
              <w:rPr>
                <w:rFonts w:hint="eastAsia" w:ascii="仿宋_GB2312" w:eastAsia="仿宋_GB2312" w:cs="仿宋_GB2312"/>
                <w:color w:val="000000"/>
                <w:sz w:val="32"/>
                <w:szCs w:val="32"/>
              </w:rPr>
              <w:t>万元，占本年总支出</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color w:val="000000"/>
                <w:sz w:val="32"/>
                <w:szCs w:val="32"/>
              </w:rPr>
              <w:t>主要用于基本工资福利支出、差旅费、办公费等</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（二）专项支出</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rPr>
              <w:t>、专项资金安排落实、总投入等情况分析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2</w:t>
            </w:r>
            <w:r>
              <w:rPr>
                <w:rFonts w:hint="eastAsia" w:ascii="仿宋_GB2312" w:hAnsi="仿宋_GB2312" w:eastAsia="仿宋_GB2312" w:cs="仿宋_GB2312"/>
                <w:color w:val="000000"/>
                <w:sz w:val="32"/>
                <w:szCs w:val="32"/>
              </w:rPr>
              <w:t>、专项资金实际使用情况分析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hint="eastAsia" w:ascii="仿宋_GB2312" w:hAnsi="仿宋_GB2312" w:eastAsia="仿宋_GB2312"/>
                <w:color w:val="000000"/>
                <w:sz w:val="32"/>
                <w:szCs w:val="32"/>
                <w:lang w:eastAsia="zh-CN"/>
              </w:rPr>
            </w:pPr>
            <w:r>
              <w:rPr>
                <w:rFonts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rPr>
              <w:t>、专项资金管理情况分析</w:t>
            </w:r>
            <w:r>
              <w:rPr>
                <w:rFonts w:hint="eastAsia" w:ascii="仿宋_GB2312" w:hAnsi="仿宋_GB2312" w:eastAsia="仿宋_GB2312" w:cs="仿宋_GB2312"/>
                <w:color w:val="000000"/>
                <w:sz w:val="32"/>
                <w:szCs w:val="32"/>
                <w:lang w:eastAsia="zh-CN"/>
              </w:rPr>
              <w:t>（无）</w:t>
            </w:r>
          </w:p>
          <w:p>
            <w:pPr>
              <w:spacing w:line="560" w:lineRule="exact"/>
              <w:ind w:firstLine="640" w:firstLineChars="200"/>
              <w:rPr>
                <w:rFonts w:ascii="仿宋_GB2312" w:hAnsi="黑体" w:eastAsia="仿宋_GB2312"/>
                <w:color w:val="000000"/>
                <w:sz w:val="32"/>
                <w:szCs w:val="32"/>
              </w:rPr>
            </w:pPr>
            <w:r>
              <w:rPr>
                <w:rFonts w:hint="eastAsia" w:ascii="仿宋_GB2312" w:hAnsi="黑体" w:eastAsia="仿宋_GB2312" w:cs="黑体"/>
                <w:color w:val="000000"/>
                <w:sz w:val="32"/>
                <w:szCs w:val="32"/>
              </w:rPr>
              <w:t>三、部门（单位）专项组织实施情况</w:t>
            </w:r>
          </w:p>
          <w:p>
            <w:pPr>
              <w:spacing w:line="560" w:lineRule="exact"/>
              <w:ind w:firstLine="640" w:firstLineChars="200"/>
              <w:rPr>
                <w:rFonts w:ascii="仿宋_GB2312" w:hAnsi="仿宋_GB2312" w:eastAsia="仿宋_GB2312"/>
                <w:color w:val="000000"/>
                <w:sz w:val="32"/>
                <w:szCs w:val="32"/>
              </w:rPr>
            </w:pPr>
            <w:r>
              <w:rPr>
                <w:rFonts w:hint="eastAsia" w:ascii="仿宋_GB2312" w:hAnsi="仿宋_GB2312" w:eastAsia="仿宋_GB2312" w:cs="仿宋_GB2312"/>
                <w:color w:val="000000"/>
                <w:sz w:val="32"/>
                <w:szCs w:val="32"/>
              </w:rPr>
              <w:t>（一）专项组织情况分析（</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（二）专项管理情况分析</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无</w:t>
            </w:r>
            <w:r>
              <w:rPr>
                <w:rFonts w:hint="eastAsia" w:ascii="仿宋_GB2312" w:hAnsi="仿宋_GB2312" w:eastAsia="仿宋_GB2312" w:cs="仿宋_GB2312"/>
                <w:color w:val="00000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黑体"/>
                <w:sz w:val="32"/>
                <w:szCs w:val="32"/>
              </w:rPr>
              <w:t>四、部门（单位）整体支出绩效情况</w:t>
            </w:r>
          </w:p>
          <w:p>
            <w:pPr>
              <w:numPr>
                <w:ilvl w:val="0"/>
                <w:numId w:val="1"/>
              </w:numPr>
              <w:snapToGrid w:val="0"/>
              <w:spacing w:line="520" w:lineRule="exact"/>
              <w:ind w:firstLine="640" w:firstLineChars="200"/>
              <w:rPr>
                <w:rFonts w:hint="default" w:ascii="仿宋" w:hAnsi="仿宋" w:eastAsia="仿宋" w:cs="仿宋"/>
                <w:b w:val="0"/>
                <w:bCs w:val="0"/>
                <w:color w:val="000000"/>
                <w:kern w:val="2"/>
                <w:sz w:val="32"/>
                <w:szCs w:val="32"/>
                <w:lang w:val="en-US" w:eastAsia="zh-CN" w:bidi="ar-SA"/>
              </w:rPr>
            </w:pPr>
            <w:r>
              <w:rPr>
                <w:rFonts w:ascii="仿宋_GB2312" w:hAnsi="Times New Roman" w:eastAsia="仿宋_GB2312" w:cs="仿宋_GB2312"/>
                <w:kern w:val="2"/>
                <w:sz w:val="32"/>
                <w:szCs w:val="32"/>
              </w:rPr>
              <w:t>20</w:t>
            </w:r>
            <w:r>
              <w:rPr>
                <w:rFonts w:hint="eastAsia" w:ascii="仿宋_GB2312" w:hAnsi="Times New Roman" w:eastAsia="仿宋_GB2312" w:cs="仿宋_GB2312"/>
                <w:kern w:val="2"/>
                <w:sz w:val="32"/>
                <w:szCs w:val="32"/>
                <w:lang w:val="en-US" w:eastAsia="zh-CN"/>
              </w:rPr>
              <w:t>21</w:t>
            </w:r>
            <w:r>
              <w:rPr>
                <w:rFonts w:hint="eastAsia" w:ascii="仿宋_GB2312" w:hAnsi="Times New Roman" w:eastAsia="仿宋_GB2312" w:cs="仿宋_GB2312"/>
                <w:kern w:val="2"/>
                <w:sz w:val="32"/>
                <w:szCs w:val="32"/>
              </w:rPr>
              <w:t>年，根据年初工作规划和重点性工作，</w:t>
            </w:r>
            <w:r>
              <w:rPr>
                <w:rFonts w:hint="eastAsia" w:ascii="仿宋" w:hAnsi="仿宋" w:eastAsia="仿宋" w:cs="仿宋"/>
                <w:color w:val="000000"/>
                <w:sz w:val="32"/>
                <w:szCs w:val="32"/>
                <w:lang w:val="en-US" w:eastAsia="zh-CN"/>
              </w:rPr>
              <w:t>对全县境内有线数字电视、无线数字电视网络传输业务和传输质量进行监测，确保全县境内有线数字电视和无线数字电视网络完好；</w:t>
            </w:r>
            <w:r>
              <w:rPr>
                <w:rFonts w:hint="eastAsia" w:ascii="仿宋" w:hAnsi="仿宋" w:eastAsia="仿宋" w:cs="仿宋"/>
                <w:b w:val="0"/>
                <w:bCs w:val="0"/>
                <w:color w:val="000000"/>
                <w:kern w:val="2"/>
                <w:sz w:val="32"/>
                <w:szCs w:val="32"/>
                <w:lang w:val="en-US" w:eastAsia="zh-CN" w:bidi="ar-SA"/>
              </w:rPr>
              <w:t>完成全县智慧城市、旧城改造等重大网络建设80%任务；做好全县范围内村村响、户户通及应急广播的安装和运行维护工作。</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部门整体支出绩效情况如下：</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（一）经济效益评价</w:t>
            </w:r>
          </w:p>
          <w:p>
            <w:pPr>
              <w:spacing w:beforeLines="0" w:afterLines="0" w:line="640" w:lineRule="exact"/>
              <w:ind w:firstLine="640" w:firstLineChars="200"/>
              <w:jc w:val="left"/>
              <w:rPr>
                <w:rFonts w:hint="eastAsia" w:ascii="仿宋_GB2312" w:hAnsi="Arial" w:eastAsia="仿宋_GB2312" w:cs="仿宋_GB2312"/>
                <w:color w:val="auto"/>
                <w:sz w:val="32"/>
                <w:szCs w:val="32"/>
                <w:shd w:val="clear" w:color="auto" w:fill="FFFFFF"/>
                <w:lang w:val="en-US"/>
              </w:rPr>
            </w:pPr>
            <w:r>
              <w:rPr>
                <w:rFonts w:ascii="仿宋_GB2312" w:eastAsia="仿宋_GB2312" w:cs="仿宋_GB2312"/>
                <w:sz w:val="32"/>
                <w:szCs w:val="32"/>
              </w:rPr>
              <w:t xml:space="preserve">1. </w:t>
            </w:r>
            <w:r>
              <w:rPr>
                <w:rFonts w:hint="eastAsia" w:ascii="仿宋_GB2312" w:eastAsia="仿宋_GB2312" w:cs="仿宋_GB2312"/>
                <w:sz w:val="32"/>
                <w:szCs w:val="32"/>
              </w:rPr>
              <w:t>预算执行方面，支出总额控制在预算总额以内；</w:t>
            </w:r>
            <w:r>
              <w:rPr>
                <w:rFonts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年度“三公”经费财政拨款支出预算为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万元，其中，公务接待费</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万元，公务用车购置及运行费</w:t>
            </w:r>
            <w:r>
              <w:rPr>
                <w:rFonts w:ascii="仿宋_GB2312" w:eastAsia="仿宋_GB2312" w:cs="仿宋_GB2312"/>
                <w:sz w:val="32"/>
                <w:szCs w:val="32"/>
              </w:rPr>
              <w:t>0</w:t>
            </w:r>
            <w:r>
              <w:rPr>
                <w:rFonts w:hint="eastAsia" w:ascii="仿宋_GB2312" w:eastAsia="仿宋_GB2312" w:cs="仿宋_GB2312"/>
                <w:sz w:val="32"/>
                <w:szCs w:val="32"/>
              </w:rPr>
              <w:t>万元（其中，公务用车购置费</w:t>
            </w:r>
            <w:r>
              <w:rPr>
                <w:rFonts w:ascii="仿宋_GB2312" w:eastAsia="仿宋_GB2312" w:cs="仿宋_GB2312"/>
                <w:sz w:val="32"/>
                <w:szCs w:val="32"/>
              </w:rPr>
              <w:t>0</w:t>
            </w:r>
            <w:r>
              <w:rPr>
                <w:rFonts w:hint="eastAsia" w:ascii="仿宋_GB2312" w:eastAsia="仿宋_GB2312" w:cs="仿宋_GB2312"/>
                <w:sz w:val="32"/>
                <w:szCs w:val="32"/>
              </w:rPr>
              <w:t>万元，公务用车运行费</w:t>
            </w:r>
            <w:r>
              <w:rPr>
                <w:rFonts w:ascii="仿宋_GB2312" w:eastAsia="仿宋_GB2312" w:cs="仿宋_GB2312"/>
                <w:sz w:val="32"/>
                <w:szCs w:val="32"/>
              </w:rPr>
              <w:t>0</w:t>
            </w:r>
            <w:r>
              <w:rPr>
                <w:rFonts w:hint="eastAsia" w:ascii="仿宋_GB2312" w:eastAsia="仿宋_GB2312" w:cs="仿宋_GB2312"/>
                <w:sz w:val="32"/>
                <w:szCs w:val="32"/>
              </w:rPr>
              <w:t>万元），因公出国（境）费</w:t>
            </w:r>
            <w:r>
              <w:rPr>
                <w:rFonts w:ascii="仿宋_GB2312" w:eastAsia="仿宋_GB2312" w:cs="仿宋_GB2312"/>
                <w:sz w:val="32"/>
                <w:szCs w:val="32"/>
              </w:rPr>
              <w:t>0</w:t>
            </w:r>
            <w:r>
              <w:rPr>
                <w:rFonts w:hint="eastAsia" w:ascii="仿宋_GB2312" w:eastAsia="仿宋_GB2312" w:cs="仿宋_GB2312"/>
                <w:sz w:val="32"/>
                <w:szCs w:val="32"/>
              </w:rPr>
              <w:t>万元。</w:t>
            </w:r>
          </w:p>
          <w:p>
            <w:pPr>
              <w:pStyle w:val="6"/>
              <w:shd w:val="clear" w:color="auto" w:fill="FFFFFF"/>
              <w:spacing w:before="0" w:beforeAutospacing="0" w:after="0" w:afterAutospacing="0" w:line="480" w:lineRule="auto"/>
              <w:ind w:firstLine="640" w:firstLineChars="20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、预算管理方面，制度执行总体较为有效。</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（二）效率性评价和有效性评价</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预算安排的基本支出保障了正常的工作运转，预算安排的项目支出是非常必要的，在执行上是严格遵守各项财经纪律的，在项目资金的使用上也是放的心的，严守法律底线、纪律底线、道德底线。</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（三）社会公众满意度评价</w:t>
            </w:r>
          </w:p>
          <w:p>
            <w:pPr>
              <w:pStyle w:val="6"/>
              <w:shd w:val="clear" w:color="auto" w:fill="FFFFFF"/>
              <w:spacing w:before="0" w:beforeAutospacing="0" w:after="0" w:afterAutospacing="0" w:line="480" w:lineRule="auto"/>
              <w:ind w:firstLine="640"/>
              <w:jc w:val="both"/>
              <w:rPr>
                <w:rFonts w:hint="eastAsia" w:ascii="仿宋_GB2312" w:hAnsi="Times New Roman" w:eastAsia="仿宋_GB2312" w:cs="仿宋_GB2312"/>
                <w:kern w:val="2"/>
                <w:sz w:val="32"/>
                <w:szCs w:val="32"/>
                <w:lang w:eastAsia="zh-CN"/>
              </w:rPr>
            </w:pPr>
            <w:r>
              <w:rPr>
                <w:rFonts w:hint="eastAsia" w:ascii="仿宋_GB2312" w:hAnsi="Times New Roman" w:eastAsia="仿宋_GB2312" w:cs="仿宋_GB2312"/>
                <w:kern w:val="2"/>
                <w:sz w:val="32"/>
                <w:szCs w:val="32"/>
                <w:lang w:eastAsia="zh-CN"/>
              </w:rPr>
              <w:t>20</w:t>
            </w:r>
            <w:r>
              <w:rPr>
                <w:rFonts w:hint="eastAsia" w:ascii="仿宋_GB2312" w:hAnsi="Times New Roman" w:eastAsia="仿宋_GB2312" w:cs="仿宋_GB2312"/>
                <w:kern w:val="2"/>
                <w:sz w:val="32"/>
                <w:szCs w:val="32"/>
                <w:lang w:val="en-US" w:eastAsia="zh-CN"/>
              </w:rPr>
              <w:t>21</w:t>
            </w:r>
            <w:r>
              <w:rPr>
                <w:rFonts w:hint="eastAsia" w:ascii="仿宋_GB2312" w:hAnsi="Times New Roman" w:eastAsia="仿宋_GB2312" w:cs="仿宋_GB2312"/>
                <w:kern w:val="2"/>
                <w:sz w:val="32"/>
                <w:szCs w:val="32"/>
                <w:lang w:eastAsia="zh-CN"/>
              </w:rPr>
              <w:t>年我单位认真贯彻落实</w:t>
            </w:r>
            <w:r>
              <w:rPr>
                <w:rFonts w:hint="eastAsia" w:ascii="仿宋_GB2312" w:hAnsi="Times New Roman" w:eastAsia="仿宋_GB2312" w:cs="仿宋_GB2312"/>
                <w:kern w:val="2"/>
                <w:sz w:val="32"/>
                <w:szCs w:val="32"/>
                <w:lang w:val="en-US" w:eastAsia="zh-CN"/>
              </w:rPr>
              <w:t>县委、县政府相关工作要求</w:t>
            </w:r>
            <w:r>
              <w:rPr>
                <w:rFonts w:hint="eastAsia" w:ascii="仿宋_GB2312" w:hAnsi="Times New Roman" w:eastAsia="仿宋_GB2312" w:cs="仿宋_GB2312"/>
                <w:kern w:val="2"/>
                <w:sz w:val="32"/>
                <w:szCs w:val="32"/>
                <w:lang w:eastAsia="zh-CN"/>
              </w:rPr>
              <w:t>，创先争优，通过全年不定期的持续高压整治，</w:t>
            </w:r>
            <w:r>
              <w:rPr>
                <w:rFonts w:hint="eastAsia" w:ascii="仿宋_GB2312" w:hAnsi="Times New Roman" w:eastAsia="仿宋_GB2312" w:cs="仿宋_GB2312"/>
                <w:kern w:val="2"/>
                <w:sz w:val="32"/>
                <w:szCs w:val="32"/>
                <w:lang w:val="en-US" w:eastAsia="zh-CN"/>
              </w:rPr>
              <w:t>村村响、户户通及应急广播、有线和无线数字电视网络的传输、监测</w:t>
            </w:r>
            <w:r>
              <w:rPr>
                <w:rFonts w:hint="eastAsia" w:ascii="仿宋_GB2312" w:hAnsi="Times New Roman" w:eastAsia="仿宋_GB2312" w:cs="仿宋_GB2312"/>
                <w:kern w:val="2"/>
                <w:sz w:val="32"/>
                <w:szCs w:val="32"/>
                <w:lang w:eastAsia="zh-CN"/>
              </w:rPr>
              <w:t>工作取得了较好的效果。</w:t>
            </w:r>
          </w:p>
          <w:p>
            <w:pPr>
              <w:pStyle w:val="6"/>
              <w:shd w:val="clear" w:color="auto" w:fill="FFFFFF"/>
              <w:spacing w:before="0" w:beforeAutospacing="0" w:after="0" w:afterAutospacing="0" w:line="480" w:lineRule="auto"/>
              <w:ind w:firstLine="640"/>
              <w:jc w:val="both"/>
              <w:rPr>
                <w:rFonts w:hint="eastAsia" w:ascii="仿宋_GB2312" w:hAnsi="Times New Roman" w:eastAsia="仿宋_GB2312" w:cs="仿宋_GB2312"/>
                <w:kern w:val="2"/>
                <w:sz w:val="32"/>
                <w:szCs w:val="32"/>
                <w:lang w:eastAsia="zh-CN"/>
              </w:rPr>
            </w:pPr>
            <w:r>
              <w:rPr>
                <w:rFonts w:hint="eastAsia" w:ascii="仿宋_GB2312" w:hAnsi="Times New Roman" w:eastAsia="仿宋_GB2312" w:cs="仿宋_GB2312"/>
                <w:kern w:val="2"/>
                <w:sz w:val="32"/>
                <w:szCs w:val="32"/>
                <w:lang w:eastAsia="zh-CN"/>
              </w:rPr>
              <w:t>五、存在的主要问题</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1</w:t>
            </w:r>
            <w:r>
              <w:rPr>
                <w:rFonts w:hint="eastAsia" w:ascii="仿宋_GB2312" w:hAnsi="Times New Roman" w:eastAsia="仿宋_GB2312" w:cs="仿宋_GB2312"/>
                <w:kern w:val="2"/>
                <w:sz w:val="32"/>
                <w:szCs w:val="32"/>
              </w:rPr>
              <w:t>、行业管理还比较粗放。</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2</w:t>
            </w:r>
            <w:r>
              <w:rPr>
                <w:rFonts w:hint="eastAsia" w:ascii="仿宋_GB2312" w:hAnsi="Times New Roman" w:eastAsia="仿宋_GB2312" w:cs="仿宋_GB2312"/>
                <w:kern w:val="2"/>
                <w:sz w:val="32"/>
                <w:szCs w:val="32"/>
              </w:rPr>
              <w:t>、财务制度执行力有待加强，资金使用计划有待细化。</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ascii="仿宋_GB2312" w:hAnsi="Times New Roman" w:eastAsia="仿宋_GB2312" w:cs="仿宋_GB2312"/>
                <w:kern w:val="2"/>
                <w:sz w:val="32"/>
                <w:szCs w:val="32"/>
              </w:rPr>
              <w:t>3</w:t>
            </w:r>
            <w:r>
              <w:rPr>
                <w:rFonts w:hint="eastAsia" w:ascii="仿宋_GB2312" w:hAnsi="Times New Roman" w:eastAsia="仿宋_GB2312" w:cs="仿宋_GB2312"/>
                <w:kern w:val="2"/>
                <w:sz w:val="32"/>
                <w:szCs w:val="32"/>
              </w:rPr>
              <w:t>、财政预算资金到位比较迟缓。</w:t>
            </w:r>
          </w:p>
          <w:p>
            <w:pPr>
              <w:spacing w:line="560" w:lineRule="exact"/>
              <w:ind w:firstLine="640" w:firstLineChars="200"/>
              <w:rPr>
                <w:rFonts w:ascii="仿宋_GB2312" w:eastAsia="仿宋_GB2312"/>
                <w:sz w:val="32"/>
                <w:szCs w:val="32"/>
              </w:rPr>
            </w:pPr>
            <w:r>
              <w:rPr>
                <w:rFonts w:hint="eastAsia" w:ascii="仿宋_GB2312" w:eastAsia="仿宋_GB2312" w:cs="仿宋_GB2312"/>
                <w:sz w:val="32"/>
                <w:szCs w:val="32"/>
              </w:rPr>
              <w:t>六、改进措施和有关建议</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针对上述存在的问题及整体支出管理工作的需要，拟实施的改进措施如下：</w:t>
            </w:r>
          </w:p>
          <w:p>
            <w:pPr>
              <w:pStyle w:val="6"/>
              <w:shd w:val="clear" w:color="auto" w:fill="FFFFFF"/>
              <w:spacing w:before="0" w:beforeAutospacing="0" w:after="0" w:afterAutospacing="0" w:line="480" w:lineRule="auto"/>
              <w:ind w:firstLine="640"/>
              <w:jc w:val="both"/>
              <w:rPr>
                <w:rFonts w:ascii="仿宋_GB2312" w:hAnsi="Times New Roman" w:eastAsia="仿宋_GB2312" w:cs="Times New Roman"/>
                <w:kern w:val="2"/>
                <w:sz w:val="32"/>
                <w:szCs w:val="32"/>
              </w:rPr>
            </w:pPr>
            <w:r>
              <w:rPr>
                <w:rFonts w:hint="eastAsia" w:ascii="仿宋_GB2312" w:hAnsi="Times New Roman" w:eastAsia="仿宋_GB2312" w:cs="仿宋_GB2312"/>
                <w:kern w:val="2"/>
                <w:sz w:val="32"/>
                <w:szCs w:val="32"/>
              </w:rPr>
              <w:t>加强财务管理，严格财务审核。在费用报账支付时，按照预算规定的费用项目和用途进行资金使用审核、列报支付、财务核算，杜绝超支现象的发生。</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p>
    <w:tbl>
      <w:tblPr>
        <w:tblStyle w:val="7"/>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2.6</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7"/>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10</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99.6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w:t>
    </w:r>
    <w:r>
      <w:rPr>
        <w:sz w:val="24"/>
        <w:szCs w:val="24"/>
      </w:rPr>
      <w:fldChar w:fldCharType="end"/>
    </w:r>
    <w:r>
      <w:rPr>
        <w:rStyle w:val="9"/>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sz w:val="24"/>
        <w:szCs w:val="24"/>
      </w:rPr>
    </w:pPr>
    <w:r>
      <w:rPr>
        <w:rStyle w:val="9"/>
        <w:rFonts w:hint="eastAsia"/>
        <w:sz w:val="24"/>
        <w:szCs w:val="24"/>
      </w:rPr>
      <w:t xml:space="preserve">— </w:t>
    </w:r>
    <w:r>
      <w:rPr>
        <w:sz w:val="24"/>
        <w:szCs w:val="24"/>
      </w:rPr>
      <w:fldChar w:fldCharType="begin"/>
    </w:r>
    <w:r>
      <w:rPr>
        <w:rStyle w:val="9"/>
        <w:sz w:val="24"/>
        <w:szCs w:val="24"/>
      </w:rPr>
      <w:instrText xml:space="preserve">PAGE  </w:instrText>
    </w:r>
    <w:r>
      <w:rPr>
        <w:sz w:val="24"/>
        <w:szCs w:val="24"/>
      </w:rPr>
      <w:fldChar w:fldCharType="separate"/>
    </w:r>
    <w:r>
      <w:rPr>
        <w:rStyle w:val="9"/>
        <w:sz w:val="24"/>
        <w:szCs w:val="24"/>
      </w:rPr>
      <w:t>18</w:t>
    </w:r>
    <w:r>
      <w:rPr>
        <w:sz w:val="24"/>
        <w:szCs w:val="24"/>
      </w:rPr>
      <w:fldChar w:fldCharType="end"/>
    </w:r>
    <w:r>
      <w:rPr>
        <w:rStyle w:val="9"/>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fldChar w:fldCharType="begin"/>
    </w:r>
    <w:r>
      <w:rPr>
        <w:rStyle w:val="9"/>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340C1A"/>
    <w:multiLevelType w:val="singleLevel"/>
    <w:tmpl w:val="B4340C1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mMjEwOWNkNWRhZTZiYTU3ZTMyNzgxZWNjZTFiNGQifQ=="/>
  </w:docVars>
  <w:rsids>
    <w:rsidRoot w:val="2CE55C20"/>
    <w:rsid w:val="007B2063"/>
    <w:rsid w:val="083749E7"/>
    <w:rsid w:val="09533A4F"/>
    <w:rsid w:val="0B611B6A"/>
    <w:rsid w:val="0BE67BF4"/>
    <w:rsid w:val="0CB679B8"/>
    <w:rsid w:val="0DE528CD"/>
    <w:rsid w:val="103E1D5B"/>
    <w:rsid w:val="13107253"/>
    <w:rsid w:val="1336279F"/>
    <w:rsid w:val="18725427"/>
    <w:rsid w:val="1A592752"/>
    <w:rsid w:val="1E0647BA"/>
    <w:rsid w:val="1FE704A2"/>
    <w:rsid w:val="254E2FC7"/>
    <w:rsid w:val="25B607B7"/>
    <w:rsid w:val="263C173A"/>
    <w:rsid w:val="26425F23"/>
    <w:rsid w:val="27CD30DB"/>
    <w:rsid w:val="289D055E"/>
    <w:rsid w:val="2C9F197B"/>
    <w:rsid w:val="2CA33441"/>
    <w:rsid w:val="2CE55C20"/>
    <w:rsid w:val="2F287302"/>
    <w:rsid w:val="30426D13"/>
    <w:rsid w:val="37804D91"/>
    <w:rsid w:val="379823A5"/>
    <w:rsid w:val="3A43255A"/>
    <w:rsid w:val="3D6201A1"/>
    <w:rsid w:val="3EC46785"/>
    <w:rsid w:val="3F8A6044"/>
    <w:rsid w:val="43A702D9"/>
    <w:rsid w:val="44592EA4"/>
    <w:rsid w:val="477245B4"/>
    <w:rsid w:val="49617FA5"/>
    <w:rsid w:val="4D171D42"/>
    <w:rsid w:val="4E4F0BB0"/>
    <w:rsid w:val="52540F05"/>
    <w:rsid w:val="53703EF2"/>
    <w:rsid w:val="5BE95901"/>
    <w:rsid w:val="625C0355"/>
    <w:rsid w:val="64417BED"/>
    <w:rsid w:val="68B065B0"/>
    <w:rsid w:val="68F3505D"/>
    <w:rsid w:val="6A0A15CD"/>
    <w:rsid w:val="6B1A5872"/>
    <w:rsid w:val="6D452F22"/>
    <w:rsid w:val="6DF352BD"/>
    <w:rsid w:val="705E3E6D"/>
    <w:rsid w:val="71C1048A"/>
    <w:rsid w:val="7396188C"/>
    <w:rsid w:val="73F35F5B"/>
    <w:rsid w:val="79C04582"/>
    <w:rsid w:val="7D1F0DA2"/>
    <w:rsid w:val="7FAF4BBD"/>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unhideWhenUsed/>
    <w:qFormat/>
    <w:uiPriority w:val="0"/>
    <w:pPr>
      <w:spacing w:before="100" w:beforeLines="0" w:beforeAutospacing="1" w:after="100" w:afterLines="0" w:afterAutospacing="1"/>
      <w:jc w:val="left"/>
      <w:outlineLvl w:val="0"/>
    </w:pPr>
    <w:rPr>
      <w:rFonts w:hint="eastAsia" w:ascii="宋体" w:hAnsi="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9">
    <w:name w:val="page number"/>
    <w:qFormat/>
    <w:uiPriority w:val="0"/>
  </w:style>
  <w:style w:type="character" w:customStyle="1" w:styleId="10">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4292</Words>
  <Characters>4581</Characters>
  <Lines>0</Lines>
  <Paragraphs>0</Paragraphs>
  <TotalTime>0</TotalTime>
  <ScaleCrop>false</ScaleCrop>
  <LinksUpToDate>false</LinksUpToDate>
  <CharactersWithSpaces>5097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lenovo</cp:lastModifiedBy>
  <cp:lastPrinted>2022-06-14T02:52:00Z</cp:lastPrinted>
  <dcterms:modified xsi:type="dcterms:W3CDTF">2022-10-11T07:44:46Z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AF44B633C86D4E0EBD21C0BCF157E288</vt:lpwstr>
  </property>
</Properties>
</file>