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华容县2021年度部门整体支出</w:t>
      </w: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hint="eastAsia" w:eastAsia="仿宋_GB2312"/>
          <w:sz w:val="32"/>
          <w:szCs w:val="32"/>
          <w:u w:val="single"/>
        </w:rPr>
        <w:t xml:space="preserve"> 华容县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>养老和工伤保险服务中心</w:t>
      </w:r>
      <w:r>
        <w:rPr>
          <w:rFonts w:hint="eastAsia" w:eastAsia="仿宋_GB2312"/>
          <w:sz w:val="32"/>
          <w:szCs w:val="32"/>
          <w:u w:val="single"/>
        </w:rPr>
        <w:t xml:space="preserve">              </w:t>
      </w:r>
    </w:p>
    <w:p>
      <w:pPr>
        <w:spacing w:before="301" w:beforeLines="50" w:line="348" w:lineRule="auto"/>
        <w:ind w:firstLine="476" w:firstLineChars="150"/>
        <w:rPr>
          <w:rFonts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</w:t>
      </w:r>
      <w:r>
        <w:rPr>
          <w:rFonts w:hint="eastAsia" w:eastAsia="仿宋_GB2312"/>
          <w:spacing w:val="20"/>
          <w:sz w:val="32"/>
          <w:szCs w:val="32"/>
          <w:u w:val="single"/>
          <w:lang w:val="en-US" w:eastAsia="zh-CN"/>
        </w:rPr>
        <w:t>802006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</w:t>
      </w:r>
    </w:p>
    <w:p>
      <w:pPr>
        <w:spacing w:before="301"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</w:t>
      </w:r>
      <w:r>
        <w:rPr>
          <w:rFonts w:eastAsia="仿宋_GB2312"/>
          <w:sz w:val="32"/>
        </w:rPr>
        <w:t>2022</w:t>
      </w:r>
      <w:r>
        <w:rPr>
          <w:rFonts w:hint="eastAsia" w:eastAsia="仿宋_GB2312"/>
          <w:sz w:val="32"/>
        </w:rPr>
        <w:t xml:space="preserve">年 </w:t>
      </w:r>
      <w:r>
        <w:rPr>
          <w:rFonts w:eastAsia="仿宋_GB2312"/>
          <w:sz w:val="32"/>
        </w:rPr>
        <w:t>11</w:t>
      </w:r>
      <w:r>
        <w:rPr>
          <w:rFonts w:hint="eastAsia" w:eastAsia="仿宋_GB2312"/>
          <w:sz w:val="32"/>
        </w:rPr>
        <w:t xml:space="preserve"> 月 2</w:t>
      </w:r>
      <w:r>
        <w:rPr>
          <w:rFonts w:eastAsia="仿宋_GB2312"/>
          <w:sz w:val="32"/>
        </w:rPr>
        <w:t>8</w:t>
      </w:r>
      <w:r>
        <w:rPr>
          <w:rFonts w:hint="eastAsia" w:eastAsia="仿宋_GB2312"/>
          <w:sz w:val="32"/>
        </w:rPr>
        <w:t xml:space="preserve"> 日</w:t>
      </w:r>
    </w:p>
    <w:p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</w:rPr>
        <w:t>华容县财政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5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1126"/>
        <w:gridCol w:w="210"/>
        <w:gridCol w:w="1145"/>
        <w:gridCol w:w="272"/>
        <w:gridCol w:w="808"/>
        <w:gridCol w:w="1901"/>
        <w:gridCol w:w="82"/>
        <w:gridCol w:w="177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卜萍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2602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18873021513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45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2602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3"/>
            <w:vAlign w:val="center"/>
          </w:tcPr>
          <w:p>
            <w:pPr>
              <w:numPr>
                <w:ilvl w:val="0"/>
                <w:numId w:val="1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负责宣传贯彻国家及部、省、市相关政策，组织落实全县社会养老保险目标任务。</w:t>
            </w:r>
          </w:p>
          <w:p>
            <w:pPr>
              <w:numPr>
                <w:ilvl w:val="0"/>
                <w:numId w:val="1"/>
              </w:num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负责全县社会养老保险经办管理服务工作，研究建立相关管理服务体系和内控制度。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保障全县退休人员养老保险及时、足额发放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负责贯彻上级部门相关政策，落实全县社会养老保险目标任务。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我中心以确保离退休人员基本养老金按时足额发放为中心，大力推进“送政策，送温暖、送服务”工作，坚持服务大局、改革创新、民生为本，努力扩大养老保险覆盖面，切实加强基金征缴，积极推进退休人员社会化管理服务，各项工作取得了较好成效，多项业务工作走在全省、全市前列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1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654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522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968.94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534.94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434</w:t>
            </w:r>
          </w:p>
        </w:tc>
        <w:tc>
          <w:tcPr>
            <w:tcW w:w="1522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2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968.94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534.94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434</w:t>
            </w:r>
          </w:p>
        </w:tc>
        <w:tc>
          <w:tcPr>
            <w:tcW w:w="1522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2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1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968.94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434.68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352.06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82.62</w:t>
            </w: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534.26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968.94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434.68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352.06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82.62</w:t>
            </w: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534.26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1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0.33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0.33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0.33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0.33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1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 xml:space="preserve"> 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88.02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88.02</w:t>
            </w:r>
          </w:p>
        </w:tc>
        <w:tc>
          <w:tcPr>
            <w:tcW w:w="364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88.02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88.02</w:t>
            </w:r>
          </w:p>
        </w:tc>
        <w:tc>
          <w:tcPr>
            <w:tcW w:w="364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126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6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完成全县养老保险参保人数目标任务；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每月及时、足额发放退休人员养老金；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目标3：提高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经办人员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服务质量，提升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经办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服务水平；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目标4：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加强经办机构信息化水平。</w:t>
            </w:r>
          </w:p>
        </w:tc>
        <w:tc>
          <w:tcPr>
            <w:tcW w:w="4585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已完成本年参保人数目标任务</w:t>
            </w:r>
          </w:p>
          <w:p>
            <w:pPr>
              <w:numPr>
                <w:ilvl w:val="0"/>
                <w:numId w:val="2"/>
              </w:num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已按月完成退休人员养老金发放任务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投诉率降低，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经办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人员服务态度有所改善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信息化建设逐步完善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3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离退休人员待遇按时足额发放率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真抓实干目标任务完成率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真抓实干督促工作14项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城乡居民参保缴费人数较上年提升5%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szCs w:val="21"/>
              </w:rPr>
              <w:t>提升</w:t>
            </w:r>
            <w:r>
              <w:rPr>
                <w:rFonts w:hint="eastAsia" w:eastAsia="仿宋_GB2312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eastAsia="仿宋_GB2312"/>
                <w:bCs/>
                <w:szCs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养老保险待遇发放时间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szCs w:val="21"/>
              </w:rPr>
              <w:t>按时完成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待遇调整时间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≤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各类政策宣传费用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≤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万元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3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离退休人员养老金发放覆盖率100%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按政策减少、延迟企业缴纳养老保险费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办公节能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达标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达标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满意度≥90%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95%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1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9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1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5"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000000"/>
                <w:sz w:val="28"/>
                <w:szCs w:val="28"/>
              </w:rPr>
              <w:br w:type="textWrapping"/>
            </w:r>
            <w:r>
              <w:rPr>
                <w:rFonts w:ascii="黑体" w:hAnsi="黑体" w:eastAsia="黑体" w:cs="黑体"/>
                <w:color w:val="000000"/>
                <w:sz w:val="28"/>
                <w:szCs w:val="28"/>
              </w:rPr>
              <w:br w:type="textWrapping"/>
            </w:r>
            <w:r>
              <w:rPr>
                <w:rFonts w:ascii="黑体" w:hAnsi="黑体" w:eastAsia="黑体" w:cs="黑体"/>
                <w:color w:val="000000"/>
                <w:sz w:val="28"/>
                <w:szCs w:val="28"/>
              </w:rPr>
              <w:br w:type="textWrapping"/>
            </w:r>
            <w:r>
              <w:rPr>
                <w:rFonts w:ascii="黑体" w:hAnsi="黑体" w:eastAsia="黑体" w:cs="黑体"/>
                <w:color w:val="000000"/>
                <w:sz w:val="28"/>
                <w:szCs w:val="28"/>
              </w:rPr>
              <w:br w:type="textWrapping"/>
            </w:r>
            <w:r>
              <w:rPr>
                <w:rFonts w:ascii="黑体" w:hAnsi="黑体" w:eastAsia="黑体" w:cs="黑体"/>
                <w:color w:val="000000"/>
                <w:sz w:val="28"/>
                <w:szCs w:val="28"/>
              </w:rPr>
              <w:br w:type="textWrapping"/>
            </w:r>
            <w:r>
              <w:rPr>
                <w:rFonts w:ascii="黑体" w:hAnsi="黑体" w:eastAsia="黑体" w:cs="黑体"/>
                <w:color w:val="000000"/>
                <w:sz w:val="28"/>
                <w:szCs w:val="28"/>
              </w:rPr>
              <w:br w:type="textWrapping"/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2602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卜萍</w:t>
            </w:r>
          </w:p>
        </w:tc>
        <w:tc>
          <w:tcPr>
            <w:tcW w:w="3561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副主任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华容县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养老和工伤保险服务中心</w:t>
            </w:r>
          </w:p>
        </w:tc>
        <w:tc>
          <w:tcPr>
            <w:tcW w:w="2602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邱芬</w:t>
            </w:r>
          </w:p>
        </w:tc>
        <w:tc>
          <w:tcPr>
            <w:tcW w:w="3561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副主任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华容县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养老和工伤保险服务中心</w:t>
            </w:r>
          </w:p>
        </w:tc>
        <w:tc>
          <w:tcPr>
            <w:tcW w:w="2602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刘乐</w:t>
            </w:r>
          </w:p>
        </w:tc>
        <w:tc>
          <w:tcPr>
            <w:tcW w:w="3561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办公室主任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华容县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养老和工伤保险服务中心</w:t>
            </w:r>
          </w:p>
        </w:tc>
        <w:tc>
          <w:tcPr>
            <w:tcW w:w="2602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02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29" w:hRule="atLeast"/>
          <w:jc w:val="center"/>
        </w:trPr>
        <w:tc>
          <w:tcPr>
            <w:tcW w:w="9800" w:type="dxa"/>
            <w:gridSpan w:val="15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93" w:hRule="atLeast"/>
          <w:jc w:val="center"/>
        </w:trPr>
        <w:tc>
          <w:tcPr>
            <w:tcW w:w="9800" w:type="dxa"/>
            <w:gridSpan w:val="15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61" w:hRule="atLeast"/>
          <w:jc w:val="center"/>
        </w:trPr>
        <w:tc>
          <w:tcPr>
            <w:tcW w:w="9800" w:type="dxa"/>
            <w:gridSpan w:val="15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竺凯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15073017177</w:t>
      </w:r>
    </w:p>
    <w:tbl>
      <w:tblPr>
        <w:tblStyle w:val="5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</w:tcPr>
          <w:p>
            <w:pPr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（一）部门（单位）基本情况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（二）部门（单位）整体支出规模、使用方向和主要内容、涉及范围等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本年单位预算收入为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968.94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万元，预算支出为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968.94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万元，主要使用范围为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社会保障和就业支出类，人力资源和社会保障管理事务，行政运行等项目支出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（一）基本支出</w:t>
            </w:r>
          </w:p>
          <w:p>
            <w:pPr>
              <w:spacing w:line="560" w:lineRule="exact"/>
              <w:ind w:firstLine="560" w:firstLineChars="200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财政基本支出为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434.68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万元，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其中：人员经费352.06万元，占基本支出的80.99%；公用经费82.62万元，占基本支出的19.01%。</w:t>
            </w:r>
          </w:p>
          <w:p>
            <w:pPr>
              <w:numPr>
                <w:ilvl w:val="0"/>
                <w:numId w:val="3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项目支出</w:t>
            </w:r>
          </w:p>
          <w:p>
            <w:pPr>
              <w:numPr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对社会养老保险基金支出434.26万元，对伤残、商贸、遗孀配偶的补贴款100万元。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三、部门（单位）项目组织实施情况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对社会养老保险基金支出434.26万元，对伤残、商贸、遗孀配偶的补贴款100万元。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四、部门（单位）整体支出绩效情况</w:t>
            </w:r>
            <w:bookmarkStart w:id="0" w:name="_GoBack"/>
            <w:bookmarkEnd w:id="0"/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单位绩效评价为良好，资金使用无结余，单位已制定或具有预算资金管理办法，内部财务管理制度、会计核算制度等管理制度，资金使用具有完整的流程及手续，确保资金使用合法合规合理；固定资产定期进行清查，确保账实相符，并且提高固定资产使用率；采购部门按规定执行政府采购计划。</w:t>
            </w: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五、存在的主要问题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1.固定资产中清查出的报废的固定资产，未及时履行报废手续；2.政府采购执行率尚需加强；3.内部财务制度尚需完善；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六、改进措施和有关建议</w:t>
            </w: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 xml:space="preserve"> </w:t>
            </w:r>
            <w:r>
              <w:rPr>
                <w:rFonts w:eastAsia="楷体_GB2312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针对上述问题，我单位将加强固定资产管理、单位资金管理，及时履行资产报废手续，提高资产使用率，延长资产使用寿命；严格按照规定执行政府采购计划，确保政府采购活动合理合法合规，单位日常活动正常运行；加强内部财务管理制度，严格按照规定执行报销流程和手续，确保资金使用符合规定。</w:t>
            </w:r>
            <w:r>
              <w:rPr>
                <w:rFonts w:eastAsia="楷体_GB2312"/>
                <w:bCs/>
                <w:sz w:val="28"/>
                <w:szCs w:val="28"/>
              </w:rPr>
              <w:t xml:space="preserve"> </w:t>
            </w:r>
          </w:p>
        </w:tc>
      </w:tr>
    </w:tbl>
    <w:p>
      <w:pPr>
        <w:spacing w:line="348" w:lineRule="auto"/>
        <w:rPr>
          <w:rFonts w:eastAsia="仿宋_GB2312"/>
          <w:sz w:val="32"/>
        </w:rPr>
      </w:pP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3230F"/>
    <w:multiLevelType w:val="singleLevel"/>
    <w:tmpl w:val="8393230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08A92B2"/>
    <w:multiLevelType w:val="singleLevel"/>
    <w:tmpl w:val="908A92B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CABFB86C"/>
    <w:multiLevelType w:val="singleLevel"/>
    <w:tmpl w:val="CABFB86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2CE55C20"/>
    <w:rsid w:val="00065797"/>
    <w:rsid w:val="000A7A02"/>
    <w:rsid w:val="000E6EEB"/>
    <w:rsid w:val="00114C25"/>
    <w:rsid w:val="002833AF"/>
    <w:rsid w:val="002C6AC0"/>
    <w:rsid w:val="002E2FD1"/>
    <w:rsid w:val="00334830"/>
    <w:rsid w:val="004413BA"/>
    <w:rsid w:val="0048779A"/>
    <w:rsid w:val="004A0525"/>
    <w:rsid w:val="007B2063"/>
    <w:rsid w:val="007D6BC7"/>
    <w:rsid w:val="007F4A14"/>
    <w:rsid w:val="00983B24"/>
    <w:rsid w:val="009D4437"/>
    <w:rsid w:val="00A44EA1"/>
    <w:rsid w:val="00BB5F3E"/>
    <w:rsid w:val="00C02459"/>
    <w:rsid w:val="00C91663"/>
    <w:rsid w:val="00D05D9B"/>
    <w:rsid w:val="00E05EDC"/>
    <w:rsid w:val="00F80A8C"/>
    <w:rsid w:val="00FE79D9"/>
    <w:rsid w:val="05AF76AE"/>
    <w:rsid w:val="083749E7"/>
    <w:rsid w:val="0CB679B8"/>
    <w:rsid w:val="0DE528CD"/>
    <w:rsid w:val="0F9A4F2B"/>
    <w:rsid w:val="10054735"/>
    <w:rsid w:val="1336279F"/>
    <w:rsid w:val="18725427"/>
    <w:rsid w:val="218A36D3"/>
    <w:rsid w:val="22AF6061"/>
    <w:rsid w:val="254E2FC7"/>
    <w:rsid w:val="25B607B7"/>
    <w:rsid w:val="263C173A"/>
    <w:rsid w:val="27206065"/>
    <w:rsid w:val="289D055E"/>
    <w:rsid w:val="2A770606"/>
    <w:rsid w:val="2C9F197B"/>
    <w:rsid w:val="2CA33441"/>
    <w:rsid w:val="2CE55C20"/>
    <w:rsid w:val="2F287302"/>
    <w:rsid w:val="30426D13"/>
    <w:rsid w:val="32F32C09"/>
    <w:rsid w:val="3A43255A"/>
    <w:rsid w:val="3BB60931"/>
    <w:rsid w:val="3D6201A1"/>
    <w:rsid w:val="3EC46785"/>
    <w:rsid w:val="3F8A6044"/>
    <w:rsid w:val="3FAB1185"/>
    <w:rsid w:val="43A702D9"/>
    <w:rsid w:val="44592EA4"/>
    <w:rsid w:val="477245B4"/>
    <w:rsid w:val="4816776B"/>
    <w:rsid w:val="49617FA5"/>
    <w:rsid w:val="4BAD6FBB"/>
    <w:rsid w:val="4D171D42"/>
    <w:rsid w:val="4DE54DB1"/>
    <w:rsid w:val="4E4F0BB0"/>
    <w:rsid w:val="4F7708A6"/>
    <w:rsid w:val="510A4E76"/>
    <w:rsid w:val="54CA1B8A"/>
    <w:rsid w:val="5A5F6D76"/>
    <w:rsid w:val="5BE95901"/>
    <w:rsid w:val="5EE72943"/>
    <w:rsid w:val="62AC3F21"/>
    <w:rsid w:val="663F5B0D"/>
    <w:rsid w:val="6A0A15CD"/>
    <w:rsid w:val="6A11486E"/>
    <w:rsid w:val="6AEF704E"/>
    <w:rsid w:val="6D452F22"/>
    <w:rsid w:val="6DC85BA0"/>
    <w:rsid w:val="6DF352BD"/>
    <w:rsid w:val="705E3E6D"/>
    <w:rsid w:val="70EA6686"/>
    <w:rsid w:val="71C1048A"/>
    <w:rsid w:val="7396188C"/>
    <w:rsid w:val="73A6715E"/>
    <w:rsid w:val="73F35F5B"/>
    <w:rsid w:val="75E80A8D"/>
    <w:rsid w:val="79C04582"/>
    <w:rsid w:val="7D1F0DA2"/>
    <w:rsid w:val="7E7E15CA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2010</Words>
  <Characters>2219</Characters>
  <Lines>19</Lines>
  <Paragraphs>5</Paragraphs>
  <TotalTime>0</TotalTime>
  <ScaleCrop>false</ScaleCrop>
  <LinksUpToDate>false</LinksUpToDate>
  <CharactersWithSpaces>2593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戴</cp:lastModifiedBy>
  <cp:lastPrinted>2022-12-01T07:52:00Z</cp:lastPrinted>
  <dcterms:modified xsi:type="dcterms:W3CDTF">2022-12-02T06:38:06Z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377A56B318954603893BD5B869B7BB42</vt:lpwstr>
  </property>
</Properties>
</file>