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1C0" w:rsidRDefault="008034A9">
      <w:pPr>
        <w:spacing w:line="348" w:lineRule="auto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附件2-1</w:t>
      </w:r>
    </w:p>
    <w:p w:rsidR="00C951C0" w:rsidRDefault="00C951C0">
      <w:pPr>
        <w:spacing w:line="348" w:lineRule="auto"/>
        <w:jc w:val="center"/>
        <w:rPr>
          <w:rFonts w:eastAsia="方正小标宋简体"/>
          <w:bCs/>
          <w:sz w:val="42"/>
          <w:szCs w:val="42"/>
        </w:rPr>
      </w:pPr>
    </w:p>
    <w:p w:rsidR="00C951C0" w:rsidRDefault="008034A9">
      <w:pPr>
        <w:spacing w:line="800" w:lineRule="exact"/>
        <w:jc w:val="center"/>
        <w:rPr>
          <w:rFonts w:eastAsia="方正小标宋简体"/>
          <w:bCs/>
          <w:sz w:val="46"/>
          <w:szCs w:val="46"/>
        </w:rPr>
      </w:pPr>
      <w:r>
        <w:rPr>
          <w:rFonts w:eastAsia="方正小标宋简体" w:hint="eastAsia"/>
          <w:bCs/>
          <w:sz w:val="46"/>
          <w:szCs w:val="46"/>
        </w:rPr>
        <w:t>华容县</w:t>
      </w:r>
      <w:r>
        <w:rPr>
          <w:rFonts w:eastAsia="方正小标宋简体" w:hint="eastAsia"/>
          <w:bCs/>
          <w:sz w:val="46"/>
          <w:szCs w:val="46"/>
        </w:rPr>
        <w:t>2021</w:t>
      </w:r>
      <w:r>
        <w:rPr>
          <w:rFonts w:eastAsia="方正小标宋简体" w:hint="eastAsia"/>
          <w:bCs/>
          <w:sz w:val="46"/>
          <w:szCs w:val="46"/>
        </w:rPr>
        <w:t>年度部门整体支出</w:t>
      </w:r>
    </w:p>
    <w:p w:rsidR="00C951C0" w:rsidRDefault="008034A9">
      <w:pPr>
        <w:spacing w:line="800" w:lineRule="exact"/>
        <w:jc w:val="center"/>
        <w:rPr>
          <w:rFonts w:eastAsia="方正小标宋简体"/>
          <w:bCs/>
          <w:sz w:val="46"/>
          <w:szCs w:val="46"/>
        </w:rPr>
      </w:pPr>
      <w:r>
        <w:rPr>
          <w:rFonts w:eastAsia="方正小标宋简体" w:hint="eastAsia"/>
          <w:bCs/>
          <w:sz w:val="46"/>
          <w:szCs w:val="46"/>
        </w:rPr>
        <w:t>绩效评价自评报告</w:t>
      </w:r>
    </w:p>
    <w:p w:rsidR="00C951C0" w:rsidRDefault="00C951C0">
      <w:pPr>
        <w:rPr>
          <w:rFonts w:eastAsia="仿宋_GB2312"/>
          <w:b/>
          <w:sz w:val="32"/>
        </w:rPr>
      </w:pPr>
    </w:p>
    <w:p w:rsidR="00C951C0" w:rsidRDefault="00C951C0">
      <w:pPr>
        <w:rPr>
          <w:rFonts w:eastAsia="仿宋_GB2312"/>
          <w:b/>
          <w:sz w:val="32"/>
        </w:rPr>
      </w:pPr>
    </w:p>
    <w:p w:rsidR="00C951C0" w:rsidRDefault="00C951C0">
      <w:pPr>
        <w:rPr>
          <w:rFonts w:eastAsia="仿宋_GB2312"/>
          <w:b/>
          <w:sz w:val="32"/>
        </w:rPr>
      </w:pPr>
    </w:p>
    <w:p w:rsidR="00C951C0" w:rsidRDefault="008034A9" w:rsidP="00A50F71">
      <w:pPr>
        <w:spacing w:beforeLines="50" w:line="348" w:lineRule="auto"/>
        <w:ind w:firstLineChars="150" w:firstLine="474"/>
        <w:rPr>
          <w:rFonts w:eastAsia="仿宋_GB2312"/>
          <w:sz w:val="32"/>
          <w:szCs w:val="32"/>
          <w:u w:val="single"/>
        </w:rPr>
      </w:pPr>
      <w:r>
        <w:rPr>
          <w:rFonts w:eastAsia="仿宋_GB2312" w:hint="eastAsia"/>
          <w:sz w:val="32"/>
          <w:szCs w:val="32"/>
        </w:rPr>
        <w:t>部门</w:t>
      </w:r>
      <w:r>
        <w:rPr>
          <w:rFonts w:eastAsia="仿宋_GB2312" w:hint="eastAsia"/>
          <w:sz w:val="32"/>
          <w:szCs w:val="32"/>
        </w:rPr>
        <w:t>(</w:t>
      </w:r>
      <w:r>
        <w:rPr>
          <w:rFonts w:eastAsia="仿宋_GB2312" w:hint="eastAsia"/>
          <w:sz w:val="32"/>
          <w:szCs w:val="32"/>
        </w:rPr>
        <w:t>单位</w:t>
      </w:r>
      <w:r>
        <w:rPr>
          <w:rFonts w:eastAsia="仿宋_GB2312" w:hint="eastAsia"/>
          <w:sz w:val="32"/>
          <w:szCs w:val="32"/>
        </w:rPr>
        <w:t>)</w:t>
      </w:r>
      <w:r>
        <w:rPr>
          <w:rFonts w:eastAsia="仿宋_GB2312" w:hint="eastAsia"/>
          <w:sz w:val="32"/>
          <w:szCs w:val="32"/>
        </w:rPr>
        <w:t>名称：华容县田家湖生态新区</w:t>
      </w:r>
      <w:r w:rsidR="00A50F71">
        <w:rPr>
          <w:rFonts w:eastAsia="仿宋_GB2312" w:hint="eastAsia"/>
          <w:sz w:val="32"/>
          <w:szCs w:val="32"/>
        </w:rPr>
        <w:t>财政所</w:t>
      </w:r>
    </w:p>
    <w:p w:rsidR="00C951C0" w:rsidRDefault="008034A9" w:rsidP="00A50F71">
      <w:pPr>
        <w:spacing w:beforeLines="50" w:line="348" w:lineRule="auto"/>
        <w:ind w:firstLineChars="150" w:firstLine="474"/>
        <w:rPr>
          <w:rFonts w:eastAsia="仿宋_GB2312"/>
          <w:spacing w:val="20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预</w:t>
      </w:r>
      <w:r>
        <w:rPr>
          <w:rFonts w:eastAsia="仿宋_GB2312" w:hint="eastAsia"/>
          <w:spacing w:val="30"/>
          <w:sz w:val="32"/>
          <w:szCs w:val="32"/>
        </w:rPr>
        <w:t xml:space="preserve"> </w:t>
      </w:r>
      <w:r>
        <w:rPr>
          <w:rFonts w:eastAsia="仿宋_GB2312" w:hint="eastAsia"/>
          <w:spacing w:val="30"/>
          <w:sz w:val="32"/>
          <w:szCs w:val="32"/>
        </w:rPr>
        <w:t>算</w:t>
      </w:r>
      <w:r>
        <w:rPr>
          <w:rFonts w:eastAsia="仿宋_GB2312" w:hint="eastAsia"/>
          <w:spacing w:val="30"/>
          <w:sz w:val="32"/>
          <w:szCs w:val="32"/>
        </w:rPr>
        <w:t xml:space="preserve"> </w:t>
      </w:r>
      <w:r>
        <w:rPr>
          <w:rFonts w:eastAsia="仿宋_GB2312" w:hint="eastAsia"/>
          <w:spacing w:val="30"/>
          <w:sz w:val="32"/>
          <w:szCs w:val="32"/>
        </w:rPr>
        <w:t>编</w:t>
      </w:r>
      <w:r>
        <w:rPr>
          <w:rFonts w:eastAsia="仿宋_GB2312" w:hint="eastAsia"/>
          <w:spacing w:val="30"/>
          <w:sz w:val="32"/>
          <w:szCs w:val="32"/>
        </w:rPr>
        <w:t xml:space="preserve"> </w:t>
      </w:r>
      <w:r>
        <w:rPr>
          <w:rFonts w:eastAsia="仿宋_GB2312" w:hint="eastAsia"/>
          <w:spacing w:val="30"/>
          <w:sz w:val="32"/>
          <w:szCs w:val="32"/>
        </w:rPr>
        <w:t>码：</w:t>
      </w:r>
      <w:r>
        <w:rPr>
          <w:rFonts w:eastAsia="仿宋_GB2312" w:hint="eastAsia"/>
          <w:spacing w:val="30"/>
          <w:sz w:val="32"/>
          <w:szCs w:val="32"/>
        </w:rPr>
        <w:t>016001</w:t>
      </w:r>
    </w:p>
    <w:p w:rsidR="00C951C0" w:rsidRDefault="008034A9" w:rsidP="00A50F71">
      <w:pPr>
        <w:spacing w:beforeLines="50" w:line="348" w:lineRule="auto"/>
        <w:ind w:firstLineChars="150" w:firstLine="47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评价方式：部门（单位）绩效自评</w:t>
      </w:r>
    </w:p>
    <w:p w:rsidR="00C951C0" w:rsidRDefault="008034A9" w:rsidP="00A50F71">
      <w:pPr>
        <w:spacing w:beforeLines="50" w:line="348" w:lineRule="auto"/>
        <w:ind w:firstLineChars="150" w:firstLine="47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评价机构：部门（单位）评价组</w:t>
      </w:r>
      <w:r>
        <w:rPr>
          <w:rFonts w:eastAsia="仿宋_GB2312" w:hint="eastAsia"/>
          <w:sz w:val="32"/>
          <w:szCs w:val="32"/>
        </w:rPr>
        <w:t xml:space="preserve">   </w:t>
      </w:r>
    </w:p>
    <w:p w:rsidR="00C951C0" w:rsidRDefault="00C951C0" w:rsidP="00DE7A7B">
      <w:pPr>
        <w:spacing w:line="720" w:lineRule="exact"/>
        <w:ind w:firstLineChars="690" w:firstLine="2182"/>
        <w:rPr>
          <w:rFonts w:eastAsia="仿宋_GB2312"/>
          <w:sz w:val="32"/>
        </w:rPr>
      </w:pPr>
    </w:p>
    <w:p w:rsidR="00C951C0" w:rsidRDefault="00C951C0" w:rsidP="00DE7A7B">
      <w:pPr>
        <w:spacing w:line="720" w:lineRule="exact"/>
        <w:ind w:firstLineChars="690" w:firstLine="2182"/>
        <w:rPr>
          <w:rFonts w:eastAsia="仿宋_GB2312"/>
          <w:sz w:val="32"/>
        </w:rPr>
      </w:pPr>
    </w:p>
    <w:p w:rsidR="00C951C0" w:rsidRDefault="00C951C0" w:rsidP="00DE7A7B">
      <w:pPr>
        <w:spacing w:line="720" w:lineRule="exact"/>
        <w:ind w:firstLineChars="690" w:firstLine="2182"/>
        <w:rPr>
          <w:rFonts w:eastAsia="仿宋_GB2312"/>
          <w:sz w:val="32"/>
        </w:rPr>
      </w:pPr>
    </w:p>
    <w:p w:rsidR="00C951C0" w:rsidRDefault="008034A9">
      <w:pPr>
        <w:spacing w:line="348" w:lineRule="auto"/>
        <w:jc w:val="center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报告日期：</w:t>
      </w:r>
      <w:r>
        <w:rPr>
          <w:rFonts w:eastAsia="仿宋_GB2312" w:hint="eastAsia"/>
          <w:sz w:val="32"/>
        </w:rPr>
        <w:t xml:space="preserve"> 2022  </w:t>
      </w:r>
      <w:r>
        <w:rPr>
          <w:rFonts w:eastAsia="仿宋_GB2312" w:hint="eastAsia"/>
          <w:sz w:val="32"/>
        </w:rPr>
        <w:t>年</w:t>
      </w:r>
      <w:r>
        <w:rPr>
          <w:rFonts w:eastAsia="仿宋_GB2312" w:hint="eastAsia"/>
          <w:sz w:val="32"/>
        </w:rPr>
        <w:t xml:space="preserve"> 10  </w:t>
      </w:r>
      <w:r>
        <w:rPr>
          <w:rFonts w:eastAsia="仿宋_GB2312" w:hint="eastAsia"/>
          <w:sz w:val="32"/>
        </w:rPr>
        <w:t>月</w:t>
      </w:r>
      <w:r>
        <w:rPr>
          <w:rFonts w:eastAsia="仿宋_GB2312" w:hint="eastAsia"/>
          <w:sz w:val="32"/>
        </w:rPr>
        <w:t xml:space="preserve"> 11  </w:t>
      </w:r>
      <w:r>
        <w:rPr>
          <w:rFonts w:eastAsia="仿宋_GB2312" w:hint="eastAsia"/>
          <w:sz w:val="32"/>
        </w:rPr>
        <w:t>日</w:t>
      </w:r>
    </w:p>
    <w:p w:rsidR="00C951C0" w:rsidRDefault="008034A9">
      <w:pPr>
        <w:autoSpaceDN w:val="0"/>
        <w:jc w:val="center"/>
        <w:textAlignment w:val="center"/>
        <w:rPr>
          <w:rFonts w:eastAsia="仿宋_GB2312"/>
          <w:sz w:val="32"/>
          <w:szCs w:val="32"/>
        </w:rPr>
        <w:sectPr w:rsidR="00C951C0">
          <w:footerReference w:type="even" r:id="rId7"/>
          <w:footerReference w:type="default" r:id="rId8"/>
          <w:pgSz w:w="11906" w:h="16838"/>
          <w:pgMar w:top="1588" w:right="1588" w:bottom="1588" w:left="1588" w:header="851" w:footer="992" w:gutter="0"/>
          <w:pgNumType w:start="1"/>
          <w:cols w:space="720"/>
          <w:docGrid w:type="linesAndChars" w:linePitch="602" w:charSpace="-782"/>
        </w:sectPr>
      </w:pPr>
      <w:r>
        <w:rPr>
          <w:rFonts w:eastAsia="仿宋_GB2312" w:hint="eastAsia"/>
          <w:sz w:val="32"/>
        </w:rPr>
        <w:t>华容县财政</w:t>
      </w:r>
      <w:r>
        <w:rPr>
          <w:rFonts w:eastAsia="仿宋_GB2312" w:hint="eastAsia"/>
          <w:sz w:val="32"/>
          <w:szCs w:val="32"/>
        </w:rPr>
        <w:t>局（制）</w:t>
      </w:r>
    </w:p>
    <w:tbl>
      <w:tblPr>
        <w:tblW w:w="98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5" w:type="dxa"/>
          <w:right w:w="15" w:type="dxa"/>
        </w:tblCellMar>
        <w:tblLook w:val="04A0"/>
      </w:tblPr>
      <w:tblGrid>
        <w:gridCol w:w="1441"/>
        <w:gridCol w:w="213"/>
        <w:gridCol w:w="46"/>
        <w:gridCol w:w="1080"/>
        <w:gridCol w:w="210"/>
        <w:gridCol w:w="1145"/>
        <w:gridCol w:w="272"/>
        <w:gridCol w:w="808"/>
        <w:gridCol w:w="1479"/>
        <w:gridCol w:w="226"/>
        <w:gridCol w:w="196"/>
        <w:gridCol w:w="259"/>
        <w:gridCol w:w="1080"/>
        <w:gridCol w:w="265"/>
        <w:gridCol w:w="139"/>
        <w:gridCol w:w="316"/>
        <w:gridCol w:w="625"/>
      </w:tblGrid>
      <w:tr w:rsidR="00C951C0">
        <w:trPr>
          <w:trHeight w:val="567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lastRenderedPageBreak/>
              <w:t>一、部门（单位）基本概况</w:t>
            </w:r>
          </w:p>
        </w:tc>
      </w:tr>
      <w:tr w:rsidR="00C951C0">
        <w:trPr>
          <w:trHeight w:val="567"/>
          <w:jc w:val="center"/>
        </w:trPr>
        <w:tc>
          <w:tcPr>
            <w:tcW w:w="1654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联系人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C951C0" w:rsidRDefault="00A50F7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罗萍</w:t>
            </w:r>
          </w:p>
        </w:tc>
        <w:tc>
          <w:tcPr>
            <w:tcW w:w="1479" w:type="dxa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联络电话</w:t>
            </w:r>
          </w:p>
        </w:tc>
        <w:tc>
          <w:tcPr>
            <w:tcW w:w="3106" w:type="dxa"/>
            <w:gridSpan w:val="8"/>
            <w:noWrap/>
            <w:vAlign w:val="center"/>
          </w:tcPr>
          <w:p w:rsidR="00C951C0" w:rsidRDefault="00A50F7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15115083289</w:t>
            </w:r>
          </w:p>
        </w:tc>
      </w:tr>
      <w:tr w:rsidR="00C951C0">
        <w:trPr>
          <w:trHeight w:val="567"/>
          <w:jc w:val="center"/>
        </w:trPr>
        <w:tc>
          <w:tcPr>
            <w:tcW w:w="1654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人员编制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C951C0" w:rsidRDefault="00A50F7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9</w:t>
            </w:r>
          </w:p>
        </w:tc>
        <w:tc>
          <w:tcPr>
            <w:tcW w:w="1479" w:type="dxa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实有人数</w:t>
            </w:r>
          </w:p>
        </w:tc>
        <w:tc>
          <w:tcPr>
            <w:tcW w:w="3106" w:type="dxa"/>
            <w:gridSpan w:val="8"/>
            <w:noWrap/>
            <w:vAlign w:val="center"/>
          </w:tcPr>
          <w:p w:rsidR="00C951C0" w:rsidRDefault="00A50F7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9</w:t>
            </w:r>
          </w:p>
        </w:tc>
      </w:tr>
      <w:tr w:rsidR="00C951C0">
        <w:trPr>
          <w:trHeight w:val="150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职能职责概述</w:t>
            </w:r>
          </w:p>
        </w:tc>
        <w:tc>
          <w:tcPr>
            <w:tcW w:w="8146" w:type="dxa"/>
            <w:gridSpan w:val="15"/>
            <w:noWrap/>
            <w:vAlign w:val="center"/>
          </w:tcPr>
          <w:p w:rsidR="00C951C0" w:rsidRDefault="008034A9">
            <w:pPr>
              <w:spacing w:line="360" w:lineRule="exact"/>
              <w:ind w:firstLineChars="200"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1.加强党的建设。落实基层党建工作责任制，加强党员队伍的思想建设、组织建设、作风建设、制度建设和党风廉政建设等相关工作。</w:t>
            </w:r>
          </w:p>
          <w:p w:rsidR="00C951C0" w:rsidRDefault="008034A9">
            <w:pPr>
              <w:spacing w:line="360" w:lineRule="exact"/>
              <w:ind w:firstLineChars="200"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2.统筹区域发展。做好农业、农村、农民和社区工作，推进乡村振兴；规范经济管理，组织指导经济发展和经济结构调整；加强综合生产能力建设；加强基础设施建设；。</w:t>
            </w:r>
          </w:p>
          <w:p w:rsidR="00C951C0" w:rsidRDefault="008034A9">
            <w:pPr>
              <w:spacing w:line="360" w:lineRule="exact"/>
              <w:ind w:firstLineChars="200"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3组织公共服务。加强公共设施建设，开展就业和社会保障等服务，发展科教文卫事业，组织实施与村（居）民生活密切相关的各项公共服务事项。</w:t>
            </w:r>
          </w:p>
          <w:p w:rsidR="00C951C0" w:rsidRDefault="008034A9">
            <w:pPr>
              <w:spacing w:line="360" w:lineRule="exact"/>
              <w:ind w:firstLineChars="200" w:firstLine="56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4.完成县委、县政府交办的其他事项</w:t>
            </w:r>
          </w:p>
        </w:tc>
      </w:tr>
      <w:tr w:rsidR="00C951C0">
        <w:trPr>
          <w:trHeight w:val="2464"/>
          <w:jc w:val="center"/>
        </w:trPr>
        <w:tc>
          <w:tcPr>
            <w:tcW w:w="1654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年度主要</w:t>
            </w:r>
          </w:p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工作内容</w:t>
            </w:r>
          </w:p>
        </w:tc>
        <w:tc>
          <w:tcPr>
            <w:tcW w:w="8146" w:type="dxa"/>
            <w:gridSpan w:val="15"/>
            <w:noWrap/>
            <w:vAlign w:val="center"/>
          </w:tcPr>
          <w:p w:rsidR="00C951C0" w:rsidRDefault="008034A9">
            <w:pPr>
              <w:spacing w:line="360" w:lineRule="exact"/>
              <w:ind w:firstLineChars="200" w:firstLine="562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1.抓好党建工作。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做好2021社区换届选举工作，同时进一步发掘、培养年轻的社区党员干部，为基层党组织补充新鲜血液。</w:t>
            </w:r>
          </w:p>
          <w:p w:rsidR="00C951C0" w:rsidRDefault="008034A9">
            <w:pPr>
              <w:spacing w:line="360" w:lineRule="exact"/>
              <w:ind w:firstLineChars="200" w:firstLine="562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2.服务项目建设。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一是田家湖大道西线，力争按原规划方案推进原白鼎村网格8户签约。二是湖北路，做好征拆工作，完成签约。三是容城学校，完成征拆签约，确保明年9月正式开学。四是城南加油站，加大施工力度，保证项目顺利推进。</w:t>
            </w:r>
          </w:p>
          <w:p w:rsidR="00C951C0" w:rsidRDefault="008034A9">
            <w:pPr>
              <w:spacing w:line="360" w:lineRule="exact"/>
              <w:ind w:firstLineChars="200" w:firstLine="562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3.加大招商融资。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引进各类项目投资，加大与有实力、有意向的战略投资者合作，力争在田家湖生态公园建设上达成战略合作。</w:t>
            </w:r>
          </w:p>
          <w:p w:rsidR="00C951C0" w:rsidRDefault="008034A9">
            <w:pPr>
              <w:spacing w:line="360" w:lineRule="exact"/>
              <w:ind w:firstLineChars="200" w:firstLine="562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4.落实禁违治违。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坚决遏制违建势头，做到宣传措施更力、巡查密度更大、控管力度更强，进一步做好存量违建的拆除工作，确保存量违建“负增长”。</w:t>
            </w:r>
          </w:p>
          <w:p w:rsidR="00C951C0" w:rsidRDefault="008034A9">
            <w:pPr>
              <w:spacing w:line="360" w:lineRule="exact"/>
              <w:ind w:firstLineChars="200" w:firstLine="562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5.维护安全稳定。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在安全生产上，继续保持每月两检查制度，落实更严格的隐患整改措施，确保不出现较大事故，力争不出现一般事故。在信访维稳上，加强重大信访遗留问题的调处，依法依规化解矛盾、纠纷，确保不出现赴省进京访，不出现重大群体性事件，确保大局稳定。</w:t>
            </w:r>
          </w:p>
        </w:tc>
      </w:tr>
      <w:tr w:rsidR="00C951C0">
        <w:trPr>
          <w:trHeight w:val="226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pacing w:val="-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6"/>
                <w:sz w:val="24"/>
              </w:rPr>
              <w:t>年度部门（单位）总体运行情况及取得的成绩</w:t>
            </w:r>
          </w:p>
        </w:tc>
        <w:tc>
          <w:tcPr>
            <w:tcW w:w="8146" w:type="dxa"/>
            <w:gridSpan w:val="15"/>
            <w:noWrap/>
            <w:vAlign w:val="center"/>
          </w:tcPr>
          <w:p w:rsidR="00C951C0" w:rsidRDefault="008034A9">
            <w:pPr>
              <w:spacing w:line="360" w:lineRule="exact"/>
              <w:ind w:firstLineChars="200" w:firstLine="562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1.不断加强基层党建。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实行试点小区党员登记报到服务，持续打造示范小区，已成立香溢花城、盛世新城等5个小区党支部，发挥小区党支部作用，破解小区治理难题，构建党建发展新格局。将项目征拆与党建引领融合，在田家湖大道、湖北路等征拆一线成立临时党支部，组建党员突击队，提高征地拆迁实效，推动项目建设顺利开工。抢抓金融助力乡村振兴机遇，推进社区“党建+诚信金融”工作，完成普圣堂、农科2个信用社区的认定授牌，以金融支持增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强基层发展“造血功能”。</w:t>
            </w:r>
          </w:p>
          <w:p w:rsidR="00C951C0" w:rsidRDefault="008034A9">
            <w:pPr>
              <w:spacing w:line="360" w:lineRule="exact"/>
              <w:ind w:firstLineChars="200" w:firstLine="562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2.稳步推进项目征拆。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坚持以项目论英雄，以征拆论成败，突出阳光拆迁、网格化签约，全力推进项目征拆工作。今年已完成新城大道东区域、容城学校西、湖北路241.2亩的征地；完成湖北路、容城学校、新城大道东、田家湖大道西线、盛世新城D地块共30户房屋拆迁。</w:t>
            </w:r>
          </w:p>
          <w:p w:rsidR="00C951C0" w:rsidRDefault="008034A9">
            <w:pPr>
              <w:spacing w:line="360" w:lineRule="exact"/>
              <w:ind w:firstLineChars="200" w:firstLine="562"/>
              <w:rPr>
                <w:rFonts w:ascii="楷体" w:eastAsia="楷体" w:hAnsi="楷体" w:cs="楷体"/>
                <w:b/>
                <w:bCs/>
                <w:color w:val="0000FF"/>
                <w:sz w:val="28"/>
                <w:szCs w:val="28"/>
                <w:shd w:val="clear" w:color="auto" w:fill="FFFFFF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3.认真处理留地安置。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截至目前，已完成马鞍社区一、二组和普圣堂社区四季花城3个留地安置区安置房清理等前期工作，共清理安置户192户，安置房660套（交易437套），安置门面247间，完成安置房消防和质量检测工作，税费征缴正按县留地安置专项清理领导小组要求有序推进。</w:t>
            </w:r>
            <w:bookmarkStart w:id="0" w:name="_GoBack"/>
            <w:bookmarkEnd w:id="0"/>
          </w:p>
          <w:p w:rsidR="00C951C0" w:rsidRDefault="008034A9">
            <w:pPr>
              <w:spacing w:line="360" w:lineRule="exact"/>
              <w:ind w:firstLineChars="200" w:firstLine="562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4.积极化解信访难题。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坚持源头预防与打击非访“两条腿”走路，畅通社情民意的信访渠道。全年回复处理“12345”公共热线工单400余条，网络舆情受理20余条，网信受理办理率达到100%，群众关心的热点民生问题，基本得到及时回复。</w:t>
            </w:r>
          </w:p>
        </w:tc>
      </w:tr>
      <w:tr w:rsidR="00C951C0">
        <w:trPr>
          <w:trHeight w:val="567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lastRenderedPageBreak/>
              <w:t>二、部门（单位）收支情况</w:t>
            </w:r>
          </w:p>
        </w:tc>
      </w:tr>
      <w:tr w:rsidR="00C951C0">
        <w:trPr>
          <w:trHeight w:val="567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  <w:t>年度收入情况（万元）</w:t>
            </w:r>
          </w:p>
        </w:tc>
      </w:tr>
      <w:tr w:rsidR="00C951C0">
        <w:trPr>
          <w:trHeight w:val="567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收入合计</w:t>
            </w:r>
          </w:p>
        </w:tc>
        <w:tc>
          <w:tcPr>
            <w:tcW w:w="7020" w:type="dxa"/>
            <w:gridSpan w:val="13"/>
            <w:tcBorders>
              <w:lef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其中：</w:t>
            </w:r>
          </w:p>
        </w:tc>
      </w:tr>
      <w:tr w:rsidR="00C951C0">
        <w:trPr>
          <w:trHeight w:val="1014"/>
          <w:jc w:val="center"/>
        </w:trPr>
        <w:tc>
          <w:tcPr>
            <w:tcW w:w="1700" w:type="dxa"/>
            <w:gridSpan w:val="3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上年结转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公共财</w:t>
            </w:r>
          </w:p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政拨款</w:t>
            </w:r>
          </w:p>
        </w:tc>
        <w:tc>
          <w:tcPr>
            <w:tcW w:w="1705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政府基金拨款</w:t>
            </w:r>
          </w:p>
        </w:tc>
        <w:tc>
          <w:tcPr>
            <w:tcW w:w="1800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其他</w:t>
            </w:r>
          </w:p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收入</w:t>
            </w:r>
          </w:p>
        </w:tc>
      </w:tr>
      <w:tr w:rsidR="00C951C0">
        <w:trPr>
          <w:trHeight w:val="772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4B08C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华容县田家湖生态新区管理委员会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A50F7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100.00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C951C0" w:rsidRDefault="00DE7A7B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C951C0" w:rsidRDefault="00A50F7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100.00</w:t>
            </w:r>
          </w:p>
        </w:tc>
        <w:tc>
          <w:tcPr>
            <w:tcW w:w="1705" w:type="dxa"/>
            <w:gridSpan w:val="2"/>
            <w:noWrap/>
            <w:vAlign w:val="center"/>
          </w:tcPr>
          <w:p w:rsidR="00C951C0" w:rsidRDefault="00A50F7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  <w:tc>
          <w:tcPr>
            <w:tcW w:w="1800" w:type="dxa"/>
            <w:gridSpan w:val="4"/>
            <w:noWrap/>
            <w:vAlign w:val="center"/>
          </w:tcPr>
          <w:p w:rsidR="00C951C0" w:rsidRDefault="004B08C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  <w:tc>
          <w:tcPr>
            <w:tcW w:w="1080" w:type="dxa"/>
            <w:gridSpan w:val="3"/>
            <w:noWrap/>
            <w:vAlign w:val="center"/>
          </w:tcPr>
          <w:p w:rsidR="00C951C0" w:rsidRDefault="00A50F7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</w:tr>
      <w:tr w:rsidR="00C951C0">
        <w:trPr>
          <w:trHeight w:val="567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567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567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624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  <w:t>部门（单位）年度支出和结余情况（万元）</w:t>
            </w: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 w:rsidR="00C951C0" w:rsidRDefault="008034A9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支出合计</w:t>
            </w:r>
          </w:p>
        </w:tc>
        <w:tc>
          <w:tcPr>
            <w:tcW w:w="5675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其中：</w:t>
            </w:r>
          </w:p>
        </w:tc>
        <w:tc>
          <w:tcPr>
            <w:tcW w:w="1345" w:type="dxa"/>
            <w:gridSpan w:val="4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结余</w:t>
            </w: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vMerge/>
            <w:noWrap/>
            <w:vAlign w:val="center"/>
          </w:tcPr>
          <w:p w:rsidR="00C951C0" w:rsidRDefault="00C951C0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基本支出</w:t>
            </w:r>
          </w:p>
        </w:tc>
        <w:tc>
          <w:tcPr>
            <w:tcW w:w="3240" w:type="dxa"/>
            <w:gridSpan w:val="6"/>
            <w:tcBorders>
              <w:top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累计结余</w:t>
            </w: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vMerge/>
            <w:noWrap/>
            <w:vAlign w:val="center"/>
          </w:tcPr>
          <w:p w:rsidR="00C951C0" w:rsidRDefault="00C951C0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人员支出</w:t>
            </w:r>
          </w:p>
        </w:tc>
        <w:tc>
          <w:tcPr>
            <w:tcW w:w="2160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公用支出</w:t>
            </w: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vMerge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877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4B08CE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lastRenderedPageBreak/>
              <w:t>华容县田家湖生态新区管理委员会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A50F7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100.00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C951C0" w:rsidRDefault="00A50F7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100.00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C951C0" w:rsidRDefault="00A50F7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81.95</w:t>
            </w:r>
          </w:p>
        </w:tc>
        <w:tc>
          <w:tcPr>
            <w:tcW w:w="2160" w:type="dxa"/>
            <w:gridSpan w:val="4"/>
            <w:noWrap/>
            <w:vAlign w:val="center"/>
          </w:tcPr>
          <w:p w:rsidR="00C951C0" w:rsidRDefault="00A50F7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18.05</w:t>
            </w:r>
          </w:p>
        </w:tc>
        <w:tc>
          <w:tcPr>
            <w:tcW w:w="1080" w:type="dxa"/>
            <w:noWrap/>
            <w:vAlign w:val="center"/>
          </w:tcPr>
          <w:p w:rsidR="00C951C0" w:rsidRDefault="00A50F7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C951C0" w:rsidRDefault="004B08C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  <w:tc>
          <w:tcPr>
            <w:tcW w:w="625" w:type="dxa"/>
            <w:tcBorders>
              <w:left w:val="single" w:sz="4" w:space="0" w:color="auto"/>
            </w:tcBorders>
            <w:noWrap/>
            <w:vAlign w:val="center"/>
          </w:tcPr>
          <w:p w:rsidR="00C951C0" w:rsidRDefault="00A50F7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C951C0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C951C0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C951C0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 w:rsidR="00C951C0" w:rsidRDefault="008034A9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三公经费</w:t>
            </w:r>
          </w:p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合计</w:t>
            </w:r>
          </w:p>
        </w:tc>
        <w:tc>
          <w:tcPr>
            <w:tcW w:w="7020" w:type="dxa"/>
            <w:gridSpan w:val="13"/>
            <w:tcBorders>
              <w:lef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其中：</w:t>
            </w: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vMerge/>
            <w:noWrap/>
            <w:vAlign w:val="center"/>
          </w:tcPr>
          <w:p w:rsidR="00C951C0" w:rsidRDefault="00C951C0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公务接待费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公务用车运维费</w:t>
            </w:r>
          </w:p>
        </w:tc>
        <w:tc>
          <w:tcPr>
            <w:tcW w:w="2160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公务用车购置费</w:t>
            </w:r>
          </w:p>
        </w:tc>
        <w:tc>
          <w:tcPr>
            <w:tcW w:w="2425" w:type="dxa"/>
            <w:gridSpan w:val="5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因公出国费</w:t>
            </w:r>
          </w:p>
        </w:tc>
      </w:tr>
      <w:tr w:rsidR="00C951C0">
        <w:trPr>
          <w:trHeight w:val="858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4B08CE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华容县田家湖生态新区管理委员会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  <w:tc>
          <w:tcPr>
            <w:tcW w:w="2160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  <w:tc>
          <w:tcPr>
            <w:tcW w:w="2425" w:type="dxa"/>
            <w:gridSpan w:val="5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C951C0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C951C0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C951C0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 w:rsidR="00C951C0" w:rsidRDefault="008034A9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固定资产</w:t>
            </w:r>
          </w:p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合计</w:t>
            </w:r>
          </w:p>
        </w:tc>
        <w:tc>
          <w:tcPr>
            <w:tcW w:w="6079" w:type="dxa"/>
            <w:gridSpan w:val="11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lef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其他</w:t>
            </w: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vMerge/>
            <w:noWrap/>
            <w:vAlign w:val="center"/>
          </w:tcPr>
          <w:p w:rsidR="00C951C0" w:rsidRDefault="00C951C0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在用固定资产</w:t>
            </w:r>
          </w:p>
        </w:tc>
        <w:tc>
          <w:tcPr>
            <w:tcW w:w="3644" w:type="dxa"/>
            <w:gridSpan w:val="7"/>
            <w:tcBorders>
              <w:righ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出租固定资产</w:t>
            </w:r>
          </w:p>
        </w:tc>
        <w:tc>
          <w:tcPr>
            <w:tcW w:w="941" w:type="dxa"/>
            <w:gridSpan w:val="2"/>
            <w:vMerge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855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4B08CE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华容县田家湖生态新区管理委员会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D9128C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3.54</w:t>
            </w:r>
          </w:p>
        </w:tc>
        <w:tc>
          <w:tcPr>
            <w:tcW w:w="2435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C951C0" w:rsidRDefault="00D9128C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3.54</w:t>
            </w:r>
          </w:p>
        </w:tc>
        <w:tc>
          <w:tcPr>
            <w:tcW w:w="3644" w:type="dxa"/>
            <w:gridSpan w:val="7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  <w:tc>
          <w:tcPr>
            <w:tcW w:w="941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C951C0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C951C0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C951C0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567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三、部门（单位）整体支出绩效自评情况</w:t>
            </w:r>
          </w:p>
        </w:tc>
      </w:tr>
      <w:tr w:rsidR="00C951C0">
        <w:trPr>
          <w:trHeight w:val="567"/>
          <w:jc w:val="center"/>
        </w:trPr>
        <w:tc>
          <w:tcPr>
            <w:tcW w:w="1441" w:type="dxa"/>
            <w:vMerge w:val="restart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整体支出绩效定性目标及实施计划完成情况</w:t>
            </w:r>
          </w:p>
        </w:tc>
        <w:tc>
          <w:tcPr>
            <w:tcW w:w="3774" w:type="dxa"/>
            <w:gridSpan w:val="7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预期目标</w:t>
            </w:r>
          </w:p>
        </w:tc>
        <w:tc>
          <w:tcPr>
            <w:tcW w:w="4585" w:type="dxa"/>
            <w:gridSpan w:val="9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实际完成</w:t>
            </w:r>
          </w:p>
        </w:tc>
      </w:tr>
      <w:tr w:rsidR="00C951C0">
        <w:trPr>
          <w:trHeight w:val="1172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774" w:type="dxa"/>
            <w:gridSpan w:val="7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（一）抓好党建工作。</w:t>
            </w:r>
          </w:p>
          <w:p w:rsidR="00C951C0" w:rsidRDefault="008034A9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（二）服务项目建设。</w:t>
            </w:r>
          </w:p>
          <w:p w:rsidR="00C951C0" w:rsidRDefault="008034A9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（二）服务项目建设。</w:t>
            </w:r>
          </w:p>
          <w:p w:rsidR="00C951C0" w:rsidRDefault="008034A9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（四）落实禁违治违。</w:t>
            </w:r>
          </w:p>
          <w:p w:rsidR="00C951C0" w:rsidRDefault="008034A9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（五）维护安全稳定。</w:t>
            </w:r>
          </w:p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lastRenderedPageBreak/>
              <w:t>…</w:t>
            </w:r>
          </w:p>
        </w:tc>
        <w:tc>
          <w:tcPr>
            <w:tcW w:w="4585" w:type="dxa"/>
            <w:gridSpan w:val="9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lastRenderedPageBreak/>
              <w:t>深入贯彻县委关于县城“东扩、西移、北控、南展”发展战略，迎难而上，真抓实干，加快推进“新园区、新城区、新景区”建设，全区经济社会发展保持了良好态势。</w:t>
            </w:r>
          </w:p>
        </w:tc>
      </w:tr>
      <w:tr w:rsidR="00C951C0">
        <w:trPr>
          <w:trHeight w:val="567"/>
          <w:jc w:val="center"/>
        </w:trPr>
        <w:tc>
          <w:tcPr>
            <w:tcW w:w="1441" w:type="dxa"/>
            <w:vMerge w:val="restart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lastRenderedPageBreak/>
              <w:t>整体支出</w:t>
            </w:r>
          </w:p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绩效定量目标及实施计划完成情况</w:t>
            </w:r>
          </w:p>
        </w:tc>
        <w:tc>
          <w:tcPr>
            <w:tcW w:w="2966" w:type="dxa"/>
            <w:gridSpan w:val="6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评价内容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绩效目标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完成情况</w:t>
            </w:r>
          </w:p>
        </w:tc>
      </w:tr>
      <w:tr w:rsidR="00C951C0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产出目标</w:t>
            </w:r>
          </w:p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（部门工作实绩，包含上级部门和县委县政府布置的重点工作、实事任务等，根据部门实际进行调整细化）</w:t>
            </w: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质量指标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指标1：征地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今年已完成新城大道东区域、容城学校西、湖北路241.2亩的征地</w:t>
            </w:r>
          </w:p>
        </w:tc>
      </w:tr>
      <w:tr w:rsidR="00C951C0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指标2：拆迁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完成湖北路、容城学校、新城大道东、田家湖大道西线、盛世新城D地块共30户房屋拆迁</w:t>
            </w:r>
          </w:p>
        </w:tc>
      </w:tr>
      <w:tr w:rsidR="00C951C0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；。</w:t>
            </w:r>
          </w:p>
        </w:tc>
      </w:tr>
      <w:tr w:rsidR="00C951C0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数量指标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安全管理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制定领导干部“职责清单”，坚持“一月两检查、检查全覆盖、分片包干到人”，检查不留死角、不留余情；组织安全宣传月活动，广泛宣传新安全生产法、特种设备操作等安全知识；开展“打非治违”行动，执法检查50次，执法办案30起，安全生产形势总体稳定。</w:t>
            </w:r>
          </w:p>
        </w:tc>
      </w:tr>
      <w:tr w:rsidR="00C951C0">
        <w:trPr>
          <w:trHeight w:val="461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队伍建设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实行试点小区党员登记报到服务，持续打造示范小区，已成立香溢花城、盛世新城等5个小区党支部，发挥小区党支部作用，破解小区治理难题，构建党建发展新格局</w:t>
            </w:r>
          </w:p>
        </w:tc>
      </w:tr>
      <w:tr w:rsidR="00C951C0">
        <w:trPr>
          <w:trHeight w:val="461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</w:tr>
      <w:tr w:rsidR="00C951C0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时效指标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无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</w:tr>
      <w:tr w:rsidR="00C951C0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</w:tr>
      <w:tr w:rsidR="00C951C0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</w:tr>
      <w:tr w:rsidR="00C951C0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成本指标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无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</w:tr>
      <w:tr w:rsidR="00C951C0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</w:tr>
      <w:tr w:rsidR="00C951C0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</w:tr>
      <w:tr w:rsidR="00C951C0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效益目标</w:t>
            </w:r>
          </w:p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（预期实现的效益）</w:t>
            </w:r>
          </w:p>
        </w:tc>
        <w:tc>
          <w:tcPr>
            <w:tcW w:w="1417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社会效益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指标1：维护民生福祉</w:t>
            </w:r>
          </w:p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指标2：</w:t>
            </w:r>
          </w:p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开展惠农惠民专项核查，核查信息6895条无差错；开展养老保险待遇核查，多领、冒领资金4万余元全部上缴入库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。</w:t>
            </w:r>
          </w:p>
        </w:tc>
      </w:tr>
      <w:tr w:rsidR="00C951C0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经济效益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指标1：基础设施建设</w:t>
            </w:r>
          </w:p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指标2：</w:t>
            </w:r>
          </w:p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目前，新区城市主干道路已基本建立，马鞍学校、长工学校、田家湖学校相继建成，容城学校即将开学，以县政府驻地为中心的县域政治中心，以马鞍山公园为中心的城市休闲公园，以人民医院、人民广场、田家湖学校为中心的高档小区居住群已现雏形。</w:t>
            </w:r>
          </w:p>
        </w:tc>
      </w:tr>
      <w:tr w:rsidR="00C951C0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生态效益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指标1：渠畅水清</w:t>
            </w:r>
          </w:p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指标2：</w:t>
            </w:r>
          </w:p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严格落实微河长制，坚持清淤治理与日常巡渠并举，梳洗清理沟渠7000多米，确保了小微水体渠畅水清</w:t>
            </w:r>
          </w:p>
        </w:tc>
      </w:tr>
      <w:tr w:rsidR="00C951C0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社会公众或服务对象满意度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满意度95%以上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满意度95%以上</w:t>
            </w:r>
          </w:p>
        </w:tc>
      </w:tr>
      <w:tr w:rsidR="00C951C0">
        <w:trPr>
          <w:trHeight w:val="567"/>
          <w:jc w:val="center"/>
        </w:trPr>
        <w:tc>
          <w:tcPr>
            <w:tcW w:w="2990" w:type="dxa"/>
            <w:gridSpan w:val="5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绩效自评综合得分</w:t>
            </w:r>
          </w:p>
        </w:tc>
        <w:tc>
          <w:tcPr>
            <w:tcW w:w="6810" w:type="dxa"/>
            <w:gridSpan w:val="1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567"/>
          <w:jc w:val="center"/>
        </w:trPr>
        <w:tc>
          <w:tcPr>
            <w:tcW w:w="2990" w:type="dxa"/>
            <w:gridSpan w:val="5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评价等次</w:t>
            </w:r>
          </w:p>
        </w:tc>
        <w:tc>
          <w:tcPr>
            <w:tcW w:w="6810" w:type="dxa"/>
            <w:gridSpan w:val="1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680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四、评价人员</w:t>
            </w:r>
          </w:p>
        </w:tc>
      </w:tr>
      <w:tr w:rsidR="00C951C0">
        <w:trPr>
          <w:trHeight w:val="567"/>
          <w:jc w:val="center"/>
        </w:trPr>
        <w:tc>
          <w:tcPr>
            <w:tcW w:w="1654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姓  名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职务/职称</w:t>
            </w:r>
          </w:p>
        </w:tc>
        <w:tc>
          <w:tcPr>
            <w:tcW w:w="1479" w:type="dxa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单  位</w:t>
            </w:r>
          </w:p>
        </w:tc>
        <w:tc>
          <w:tcPr>
            <w:tcW w:w="3106" w:type="dxa"/>
            <w:gridSpan w:val="8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签  字</w:t>
            </w:r>
          </w:p>
        </w:tc>
      </w:tr>
      <w:tr w:rsidR="00C951C0">
        <w:trPr>
          <w:trHeight w:val="68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C951C0" w:rsidRDefault="00DE7A7B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李浩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C951C0" w:rsidRDefault="00DE7A7B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田家湖生态新区副主任</w:t>
            </w:r>
          </w:p>
        </w:tc>
        <w:tc>
          <w:tcPr>
            <w:tcW w:w="1479" w:type="dxa"/>
            <w:noWrap/>
            <w:vAlign w:val="center"/>
          </w:tcPr>
          <w:p w:rsidR="00C951C0" w:rsidRPr="00DE7A7B" w:rsidRDefault="00DE7A7B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田家湖生态新区</w:t>
            </w:r>
          </w:p>
        </w:tc>
        <w:tc>
          <w:tcPr>
            <w:tcW w:w="3106" w:type="dxa"/>
            <w:gridSpan w:val="8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68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C951C0" w:rsidRDefault="00DE7A7B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陈溢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C951C0" w:rsidRDefault="00DE7A7B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田家湖生态新区办公室主任</w:t>
            </w:r>
          </w:p>
        </w:tc>
        <w:tc>
          <w:tcPr>
            <w:tcW w:w="1479" w:type="dxa"/>
            <w:noWrap/>
            <w:vAlign w:val="center"/>
          </w:tcPr>
          <w:p w:rsidR="00C951C0" w:rsidRDefault="00DE7A7B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田家湖生态新区</w:t>
            </w:r>
          </w:p>
        </w:tc>
        <w:tc>
          <w:tcPr>
            <w:tcW w:w="3106" w:type="dxa"/>
            <w:gridSpan w:val="8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68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68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2722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lastRenderedPageBreak/>
              <w:t>评价组组长（签字）：</w:t>
            </w:r>
          </w:p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 w:rsidR="00C951C0">
        <w:trPr>
          <w:trHeight w:val="2722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部门（单位）意见：</w:t>
            </w:r>
          </w:p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                                       部门（单位）负责人（签章）：</w:t>
            </w:r>
          </w:p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 w:rsidR="00C951C0">
        <w:trPr>
          <w:trHeight w:val="2794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C951C0" w:rsidRDefault="008034A9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财政部门归口业务科室意见：</w:t>
            </w:r>
          </w:p>
          <w:p w:rsidR="00C951C0" w:rsidRDefault="00C951C0">
            <w:pPr>
              <w:spacing w:line="320" w:lineRule="exact"/>
              <w:rPr>
                <w:rFonts w:eastAsia="仿宋_GB2312"/>
                <w:sz w:val="24"/>
              </w:rPr>
            </w:pPr>
          </w:p>
          <w:p w:rsidR="00C951C0" w:rsidRDefault="00C951C0">
            <w:pPr>
              <w:spacing w:line="320" w:lineRule="exact"/>
              <w:rPr>
                <w:rFonts w:eastAsia="仿宋_GB2312"/>
                <w:sz w:val="24"/>
              </w:rPr>
            </w:pPr>
          </w:p>
          <w:p w:rsidR="00C951C0" w:rsidRDefault="00C951C0">
            <w:pPr>
              <w:spacing w:line="320" w:lineRule="exact"/>
              <w:rPr>
                <w:rFonts w:eastAsia="仿宋_GB2312"/>
                <w:sz w:val="24"/>
              </w:rPr>
            </w:pPr>
          </w:p>
          <w:p w:rsidR="00C951C0" w:rsidRDefault="00C951C0">
            <w:pPr>
              <w:spacing w:line="320" w:lineRule="exact"/>
              <w:rPr>
                <w:rFonts w:eastAsia="仿宋_GB2312"/>
                <w:sz w:val="24"/>
              </w:rPr>
            </w:pPr>
          </w:p>
          <w:p w:rsidR="00C951C0" w:rsidRDefault="008034A9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</w:t>
            </w:r>
            <w:r>
              <w:rPr>
                <w:rFonts w:eastAsia="仿宋_GB2312" w:hint="eastAsia"/>
                <w:sz w:val="24"/>
              </w:rPr>
              <w:t>财政部门归口业务科室负责人（签章）：</w:t>
            </w:r>
          </w:p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            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</w:tbl>
    <w:p w:rsidR="00C951C0" w:rsidRDefault="008034A9">
      <w:pPr>
        <w:rPr>
          <w:rFonts w:eastAsia="仿宋_GB2312" w:cs="仿宋_GB2312"/>
          <w:bCs/>
          <w:sz w:val="28"/>
          <w:szCs w:val="28"/>
        </w:rPr>
      </w:pPr>
      <w:r>
        <w:rPr>
          <w:rFonts w:eastAsia="仿宋_GB2312" w:cs="仿宋_GB2312" w:hint="eastAsia"/>
          <w:bCs/>
          <w:sz w:val="28"/>
          <w:szCs w:val="28"/>
        </w:rPr>
        <w:t>填报人（签名）：</w:t>
      </w:r>
      <w:r>
        <w:rPr>
          <w:rFonts w:eastAsia="仿宋_GB2312" w:cs="仿宋_GB2312" w:hint="eastAsia"/>
          <w:bCs/>
          <w:sz w:val="28"/>
          <w:szCs w:val="28"/>
        </w:rPr>
        <w:t xml:space="preserve">  </w:t>
      </w:r>
      <w:r w:rsidR="00A50F71">
        <w:rPr>
          <w:rFonts w:eastAsia="仿宋_GB2312" w:cs="仿宋_GB2312" w:hint="eastAsia"/>
          <w:bCs/>
          <w:sz w:val="28"/>
          <w:szCs w:val="28"/>
        </w:rPr>
        <w:t>罗萍</w:t>
      </w:r>
      <w:r w:rsidR="00506A59">
        <w:rPr>
          <w:rFonts w:eastAsia="仿宋_GB2312" w:cs="仿宋_GB2312" w:hint="eastAsia"/>
          <w:bCs/>
          <w:sz w:val="28"/>
          <w:szCs w:val="28"/>
        </w:rPr>
        <w:t xml:space="preserve">             </w:t>
      </w:r>
      <w:r>
        <w:rPr>
          <w:rFonts w:eastAsia="仿宋_GB2312" w:cs="仿宋_GB2312" w:hint="eastAsia"/>
          <w:bCs/>
          <w:sz w:val="28"/>
          <w:szCs w:val="28"/>
        </w:rPr>
        <w:t xml:space="preserve">  </w:t>
      </w:r>
      <w:r>
        <w:rPr>
          <w:rFonts w:eastAsia="仿宋_GB2312" w:cs="仿宋_GB2312" w:hint="eastAsia"/>
          <w:bCs/>
          <w:sz w:val="28"/>
          <w:szCs w:val="28"/>
        </w:rPr>
        <w:t>联系电话：</w:t>
      </w:r>
      <w:r w:rsidR="00A50F71">
        <w:rPr>
          <w:rFonts w:eastAsia="仿宋_GB2312" w:cs="仿宋_GB2312" w:hint="eastAsia"/>
          <w:bCs/>
          <w:sz w:val="28"/>
          <w:szCs w:val="28"/>
        </w:rPr>
        <w:t>15115083289</w:t>
      </w:r>
    </w:p>
    <w:tbl>
      <w:tblPr>
        <w:tblW w:w="9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58"/>
      </w:tblGrid>
      <w:tr w:rsidR="00C951C0">
        <w:trPr>
          <w:trHeight w:val="12998"/>
          <w:jc w:val="center"/>
        </w:trPr>
        <w:tc>
          <w:tcPr>
            <w:tcW w:w="9558" w:type="dxa"/>
            <w:noWrap/>
          </w:tcPr>
          <w:p w:rsidR="00C951C0" w:rsidRDefault="008034A9">
            <w:pPr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lastRenderedPageBreak/>
              <w:t>五、评价报告综述（文字部分）</w:t>
            </w:r>
          </w:p>
          <w:p w:rsidR="00C951C0" w:rsidRDefault="00C951C0">
            <w:pPr>
              <w:spacing w:line="44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一、部门（单位）概况</w:t>
            </w:r>
          </w:p>
          <w:p w:rsidR="00C951C0" w:rsidRDefault="008034A9">
            <w:pPr>
              <w:spacing w:line="560" w:lineRule="exact"/>
              <w:ind w:firstLineChars="200" w:firstLine="640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华容县田家湖生态新区管理委员会的组织架构设综合办、拆迁安置办、征地规建办、招商发展办、社会事务办、纪检监察室、党建办、安全监管办、民政扶贫办、卫生健康所、文明创建办、综治办、财政所、司法所、国土资源所，下辖管马鞍社区、田家湖社区、普圣堂社区和农科社区四个社区，面积10.6平方公里。  </w:t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二、部门（单位）整体支出管理及使用情况</w:t>
            </w:r>
          </w:p>
          <w:p w:rsidR="00C951C0" w:rsidRDefault="008034A9">
            <w:pPr>
              <w:tabs>
                <w:tab w:val="left" w:pos="3105"/>
              </w:tabs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（一）基本支出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ab/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2021</w:t>
            </w:r>
            <w:r w:rsidR="00D9128C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年度财政拨款基本支出100.00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万元，其中：人员经费</w:t>
            </w:r>
            <w:r w:rsidR="00D9128C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81.95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，主要包括：（基本工资、津贴补贴、奖金、社会保障缴费、伙食补助费、其他工资福利支出、离休费、退休费、生活补助、医疗费、住房公积金、其他对个人和家庭的补助支出等）；公用经费万元，主要包括：（办公费、印刷费、咨询费、电费、邮电费、差旅费、因公出国（境）费、维修（护）费、租赁费、会议费、培训费、公务接待费、劳务费、其他交通费用、其他商品和服务支出、办公设备购置、其他支出等。</w:t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“三公”经费支出情况：严格按照财政局下发文件标准执行，严格控制支出，2021年，“三公”经费支出为</w:t>
            </w:r>
            <w:r w:rsidR="00D9128C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0万元，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增减变化的主要原因是：厉行节约，严格管控。公务用车购置及运行维护费完成0元，与上年无变化，原因是公车无。</w:t>
            </w:r>
          </w:p>
          <w:p w:rsidR="00C951C0" w:rsidRPr="00D9128C" w:rsidRDefault="00C951C0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三、部门（单位）专项组织实施情况</w:t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（一）专项组织情况分析</w:t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完善财务制度，规范经费管理；认真贯彻中央及省委相关规定，县委县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lastRenderedPageBreak/>
              <w:t>政府厉行节约的精神，进一步规范我区财务管理，将财务管理更加细化具体，责任更加清晰明了。</w:t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严格执行预算，控制经费支出；相关专项资金严格按照预算执行，按照专项的使用范围，做到了不挪项、不挪用、不超预算使用专项经费，并按照"量入为出，量体裁衣、节约使用"的原则，做到有计划地使用各专项资金。</w:t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完善专项监管，建立长效机制。一是提高全局意识，提高经费使用效益，节约从一点一滴做起；二是加强三公经费的管理，严格控制三公经费总量，把好审核关，加强对招待费、租车费的管理；三是严格执行政府采购，建设项目及大型专项支出、设备购置，一律经党工委研究决定，并按政府采购规定程序实施。</w:t>
            </w:r>
          </w:p>
          <w:p w:rsidR="00C951C0" w:rsidRDefault="008034A9">
            <w:pPr>
              <w:tabs>
                <w:tab w:val="left" w:pos="4200"/>
              </w:tabs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（二）专项管理情况分析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ab/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严格执行了专项的相关规定，我区专项资金的拨付和使用管理，严格按照上级有关部门规定执行，收支两条线，做到了专款专用。</w:t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四、部门（单位）整体支出绩效情况</w:t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2021</w:t>
            </w:r>
            <w:r w:rsidR="00AC5C6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年，我所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在县委、县政府的坚强领导下，坚持安全和质量“两条主线”，我区各项中心工作持续、稳步发展。我区坚决执行经费预算管理，确保预算不增长，支出不超预算。在厉行节约、反对铺张浪费等方面，采取了有力措施，并取得了明显成效。</w:t>
            </w:r>
          </w:p>
          <w:p w:rsidR="00C951C0" w:rsidRDefault="008034A9">
            <w:pPr>
              <w:tabs>
                <w:tab w:val="left" w:pos="3810"/>
              </w:tabs>
              <w:spacing w:line="560" w:lineRule="exact"/>
              <w:ind w:firstLineChars="200" w:firstLine="560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五、存在的主要问题</w:t>
            </w:r>
            <w:r>
              <w:rPr>
                <w:rFonts w:ascii="黑体" w:eastAsia="黑体" w:hAnsi="黑体" w:cs="黑体"/>
                <w:bCs/>
                <w:sz w:val="28"/>
                <w:szCs w:val="28"/>
              </w:rPr>
              <w:tab/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对项目资金开支分类需要进一步科学化、规范化，费用开支和绩效产出测得结果不够准确，需要进一步量化。预算管理、绩效管理、资金管理需要加强。</w:t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六、改进措施和有关建议</w:t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从预算项目入手，以往预算不够科学，是根据文件依据来预算，与实际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lastRenderedPageBreak/>
              <w:t>工作有差别，希望财政部门设计有效预算方法。</w:t>
            </w:r>
          </w:p>
          <w:p w:rsidR="00C951C0" w:rsidRDefault="00AC5C6B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华容县田家湖生态新区财政所</w:t>
            </w:r>
          </w:p>
          <w:p w:rsidR="00C951C0" w:rsidRDefault="008034A9">
            <w:pPr>
              <w:spacing w:line="560" w:lineRule="exact"/>
              <w:ind w:firstLineChars="200" w:firstLine="560"/>
              <w:jc w:val="center"/>
              <w:rPr>
                <w:rFonts w:eastAsia="楷体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2022年10月13日</w:t>
            </w:r>
          </w:p>
        </w:tc>
      </w:tr>
    </w:tbl>
    <w:p w:rsidR="00C951C0" w:rsidRDefault="008034A9">
      <w:r>
        <w:rPr>
          <w:rFonts w:eastAsia="楷体_GB2312"/>
          <w:bCs/>
          <w:sz w:val="28"/>
          <w:szCs w:val="28"/>
        </w:rPr>
        <w:lastRenderedPageBreak/>
        <w:br w:type="page"/>
      </w:r>
    </w:p>
    <w:sectPr w:rsidR="00C951C0" w:rsidSect="00C951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7BB" w:rsidRDefault="005507BB" w:rsidP="00C951C0">
      <w:r>
        <w:separator/>
      </w:r>
    </w:p>
  </w:endnote>
  <w:endnote w:type="continuationSeparator" w:id="1">
    <w:p w:rsidR="005507BB" w:rsidRDefault="005507BB" w:rsidP="00C951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1C0" w:rsidRDefault="00E1605F">
    <w:pPr>
      <w:framePr w:wrap="around" w:vAnchor="text" w:hAnchor="margin" w:xAlign="outside" w:y="1"/>
    </w:pPr>
    <w:r>
      <w:fldChar w:fldCharType="begin"/>
    </w:r>
    <w:r w:rsidR="008034A9">
      <w:instrText xml:space="preserve">PAGE  </w:instrText>
    </w:r>
    <w:r>
      <w:fldChar w:fldCharType="separate"/>
    </w:r>
    <w:r w:rsidR="008034A9">
      <w:t>- 15 -</w:t>
    </w:r>
    <w:r>
      <w:fldChar w:fldCharType="end"/>
    </w:r>
  </w:p>
  <w:p w:rsidR="00C951C0" w:rsidRDefault="00C951C0">
    <w:pPr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1C0" w:rsidRDefault="008034A9">
    <w:pPr>
      <w:pStyle w:val="a3"/>
      <w:framePr w:wrap="around" w:vAnchor="text" w:hAnchor="margin" w:xAlign="outside" w:y="1"/>
      <w:rPr>
        <w:rStyle w:val="a4"/>
        <w:sz w:val="24"/>
        <w:szCs w:val="24"/>
      </w:rPr>
    </w:pPr>
    <w:r>
      <w:rPr>
        <w:rStyle w:val="a4"/>
        <w:rFonts w:hint="eastAsia"/>
        <w:sz w:val="24"/>
        <w:szCs w:val="24"/>
      </w:rPr>
      <w:t>—</w:t>
    </w:r>
    <w:r>
      <w:rPr>
        <w:rStyle w:val="a4"/>
        <w:rFonts w:hint="eastAsia"/>
        <w:sz w:val="24"/>
        <w:szCs w:val="24"/>
      </w:rPr>
      <w:t xml:space="preserve"> </w:t>
    </w:r>
    <w:r w:rsidR="00E1605F">
      <w:rPr>
        <w:sz w:val="24"/>
        <w:szCs w:val="24"/>
      </w:rPr>
      <w:fldChar w:fldCharType="begin"/>
    </w:r>
    <w:r>
      <w:rPr>
        <w:rStyle w:val="a4"/>
        <w:sz w:val="24"/>
        <w:szCs w:val="24"/>
      </w:rPr>
      <w:instrText xml:space="preserve">PAGE  </w:instrText>
    </w:r>
    <w:r w:rsidR="00E1605F">
      <w:rPr>
        <w:sz w:val="24"/>
        <w:szCs w:val="24"/>
      </w:rPr>
      <w:fldChar w:fldCharType="separate"/>
    </w:r>
    <w:r w:rsidR="00AC5C6B">
      <w:rPr>
        <w:rStyle w:val="a4"/>
        <w:noProof/>
        <w:sz w:val="24"/>
        <w:szCs w:val="24"/>
      </w:rPr>
      <w:t>2</w:t>
    </w:r>
    <w:r w:rsidR="00E1605F">
      <w:rPr>
        <w:sz w:val="24"/>
        <w:szCs w:val="24"/>
      </w:rPr>
      <w:fldChar w:fldCharType="end"/>
    </w:r>
    <w:r>
      <w:rPr>
        <w:rStyle w:val="a4"/>
        <w:rFonts w:hint="eastAsia"/>
        <w:sz w:val="24"/>
        <w:szCs w:val="24"/>
      </w:rPr>
      <w:t xml:space="preserve"> </w:t>
    </w:r>
    <w:r>
      <w:rPr>
        <w:rStyle w:val="a4"/>
        <w:rFonts w:hint="eastAsia"/>
        <w:sz w:val="24"/>
        <w:szCs w:val="24"/>
      </w:rPr>
      <w:t>—</w:t>
    </w:r>
  </w:p>
  <w:p w:rsidR="00C951C0" w:rsidRDefault="00C951C0">
    <w:pPr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7BB" w:rsidRDefault="005507BB" w:rsidP="00C951C0">
      <w:r>
        <w:separator/>
      </w:r>
    </w:p>
  </w:footnote>
  <w:footnote w:type="continuationSeparator" w:id="1">
    <w:p w:rsidR="005507BB" w:rsidRDefault="005507BB" w:rsidP="00C951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DNmOGEyMGQ0ZGIyNzc0NjMxOTNlZjBiOWYxMzU4YjgifQ=="/>
  </w:docVars>
  <w:rsids>
    <w:rsidRoot w:val="00C951C0"/>
    <w:rsid w:val="00437018"/>
    <w:rsid w:val="004B08CE"/>
    <w:rsid w:val="00506A59"/>
    <w:rsid w:val="005507BB"/>
    <w:rsid w:val="007B5AE3"/>
    <w:rsid w:val="008034A9"/>
    <w:rsid w:val="008A152B"/>
    <w:rsid w:val="00A50F71"/>
    <w:rsid w:val="00AC5C6B"/>
    <w:rsid w:val="00C2557D"/>
    <w:rsid w:val="00C951C0"/>
    <w:rsid w:val="00CE650D"/>
    <w:rsid w:val="00D9128C"/>
    <w:rsid w:val="00DE7A7B"/>
    <w:rsid w:val="00E1018A"/>
    <w:rsid w:val="00E1605F"/>
    <w:rsid w:val="00F82F6D"/>
    <w:rsid w:val="00FB5B16"/>
    <w:rsid w:val="62D80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51C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C951C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a4">
    <w:name w:val="page number"/>
    <w:qFormat/>
    <w:rsid w:val="00C951C0"/>
  </w:style>
  <w:style w:type="paragraph" w:styleId="a5">
    <w:name w:val="header"/>
    <w:basedOn w:val="a"/>
    <w:link w:val="Char"/>
    <w:rsid w:val="00DE7A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DE7A7B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8638B-44E8-42CC-8C6A-3B7EE0981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11</Pages>
  <Words>707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gooo</dc:creator>
  <cp:lastModifiedBy>lenovov</cp:lastModifiedBy>
  <cp:revision>10</cp:revision>
  <dcterms:created xsi:type="dcterms:W3CDTF">2022-10-13T06:17:00Z</dcterms:created>
  <dcterms:modified xsi:type="dcterms:W3CDTF">2022-11-07T01:44:00Z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522AA44354554E178D721DB100DDF613</vt:lpwstr>
  </property>
</Properties>
</file>