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hint="eastAsia" w:eastAsia="仿宋_GB2312"/>
          <w:sz w:val="32"/>
          <w:szCs w:val="32"/>
          <w:u w:val="single"/>
          <w:lang w:eastAsia="zh-CN"/>
        </w:rPr>
      </w:pPr>
      <w:r>
        <w:rPr>
          <w:rFonts w:hint="eastAsia" w:eastAsia="仿宋_GB2312"/>
          <w:sz w:val="32"/>
          <w:szCs w:val="32"/>
        </w:rPr>
        <w:t>部门(单位)名称：华容县交通运输局</w:t>
      </w:r>
      <w:r>
        <w:rPr>
          <w:rFonts w:hint="eastAsia" w:eastAsia="仿宋_GB2312"/>
          <w:sz w:val="32"/>
          <w:szCs w:val="32"/>
          <w:lang w:eastAsia="zh-CN"/>
        </w:rPr>
        <w:t>（</w:t>
      </w:r>
      <w:r>
        <w:rPr>
          <w:rFonts w:hint="eastAsia" w:eastAsia="仿宋_GB2312"/>
          <w:sz w:val="32"/>
          <w:szCs w:val="32"/>
          <w:lang w:val="en-US" w:eastAsia="zh-CN"/>
        </w:rPr>
        <w:t>本级</w:t>
      </w:r>
      <w:r>
        <w:rPr>
          <w:rFonts w:hint="eastAsia" w:eastAsia="仿宋_GB2312"/>
          <w:sz w:val="32"/>
          <w:szCs w:val="32"/>
          <w:lang w:eastAsia="zh-CN"/>
        </w:rPr>
        <w:t>）</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 xml:space="preserve">报告日期：2022 年 </w:t>
      </w:r>
      <w:r>
        <w:rPr>
          <w:rFonts w:hint="eastAsia" w:eastAsia="仿宋_GB2312"/>
          <w:sz w:val="32"/>
          <w:lang w:val="en-US" w:eastAsia="zh-CN"/>
        </w:rPr>
        <w:t>9</w:t>
      </w:r>
      <w:r>
        <w:rPr>
          <w:rFonts w:hint="eastAsia" w:eastAsia="仿宋_GB2312"/>
          <w:sz w:val="32"/>
        </w:rPr>
        <w:t xml:space="preserve"> 月 26  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5"/>
        <w:tblW w:w="98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274"/>
        <w:gridCol w:w="205"/>
        <w:gridCol w:w="422"/>
        <w:gridCol w:w="507"/>
        <w:gridCol w:w="1097"/>
        <w:gridCol w:w="139"/>
        <w:gridCol w:w="40"/>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91" w:type="dxa"/>
            <w:gridSpan w:val="1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吴丹</w:t>
            </w:r>
          </w:p>
        </w:tc>
        <w:tc>
          <w:tcPr>
            <w:tcW w:w="1479"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97"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4131157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w:t>
            </w:r>
          </w:p>
        </w:tc>
        <w:tc>
          <w:tcPr>
            <w:tcW w:w="1479"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97"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highlight w:val="yellow"/>
              </w:rPr>
            </w:pPr>
            <w:r>
              <w:rPr>
                <w:rFonts w:hint="eastAsia" w:ascii="仿宋_GB2312" w:hAnsi="仿宋_GB2312" w:eastAsia="仿宋_GB2312" w:cs="仿宋_GB2312"/>
                <w:color w:val="000000"/>
                <w:sz w:val="24"/>
              </w:rPr>
              <w:t>职能职责概述</w:t>
            </w:r>
          </w:p>
        </w:tc>
        <w:tc>
          <w:tcPr>
            <w:tcW w:w="8237" w:type="dxa"/>
            <w:gridSpan w:val="14"/>
            <w:noWrap/>
            <w:vAlign w:val="center"/>
          </w:tcPr>
          <w:p>
            <w:pPr>
              <w:autoSpaceDN w:val="0"/>
              <w:spacing w:line="320" w:lineRule="exact"/>
              <w:jc w:val="left"/>
              <w:textAlignment w:val="center"/>
              <w:rPr>
                <w:rFonts w:ascii="仿宋_GB2312" w:hAnsi="仿宋_GB2312" w:eastAsia="仿宋_GB2312" w:cs="仿宋_GB2312"/>
                <w:color w:val="000000"/>
                <w:sz w:val="24"/>
                <w:highlight w:val="yellow"/>
              </w:rPr>
            </w:pPr>
            <w:r>
              <w:rPr>
                <w:rFonts w:hint="eastAsia" w:ascii="仿宋" w:hAnsi="仿宋" w:eastAsia="仿宋" w:cs="仿宋"/>
                <w:color w:val="000000"/>
                <w:sz w:val="24"/>
              </w:rPr>
              <w:t>执行落实交通运输行业各项法规政策；组织拟订或参与拟订交通运输规划、计划并监督实施；负责交通基础设施项目建设、管理维护和行业监管协调；负责交通运输行业监管工作交通运输行业管理、农村公路管、建、养、运输市场管理，交通建设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237" w:type="dxa"/>
            <w:gridSpan w:val="14"/>
            <w:noWrap/>
            <w:vAlign w:val="center"/>
          </w:tcPr>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任务1：按照县委、县政府总体部署，围绕人民满意交通目标为抓手；</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任务2：推进项目建设；</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任务3：优化管理服务；</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任务4：强化基础保障。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48"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237" w:type="dxa"/>
            <w:gridSpan w:val="14"/>
            <w:noWrap/>
            <w:vAlign w:val="center"/>
          </w:tcPr>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1.梅田湖大桥建设目前已完成建安总投资5500万元，占工程总体形象进度50%。今年7月已进入桥梁上部挂篮施工，路基已启动建设，六门闸船闸业务用房建设已于今年10月12日交工验收，标志着藕池河东支—华容河航道一期工程建设全部完工。</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2.完成农村公路处提质改造工程40公里，达到全年目标任务的63%；已完成危桥改造17座，完成全年目标任务77%。</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3.积极响应县政府号召，开通县城至三封工业园专线公交车，解决了园区职工上下班出行难的问题。</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4.常态化开展黑车整治行动，共查处非法营运车辆188台次；累计出动治超执法人员1056人次，检查车辆6800台次，卸载货物2500吨；积极推进科技治超，先后投入500余万元，建设完成G353、G340两个非现场治超执法系统，</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5.优化营商环境，深化“放管服”改革，累计办理各类审批服务事项1280余件，实现现场办件满意率、提前办结率、回访群众满意率等3个100%。</w:t>
            </w:r>
          </w:p>
          <w:p>
            <w:pPr>
              <w:autoSpaceDN w:val="0"/>
              <w:spacing w:line="400" w:lineRule="exact"/>
              <w:jc w:val="left"/>
              <w:textAlignment w:val="center"/>
              <w:rPr>
                <w:rFonts w:ascii="仿宋" w:hAnsi="仿宋" w:eastAsia="仿宋" w:cs="仿宋"/>
                <w:color w:val="000000"/>
                <w:sz w:val="24"/>
              </w:rPr>
            </w:pPr>
            <w:r>
              <w:rPr>
                <w:rFonts w:hint="eastAsia" w:ascii="仿宋" w:hAnsi="仿宋" w:eastAsia="仿宋" w:cs="仿宋"/>
                <w:color w:val="000000"/>
                <w:sz w:val="24"/>
              </w:rPr>
              <w:t>6.春运期间，统筹做好疫情防控和春运保障工作，完成水、陆旅客运输151.9万人次，取得了春运保障和疫情防控“双胜利”。</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91" w:type="dxa"/>
            <w:gridSpan w:val="1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91" w:type="dxa"/>
            <w:gridSpan w:val="1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111" w:type="dxa"/>
            <w:gridSpan w:val="1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2231"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171"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7175.43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6092.03</w:t>
            </w: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1083.4</w:t>
            </w:r>
          </w:p>
        </w:tc>
        <w:tc>
          <w:tcPr>
            <w:tcW w:w="2231"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71"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7175.43</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6092.03</w:t>
            </w: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1083.4</w:t>
            </w:r>
          </w:p>
        </w:tc>
        <w:tc>
          <w:tcPr>
            <w:tcW w:w="2231"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71"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231"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71"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274" w:type="dxa"/>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231"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71"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91" w:type="dxa"/>
            <w:gridSpan w:val="1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4843" w:type="dxa"/>
            <w:gridSpan w:val="8"/>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2268"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354" w:type="dxa"/>
            <w:gridSpan w:val="3"/>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34" w:type="dxa"/>
            <w:gridSpan w:val="3"/>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1276"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992"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134" w:type="dxa"/>
            <w:gridSpan w:val="3"/>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6"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92"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7175.43</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557.73</w:t>
            </w:r>
          </w:p>
        </w:tc>
        <w:tc>
          <w:tcPr>
            <w:tcW w:w="1080" w:type="dxa"/>
            <w:gridSpan w:val="2"/>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330.39</w:t>
            </w:r>
          </w:p>
        </w:tc>
        <w:tc>
          <w:tcPr>
            <w:tcW w:w="1274" w:type="dxa"/>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227.34</w:t>
            </w:r>
          </w:p>
        </w:tc>
        <w:tc>
          <w:tcPr>
            <w:tcW w:w="1134" w:type="dxa"/>
            <w:gridSpan w:val="3"/>
            <w:noWrap/>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6617.7</w:t>
            </w:r>
          </w:p>
        </w:tc>
        <w:tc>
          <w:tcPr>
            <w:tcW w:w="1276"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92"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7175.43</w:t>
            </w:r>
          </w:p>
        </w:tc>
        <w:tc>
          <w:tcPr>
            <w:tcW w:w="1355" w:type="dxa"/>
            <w:gridSpan w:val="2"/>
            <w:tcBorders>
              <w:left w:val="single" w:color="auto" w:sz="4" w:space="0"/>
            </w:tcBorders>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557.73</w:t>
            </w:r>
          </w:p>
        </w:tc>
        <w:tc>
          <w:tcPr>
            <w:tcW w:w="1080" w:type="dxa"/>
            <w:gridSpan w:val="2"/>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330.39</w:t>
            </w:r>
          </w:p>
        </w:tc>
        <w:tc>
          <w:tcPr>
            <w:tcW w:w="1274" w:type="dxa"/>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227.34</w:t>
            </w:r>
          </w:p>
        </w:tc>
        <w:tc>
          <w:tcPr>
            <w:tcW w:w="1134" w:type="dxa"/>
            <w:gridSpan w:val="3"/>
            <w:noWrap/>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6617.7</w:t>
            </w:r>
          </w:p>
        </w:tc>
        <w:tc>
          <w:tcPr>
            <w:tcW w:w="1276"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92"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34"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6"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92"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134"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6"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92"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111" w:type="dxa"/>
            <w:gridSpan w:val="1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3402"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402"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2.86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402"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402"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274"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402"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0"/>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32"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6"/>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1032"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172.27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172.27</w:t>
            </w: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32"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172.27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172.27</w:t>
            </w: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32"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32"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32"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91" w:type="dxa"/>
            <w:gridSpan w:val="1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67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3774" w:type="dxa"/>
            <w:gridSpan w:val="7"/>
            <w:noWrap/>
            <w:vAlign w:val="center"/>
          </w:tcPr>
          <w:p>
            <w:pPr>
              <w:spacing w:line="320" w:lineRule="exact"/>
              <w:jc w:val="left"/>
              <w:textAlignment w:val="center"/>
              <w:rPr>
                <w:rFonts w:ascii="仿宋" w:hAnsi="仿宋" w:eastAsia="仿宋" w:cs="仿宋"/>
                <w:color w:val="000000"/>
                <w:szCs w:val="21"/>
              </w:rPr>
            </w:pPr>
            <w:r>
              <w:rPr>
                <w:rFonts w:hint="eastAsia" w:ascii="仿宋" w:hAnsi="仿宋" w:eastAsia="仿宋" w:cs="仿宋"/>
                <w:color w:val="000000"/>
                <w:szCs w:val="21"/>
              </w:rPr>
              <w:t>目标1：全速推进基础设施建设；</w:t>
            </w:r>
          </w:p>
          <w:p>
            <w:pPr>
              <w:spacing w:line="320" w:lineRule="exact"/>
              <w:jc w:val="left"/>
              <w:textAlignment w:val="center"/>
              <w:rPr>
                <w:rFonts w:ascii="仿宋" w:hAnsi="仿宋" w:eastAsia="仿宋" w:cs="仿宋"/>
                <w:color w:val="000000"/>
                <w:szCs w:val="21"/>
              </w:rPr>
            </w:pPr>
            <w:r>
              <w:rPr>
                <w:rFonts w:hint="eastAsia" w:ascii="仿宋" w:hAnsi="仿宋" w:eastAsia="仿宋" w:cs="仿宋"/>
                <w:color w:val="000000"/>
                <w:szCs w:val="21"/>
              </w:rPr>
              <w:t>目标2：全力提高行业治理能力；</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Cs w:val="21"/>
              </w:rPr>
              <w:t>目标3：全面强化基础保障水平</w:t>
            </w:r>
            <w:r>
              <w:rPr>
                <w:rFonts w:hint="eastAsia" w:ascii="仿宋_GB2312" w:hAnsi="仿宋_GB2312" w:eastAsia="仿宋_GB2312" w:cs="仿宋_GB2312"/>
                <w:color w:val="000000"/>
                <w:sz w:val="24"/>
              </w:rPr>
              <w:t>。</w:t>
            </w:r>
          </w:p>
        </w:tc>
        <w:tc>
          <w:tcPr>
            <w:tcW w:w="4676" w:type="dxa"/>
            <w:gridSpan w:val="8"/>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已按质按量完成并落实到位。县委、县政府年度综合绩效考评确定我局为经济管理系列一类单位。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77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项目建设质量</w:t>
            </w: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项目建设质量总体可控，未出现质量安全事故。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Cs w:val="21"/>
              </w:rPr>
              <w:t>行业服务质量</w:t>
            </w: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班线客运、城市公交、出租车等领域无重大服务质量投诉及集中上访事件。年度服务质量信誉考核顺利通过。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spacing w:line="320" w:lineRule="exact"/>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775" w:type="dxa"/>
            <w:gridSpan w:val="5"/>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指标1：年内交通建设项目投资</w:t>
            </w: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完成投资约1.09亿。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775" w:type="dxa"/>
            <w:gridSpan w:val="5"/>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775" w:type="dxa"/>
            <w:gridSpan w:val="5"/>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指标1：推进农村公路建设</w:t>
            </w: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完成农村公路处提质改造工程63.133公里，完成危桥改造22座。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775" w:type="dxa"/>
            <w:gridSpan w:val="5"/>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w:t>
            </w:r>
          </w:p>
        </w:tc>
        <w:tc>
          <w:tcPr>
            <w:tcW w:w="2775" w:type="dxa"/>
            <w:gridSpan w:val="5"/>
            <w:noWrap/>
            <w:vAlign w:val="center"/>
          </w:tcPr>
          <w:p>
            <w:pPr>
              <w:autoSpaceDN w:val="0"/>
              <w:spacing w:line="320" w:lineRule="exact"/>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指标1：梅田湖大桥建设</w:t>
            </w: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梅田湖大桥建设目前已完成建安总投资5500万元，占工程总体形象进度50%。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指标2：六门闸船闸业务用房建设</w:t>
            </w: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 w:val="24"/>
              </w:rPr>
              <w:t>六门闸船闸业务用房建设已于2021年10月12日交工验收。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775" w:type="dxa"/>
            <w:gridSpan w:val="5"/>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指标1：安全生产</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775" w:type="dxa"/>
            <w:gridSpan w:val="5"/>
            <w:noWrap/>
            <w:vAlign w:val="center"/>
          </w:tcPr>
          <w:p>
            <w:pPr>
              <w:ind w:firstLine="420" w:firstLineChars="200"/>
              <w:rPr>
                <w:rFonts w:ascii="仿宋_GB2312" w:hAnsi="仿宋_GB2312" w:eastAsia="仿宋_GB2312" w:cs="仿宋_GB2312"/>
                <w:b/>
                <w:color w:val="000000"/>
                <w:szCs w:val="21"/>
              </w:rPr>
            </w:pPr>
            <w:r>
              <w:rPr>
                <w:rFonts w:hint="eastAsia" w:ascii="仿宋_GB2312" w:hAnsi="仿宋_GB2312" w:eastAsia="仿宋_GB2312" w:cs="仿宋_GB2312"/>
                <w:color w:val="000000"/>
                <w:szCs w:val="21"/>
              </w:rPr>
              <w:t>6月份，组织全局系统安全生产管理人员进行了一次消防安全培训；9月份，对所有公交车安全防护保安志愿者开展了一次业务培训。积极推进“应急普法”知识竞赛，局系统在职人员注册率达到80%以上，参与竞赛人数达到1200多人次。共排查一般安全隐患13处、重大安全隐患1处，整治一般隐患10处；完成了全县乡镇船舶年度检验工作，对我县现有的48艘客渡船舶进行了一次全面检验，对不符合渡运标准的船舶坚决予以取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指标1：农村公路养护</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themeColor="text1"/>
                <w:szCs w:val="21"/>
                <w14:textFill>
                  <w14:solidFill>
                    <w14:schemeClr w14:val="tx1"/>
                  </w14:solidFill>
                </w14:textFill>
              </w:rPr>
              <w:t>年末全县农村公路好路率98%（市定指标87%），绿化率95%（市定指标85%）。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指标1：转变价值观念，增强服务意识，逐步满足社会公众生态需求</w:t>
            </w:r>
          </w:p>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指标2：完善生态管理制度体系，协调生态环境与经济社会发展的关系，使经济社会与生态环境协调发展</w:t>
            </w:r>
          </w:p>
          <w:p>
            <w:pPr>
              <w:autoSpaceDN w:val="0"/>
              <w:spacing w:line="320" w:lineRule="exact"/>
              <w:jc w:val="left"/>
              <w:textAlignment w:val="center"/>
              <w:rPr>
                <w:rFonts w:ascii="仿宋_GB2312" w:hAnsi="仿宋_GB2312" w:eastAsia="仿宋_GB2312" w:cs="仿宋_GB2312"/>
                <w:color w:val="000000"/>
                <w:sz w:val="24"/>
              </w:rPr>
            </w:pP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社会公众生态需求逐步满足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年度综合绩效考核公众评议</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bookmarkStart w:id="0" w:name="_GoBack"/>
            <w:bookmarkEnd w:id="0"/>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775" w:type="dxa"/>
            <w:gridSpan w:val="5"/>
            <w:noWrap/>
            <w:vAlign w:val="center"/>
          </w:tcPr>
          <w:p>
            <w:pPr>
              <w:autoSpaceDN w:val="0"/>
              <w:spacing w:line="320" w:lineRule="exact"/>
              <w:jc w:val="left"/>
              <w:textAlignment w:val="center"/>
              <w:rPr>
                <w:rFonts w:ascii="仿宋_GB2312" w:hAnsi="仿宋_GB2312" w:eastAsia="仿宋_GB2312" w:cs="仿宋_GB2312"/>
                <w:b/>
                <w:color w:val="000000"/>
                <w:sz w:val="24"/>
              </w:rPr>
            </w:pPr>
            <w:r>
              <w:rPr>
                <w:rFonts w:hint="eastAsia" w:ascii="仿宋_GB2312" w:hAnsi="仿宋_GB2312" w:eastAsia="仿宋_GB2312" w:cs="仿宋_GB2312"/>
                <w:color w:val="000000"/>
                <w:szCs w:val="21"/>
              </w:rPr>
              <w:t>据县考评办数据，公众评议好评率约90%。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901" w:type="dxa"/>
            <w:gridSpan w:val="11"/>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901" w:type="dxa"/>
            <w:gridSpan w:val="11"/>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91" w:type="dxa"/>
            <w:gridSpan w:val="1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97"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高  翔</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交通局</w:t>
            </w:r>
          </w:p>
        </w:tc>
        <w:tc>
          <w:tcPr>
            <w:tcW w:w="3197"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黄建兵</w:t>
            </w:r>
          </w:p>
        </w:tc>
        <w:tc>
          <w:tcPr>
            <w:tcW w:w="3561" w:type="dxa"/>
            <w:gridSpan w:val="6"/>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财务股长</w:t>
            </w:r>
          </w:p>
        </w:tc>
        <w:tc>
          <w:tcPr>
            <w:tcW w:w="1479" w:type="dxa"/>
            <w:gridSpan w:val="2"/>
            <w:noWrap/>
            <w:vAlign w:val="center"/>
          </w:tcPr>
          <w:p>
            <w:pPr>
              <w:autoSpaceDN w:val="0"/>
              <w:spacing w:line="40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交通局</w:t>
            </w:r>
          </w:p>
        </w:tc>
        <w:tc>
          <w:tcPr>
            <w:tcW w:w="3197"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97"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97"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60" w:hRule="atLeast"/>
          <w:jc w:val="center"/>
        </w:trPr>
        <w:tc>
          <w:tcPr>
            <w:tcW w:w="9891" w:type="dxa"/>
            <w:gridSpan w:val="1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29" w:hRule="atLeast"/>
          <w:jc w:val="center"/>
        </w:trPr>
        <w:tc>
          <w:tcPr>
            <w:tcW w:w="9891" w:type="dxa"/>
            <w:gridSpan w:val="16"/>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252" w:hRule="atLeast"/>
          <w:jc w:val="center"/>
        </w:trPr>
        <w:tc>
          <w:tcPr>
            <w:tcW w:w="9891" w:type="dxa"/>
            <w:gridSpan w:val="16"/>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吴丹                         联系电话：4131157</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560" w:lineRule="exact"/>
              <w:ind w:left="1117" w:leftChars="532"/>
              <w:rPr>
                <w:rFonts w:ascii="仿宋" w:hAnsi="仿宋" w:eastAsia="仿宋"/>
                <w:sz w:val="28"/>
                <w:szCs w:val="28"/>
              </w:rPr>
            </w:pPr>
            <w:r>
              <w:rPr>
                <w:rFonts w:hint="eastAsia" w:ascii="仿宋" w:hAnsi="仿宋" w:eastAsia="仿宋"/>
                <w:sz w:val="28"/>
                <w:szCs w:val="28"/>
              </w:rPr>
              <w:t>根据《</w:t>
            </w:r>
            <w:r>
              <w:rPr>
                <w:rFonts w:hint="eastAsia" w:ascii="仿宋" w:hAnsi="仿宋" w:eastAsia="仿宋" w:cs="仿宋"/>
                <w:sz w:val="28"/>
                <w:szCs w:val="28"/>
              </w:rPr>
              <w:t>华容县财政局</w:t>
            </w:r>
            <w:r>
              <w:rPr>
                <w:rFonts w:hint="eastAsia" w:ascii="仿宋" w:hAnsi="仿宋" w:eastAsia="仿宋" w:cs="仿宋"/>
                <w:color w:val="000000"/>
                <w:sz w:val="28"/>
                <w:szCs w:val="28"/>
              </w:rPr>
              <w:t>关于</w:t>
            </w:r>
            <w:r>
              <w:rPr>
                <w:rFonts w:hint="eastAsia" w:ascii="仿宋" w:hAnsi="仿宋" w:eastAsia="仿宋" w:cs="仿宋"/>
                <w:sz w:val="28"/>
                <w:szCs w:val="28"/>
              </w:rPr>
              <w:t>开展2021年度财政支出绩效自评工作的通知</w:t>
            </w:r>
            <w:r>
              <w:rPr>
                <w:rFonts w:hint="eastAsia" w:ascii="仿宋" w:hAnsi="仿宋" w:eastAsia="仿宋"/>
                <w:sz w:val="28"/>
                <w:szCs w:val="28"/>
              </w:rPr>
              <w:t>》（华</w:t>
            </w:r>
            <w:r>
              <w:rPr>
                <w:rFonts w:hint="eastAsia" w:ascii="仿宋" w:hAnsi="仿宋" w:eastAsia="仿宋" w:cs="仿宋"/>
                <w:sz w:val="28"/>
                <w:szCs w:val="28"/>
              </w:rPr>
              <w:t>财函〔2022〕37号 ）</w:t>
            </w:r>
            <w:r>
              <w:rPr>
                <w:rFonts w:hint="eastAsia" w:ascii="仿宋" w:hAnsi="仿宋" w:eastAsia="仿宋"/>
                <w:sz w:val="28"/>
                <w:szCs w:val="28"/>
              </w:rPr>
              <w:t>要求，现对华容县交通运输局2021年度的部门整体支出开展绩效自评，现将情况汇报如下：</w:t>
            </w:r>
          </w:p>
          <w:p>
            <w:pPr>
              <w:spacing w:line="560" w:lineRule="exact"/>
              <w:ind w:firstLine="840" w:firstLineChars="300"/>
              <w:rPr>
                <w:rFonts w:ascii="黑体" w:hAnsi="黑体" w:eastAsia="黑体" w:cs="黑体"/>
                <w:bCs/>
                <w:sz w:val="28"/>
                <w:szCs w:val="28"/>
              </w:rPr>
            </w:pPr>
            <w:r>
              <w:rPr>
                <w:rFonts w:hint="eastAsia" w:ascii="黑体" w:hAnsi="黑体" w:eastAsia="黑体" w:cs="黑体"/>
                <w:bCs/>
                <w:sz w:val="28"/>
                <w:szCs w:val="28"/>
              </w:rPr>
              <w:t>一、单位概况</w:t>
            </w:r>
          </w:p>
          <w:p>
            <w:pPr>
              <w:spacing w:line="600" w:lineRule="exact"/>
              <w:ind w:firstLine="843" w:firstLineChars="3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（一）单位基本情况</w:t>
            </w:r>
          </w:p>
          <w:p>
            <w:pPr>
              <w:spacing w:line="600" w:lineRule="exact"/>
              <w:ind w:left="1117" w:leftChars="532"/>
              <w:rPr>
                <w:rFonts w:ascii="仿宋" w:hAnsi="仿宋" w:eastAsia="仿宋"/>
                <w:sz w:val="28"/>
                <w:szCs w:val="28"/>
              </w:rPr>
            </w:pPr>
            <w:r>
              <w:rPr>
                <w:rFonts w:hint="eastAsia" w:ascii="仿宋" w:hAnsi="仿宋" w:eastAsia="仿宋"/>
                <w:sz w:val="28"/>
                <w:szCs w:val="28"/>
              </w:rPr>
              <w:t>华容县交通运输局系县财政全额预算拨款单位。2021年编制部门核实交通局人员编制17人，实有人数为21人。该局本级内设机构8个：办公室、人事股、财务审计股、规划建养</w:t>
            </w:r>
            <w:r>
              <w:rPr>
                <w:rFonts w:ascii="仿宋" w:hAnsi="仿宋" w:eastAsia="仿宋"/>
                <w:sz w:val="28"/>
                <w:szCs w:val="28"/>
              </w:rPr>
              <w:t>股</w:t>
            </w:r>
            <w:r>
              <w:rPr>
                <w:rFonts w:hint="eastAsia" w:ascii="仿宋" w:hAnsi="仿宋" w:eastAsia="仿宋"/>
                <w:sz w:val="28"/>
                <w:szCs w:val="28"/>
              </w:rPr>
              <w:t>、法制</w:t>
            </w:r>
            <w:r>
              <w:rPr>
                <w:rFonts w:ascii="仿宋" w:hAnsi="仿宋" w:eastAsia="仿宋"/>
                <w:sz w:val="28"/>
                <w:szCs w:val="28"/>
              </w:rPr>
              <w:t>股</w:t>
            </w:r>
            <w:r>
              <w:rPr>
                <w:rFonts w:hint="eastAsia" w:ascii="仿宋" w:hAnsi="仿宋" w:eastAsia="仿宋"/>
                <w:sz w:val="28"/>
                <w:szCs w:val="28"/>
              </w:rPr>
              <w:t>、安全监督股、运输管理股、行政审批股。</w:t>
            </w:r>
          </w:p>
          <w:p>
            <w:pPr>
              <w:spacing w:line="500" w:lineRule="exact"/>
              <w:ind w:firstLine="843" w:firstLineChars="300"/>
              <w:rPr>
                <w:rFonts w:ascii="仿宋" w:hAnsi="仿宋" w:eastAsia="仿宋"/>
                <w:b/>
                <w:sz w:val="28"/>
                <w:szCs w:val="28"/>
              </w:rPr>
            </w:pPr>
            <w:r>
              <w:rPr>
                <w:rFonts w:hint="eastAsia" w:ascii="仿宋" w:hAnsi="仿宋" w:eastAsia="仿宋"/>
                <w:b/>
                <w:sz w:val="28"/>
                <w:szCs w:val="28"/>
              </w:rPr>
              <w:t>（二）部门主要职能</w:t>
            </w:r>
          </w:p>
          <w:p>
            <w:pPr>
              <w:spacing w:line="500" w:lineRule="exact"/>
              <w:ind w:left="1095"/>
              <w:jc w:val="left"/>
              <w:rPr>
                <w:rFonts w:ascii="仿宋" w:hAnsi="仿宋" w:eastAsia="仿宋"/>
                <w:sz w:val="28"/>
                <w:szCs w:val="28"/>
              </w:rPr>
            </w:pPr>
            <w:r>
              <w:rPr>
                <w:rFonts w:hint="eastAsia" w:ascii="仿宋" w:hAnsi="仿宋" w:eastAsia="仿宋"/>
                <w:sz w:val="28"/>
                <w:szCs w:val="28"/>
              </w:rPr>
              <w:t>1、负责履行有关法律、法规规定应由县级人民政府交通运输行政主管部门承担的职责。</w:t>
            </w:r>
          </w:p>
          <w:p>
            <w:pPr>
              <w:spacing w:line="500" w:lineRule="exact"/>
              <w:ind w:left="1095"/>
              <w:jc w:val="left"/>
              <w:rPr>
                <w:rFonts w:ascii="仿宋" w:hAnsi="仿宋" w:eastAsia="仿宋"/>
                <w:sz w:val="28"/>
                <w:szCs w:val="28"/>
              </w:rPr>
            </w:pPr>
            <w:r>
              <w:rPr>
                <w:rFonts w:hint="eastAsia" w:ascii="仿宋" w:hAnsi="仿宋" w:eastAsia="仿宋"/>
                <w:sz w:val="28"/>
                <w:szCs w:val="28"/>
              </w:rPr>
              <w:t>2、承担涉及综合运输体系的规划协调工作，会同有关部门组织编制全县综合运输体系规划，指导交通运输枢纽规划和管理；组织拟订全县公路、水路等行业规划并监督实施；参与拟订物流业发展战略和规划，拟订有关政策并监督实施；指导全县城乡客运货运及有关设施的规划和管理工作。</w:t>
            </w:r>
          </w:p>
          <w:p>
            <w:pPr>
              <w:spacing w:line="500" w:lineRule="exact"/>
              <w:ind w:left="1095"/>
              <w:jc w:val="left"/>
              <w:rPr>
                <w:rFonts w:ascii="仿宋" w:hAnsi="仿宋" w:eastAsia="仿宋"/>
                <w:sz w:val="28"/>
                <w:szCs w:val="28"/>
              </w:rPr>
            </w:pPr>
            <w:r>
              <w:rPr>
                <w:rFonts w:hint="eastAsia" w:ascii="仿宋" w:hAnsi="仿宋" w:eastAsia="仿宋"/>
                <w:sz w:val="28"/>
                <w:szCs w:val="28"/>
              </w:rPr>
              <w:t>3、负责对全县道路、水路运输市场的监管工作；负责全县城市公共客运交通运输的监管工作；承担公共汽车、出租车运营的指导工作；监管城市客运市场；负责城市公交企业的行业监管。</w:t>
            </w:r>
          </w:p>
          <w:p>
            <w:pPr>
              <w:spacing w:line="500" w:lineRule="exact"/>
              <w:ind w:left="1095"/>
              <w:jc w:val="left"/>
              <w:rPr>
                <w:rFonts w:ascii="仿宋" w:hAnsi="仿宋" w:eastAsia="仿宋"/>
                <w:sz w:val="28"/>
                <w:szCs w:val="28"/>
              </w:rPr>
            </w:pPr>
            <w:r>
              <w:rPr>
                <w:rFonts w:hint="eastAsia" w:ascii="仿宋" w:hAnsi="仿宋" w:eastAsia="仿宋"/>
                <w:sz w:val="28"/>
                <w:szCs w:val="28"/>
              </w:rPr>
              <w:t>4、负责对全县港口、航道及航道设施的建设、维护、管理和港航设施建设、使用岸线、通航水域内各种建筑设施建设的行业管理。</w:t>
            </w:r>
          </w:p>
          <w:p>
            <w:pPr>
              <w:spacing w:line="500" w:lineRule="exact"/>
              <w:ind w:left="1095"/>
              <w:jc w:val="left"/>
              <w:rPr>
                <w:rFonts w:ascii="仿宋" w:hAnsi="仿宋" w:eastAsia="仿宋"/>
                <w:sz w:val="28"/>
                <w:szCs w:val="28"/>
              </w:rPr>
            </w:pPr>
            <w:r>
              <w:rPr>
                <w:rFonts w:hint="eastAsia" w:ascii="仿宋" w:hAnsi="仿宋" w:eastAsia="仿宋"/>
                <w:sz w:val="28"/>
                <w:szCs w:val="28"/>
              </w:rPr>
              <w:t>5、指导全县公路、水路行业有关体制改革工作；负责对全县公路、水路建设市场的监督管理。</w:t>
            </w:r>
          </w:p>
          <w:p>
            <w:pPr>
              <w:spacing w:line="500" w:lineRule="exact"/>
              <w:ind w:left="1120" w:hanging="1120" w:hangingChars="400"/>
              <w:jc w:val="left"/>
              <w:rPr>
                <w:rFonts w:ascii="仿宋" w:hAnsi="仿宋" w:eastAsia="仿宋"/>
                <w:sz w:val="28"/>
                <w:szCs w:val="28"/>
              </w:rPr>
            </w:pPr>
            <w:r>
              <w:rPr>
                <w:rFonts w:hint="eastAsia" w:ascii="仿宋" w:hAnsi="仿宋" w:eastAsia="仿宋"/>
                <w:sz w:val="28"/>
                <w:szCs w:val="28"/>
              </w:rPr>
              <w:t xml:space="preserve">        6、负责对全县公路、水路交通建设工程造价控制和工程质量、安全生产的监督管理。</w:t>
            </w:r>
          </w:p>
          <w:p>
            <w:pPr>
              <w:spacing w:line="500" w:lineRule="exact"/>
              <w:ind w:left="1095"/>
              <w:jc w:val="left"/>
              <w:rPr>
                <w:rFonts w:ascii="仿宋" w:hAnsi="仿宋" w:eastAsia="仿宋"/>
                <w:sz w:val="28"/>
                <w:szCs w:val="28"/>
              </w:rPr>
            </w:pPr>
            <w:r>
              <w:rPr>
                <w:rFonts w:hint="eastAsia" w:ascii="仿宋" w:hAnsi="仿宋" w:eastAsia="仿宋"/>
                <w:sz w:val="28"/>
                <w:szCs w:val="28"/>
              </w:rPr>
              <w:t>7、负责对全县农村公路的建设、养护、路政及其他交通运输基础设施的监督管理；指导全县公路、水路行业安全生产和应急管理工作；负责对全县干线路网运行的监测和协调。</w:t>
            </w:r>
          </w:p>
          <w:p>
            <w:pPr>
              <w:spacing w:line="500" w:lineRule="exact"/>
              <w:ind w:left="1095"/>
              <w:jc w:val="left"/>
              <w:rPr>
                <w:rFonts w:ascii="仿宋" w:hAnsi="仿宋" w:eastAsia="仿宋"/>
                <w:sz w:val="28"/>
                <w:szCs w:val="28"/>
              </w:rPr>
            </w:pPr>
            <w:r>
              <w:rPr>
                <w:rFonts w:hint="eastAsia" w:ascii="仿宋" w:hAnsi="仿宋" w:eastAsia="仿宋"/>
                <w:sz w:val="28"/>
                <w:szCs w:val="28"/>
              </w:rPr>
              <w:t>8、负责交通运输行政执法检查和监督；组织制定全县道路、水路运输有关政策和运营规范并监督实施；负责提出全县公路、水路固定资产投资规模和方向、县级财政性资金安排建议，按县人民政府规定权限审批、核准全县规划内和年度计划规模内固定资产投资项目；负责公路、桥梁、隧道的行业管理；提出有关财政、土地、价格等政策建议；组织实施或协调国家、省、市重点和大中型公路、水路交通工程建设；按规定组织协调全县重点物资和紧急客货运输。</w:t>
            </w:r>
          </w:p>
          <w:p>
            <w:pPr>
              <w:spacing w:line="500" w:lineRule="exact"/>
              <w:ind w:left="1095"/>
              <w:jc w:val="left"/>
              <w:rPr>
                <w:rFonts w:ascii="仿宋" w:hAnsi="仿宋" w:eastAsia="仿宋"/>
                <w:sz w:val="28"/>
                <w:szCs w:val="28"/>
              </w:rPr>
            </w:pPr>
            <w:r>
              <w:rPr>
                <w:rFonts w:hint="eastAsia" w:ascii="仿宋" w:hAnsi="仿宋" w:eastAsia="仿宋"/>
                <w:sz w:val="28"/>
                <w:szCs w:val="28"/>
              </w:rPr>
              <w:t>9、负责全县交通运输行业科技工作；指导全县交通运输信息化建设，监测分析运行情况，开展相关统计工作，发布有关信息；指导公路、水路行业环境保护和节能减排工作；负责局属企、事业单位国有资产的监管工作。</w:t>
            </w:r>
          </w:p>
          <w:p>
            <w:pPr>
              <w:spacing w:line="500" w:lineRule="exact"/>
              <w:ind w:left="1120" w:hanging="1120" w:hangingChars="400"/>
              <w:jc w:val="left"/>
              <w:rPr>
                <w:rFonts w:ascii="仿宋" w:hAnsi="仿宋" w:eastAsia="仿宋"/>
                <w:sz w:val="28"/>
                <w:szCs w:val="28"/>
              </w:rPr>
            </w:pPr>
            <w:r>
              <w:rPr>
                <w:rFonts w:hint="eastAsia" w:ascii="仿宋" w:hAnsi="仿宋" w:eastAsia="仿宋"/>
                <w:sz w:val="28"/>
                <w:szCs w:val="28"/>
              </w:rPr>
              <w:t xml:space="preserve">       10、负责联系长江国家海事部门、县公路局及高速公路、铁道建设等管理部门的工作。</w:t>
            </w:r>
          </w:p>
          <w:p>
            <w:pPr>
              <w:spacing w:line="560" w:lineRule="exact"/>
              <w:ind w:firstLine="980" w:firstLineChars="350"/>
              <w:rPr>
                <w:rFonts w:ascii="黑体" w:hAnsi="黑体" w:eastAsia="黑体" w:cs="黑体"/>
                <w:bCs/>
                <w:sz w:val="28"/>
                <w:szCs w:val="28"/>
              </w:rPr>
            </w:pPr>
            <w:r>
              <w:rPr>
                <w:rFonts w:hint="eastAsia" w:ascii="黑体" w:hAnsi="黑体" w:eastAsia="黑体" w:cs="黑体"/>
                <w:bCs/>
                <w:sz w:val="28"/>
                <w:szCs w:val="28"/>
              </w:rPr>
              <w:t>二、单位整体支出管理及使用情况</w:t>
            </w:r>
          </w:p>
          <w:p>
            <w:pPr>
              <w:tabs>
                <w:tab w:val="left" w:pos="7525"/>
              </w:tabs>
              <w:ind w:left="1095"/>
              <w:rPr>
                <w:rFonts w:ascii="仿宋" w:hAnsi="仿宋" w:eastAsia="仿宋"/>
                <w:b/>
                <w:sz w:val="28"/>
                <w:szCs w:val="28"/>
              </w:rPr>
            </w:pPr>
            <w:r>
              <w:rPr>
                <w:rFonts w:hint="eastAsia" w:ascii="仿宋" w:hAnsi="仿宋" w:eastAsia="仿宋"/>
                <w:b/>
                <w:sz w:val="28"/>
                <w:szCs w:val="28"/>
              </w:rPr>
              <w:t>1、部门整体收支情况：</w:t>
            </w:r>
          </w:p>
          <w:p>
            <w:pPr>
              <w:tabs>
                <w:tab w:val="left" w:pos="7525"/>
              </w:tabs>
              <w:ind w:left="1095"/>
              <w:rPr>
                <w:rFonts w:ascii="仿宋" w:hAnsi="仿宋" w:eastAsia="仿宋"/>
                <w:sz w:val="28"/>
                <w:szCs w:val="28"/>
              </w:rPr>
            </w:pPr>
            <w:r>
              <w:rPr>
                <w:rFonts w:hint="eastAsia" w:ascii="仿宋" w:hAnsi="仿宋" w:eastAsia="仿宋"/>
                <w:sz w:val="28"/>
                <w:szCs w:val="28"/>
              </w:rPr>
              <w:t>（1）收入情况：全年收入</w:t>
            </w:r>
            <w:r>
              <w:rPr>
                <w:rFonts w:hint="eastAsia" w:ascii="仿宋_GB2312" w:hAnsi="仿宋_GB2312" w:eastAsia="仿宋_GB2312" w:cs="仿宋_GB2312"/>
                <w:color w:val="000000"/>
                <w:sz w:val="28"/>
                <w:szCs w:val="28"/>
                <w:lang w:val="en-US" w:eastAsia="zh-CN"/>
              </w:rPr>
              <w:t>7175.43</w:t>
            </w:r>
            <w:r>
              <w:rPr>
                <w:rFonts w:hint="eastAsia" w:ascii="仿宋" w:hAnsi="仿宋" w:eastAsia="仿宋"/>
                <w:sz w:val="28"/>
                <w:szCs w:val="28"/>
              </w:rPr>
              <w:t>万元，其中：财政拨款收入</w:t>
            </w:r>
            <w:r>
              <w:rPr>
                <w:rFonts w:hint="eastAsia" w:ascii="仿宋" w:hAnsi="仿宋" w:eastAsia="仿宋" w:cs="仿宋_GB2312"/>
                <w:color w:val="000000"/>
                <w:sz w:val="28"/>
                <w:szCs w:val="28"/>
                <w:lang w:val="en-US" w:eastAsia="zh-CN"/>
              </w:rPr>
              <w:t>6092.03</w:t>
            </w:r>
            <w:r>
              <w:rPr>
                <w:rFonts w:hint="eastAsia" w:ascii="仿宋" w:hAnsi="仿宋" w:eastAsia="仿宋"/>
                <w:sz w:val="28"/>
                <w:szCs w:val="28"/>
              </w:rPr>
              <w:t>万元，</w:t>
            </w:r>
            <w:r>
              <w:rPr>
                <w:rFonts w:hint="eastAsia" w:ascii="仿宋" w:hAnsi="仿宋" w:eastAsia="仿宋" w:cs="仿宋_GB2312"/>
                <w:color w:val="000000"/>
                <w:sz w:val="28"/>
                <w:szCs w:val="28"/>
              </w:rPr>
              <w:t>政府基金拨款1083.4元</w:t>
            </w:r>
            <w:r>
              <w:rPr>
                <w:rFonts w:hint="eastAsia" w:ascii="仿宋" w:hAnsi="仿宋" w:eastAsia="仿宋"/>
                <w:sz w:val="28"/>
                <w:szCs w:val="28"/>
              </w:rPr>
              <w:t>。</w:t>
            </w:r>
          </w:p>
          <w:p>
            <w:pPr>
              <w:tabs>
                <w:tab w:val="left" w:pos="7525"/>
              </w:tabs>
              <w:ind w:left="1095"/>
              <w:rPr>
                <w:rFonts w:ascii="仿宋" w:hAnsi="仿宋" w:eastAsia="仿宋"/>
                <w:sz w:val="28"/>
                <w:szCs w:val="28"/>
              </w:rPr>
            </w:pPr>
            <w:r>
              <w:rPr>
                <w:rFonts w:hint="eastAsia" w:ascii="仿宋" w:hAnsi="仿宋" w:eastAsia="仿宋"/>
                <w:sz w:val="28"/>
                <w:szCs w:val="28"/>
              </w:rPr>
              <w:t>（2）支出情况:全年支出</w:t>
            </w:r>
            <w:r>
              <w:rPr>
                <w:rFonts w:hint="eastAsia" w:ascii="仿宋" w:hAnsi="仿宋" w:eastAsia="仿宋" w:cs="仿宋"/>
                <w:color w:val="000000"/>
                <w:sz w:val="28"/>
                <w:szCs w:val="28"/>
                <w:lang w:val="en-US" w:eastAsia="zh-CN"/>
              </w:rPr>
              <w:t>7175.43</w:t>
            </w:r>
            <w:r>
              <w:rPr>
                <w:rFonts w:hint="eastAsia" w:ascii="仿宋" w:hAnsi="仿宋" w:eastAsia="仿宋"/>
                <w:sz w:val="28"/>
                <w:szCs w:val="28"/>
              </w:rPr>
              <w:t>万元，其中：基本支出</w:t>
            </w:r>
            <w:r>
              <w:rPr>
                <w:rFonts w:hint="eastAsia" w:ascii="仿宋" w:hAnsi="仿宋" w:eastAsia="仿宋" w:cs="仿宋"/>
                <w:color w:val="000000"/>
                <w:sz w:val="28"/>
                <w:szCs w:val="28"/>
                <w:lang w:val="en-US" w:eastAsia="zh-CN"/>
              </w:rPr>
              <w:t>557.73</w:t>
            </w:r>
            <w:r>
              <w:rPr>
                <w:rFonts w:hint="eastAsia" w:ascii="仿宋" w:hAnsi="仿宋" w:eastAsia="仿宋"/>
                <w:sz w:val="28"/>
                <w:szCs w:val="28"/>
              </w:rPr>
              <w:t>万元，（人员经费</w:t>
            </w:r>
            <w:r>
              <w:rPr>
                <w:rFonts w:hint="eastAsia" w:ascii="仿宋" w:hAnsi="仿宋" w:eastAsia="仿宋"/>
                <w:sz w:val="28"/>
                <w:szCs w:val="28"/>
                <w:lang w:val="en-US" w:eastAsia="zh-CN"/>
              </w:rPr>
              <w:t>330.39</w:t>
            </w:r>
            <w:r>
              <w:rPr>
                <w:rFonts w:hint="eastAsia" w:ascii="仿宋" w:hAnsi="仿宋" w:eastAsia="仿宋"/>
                <w:sz w:val="28"/>
                <w:szCs w:val="28"/>
              </w:rPr>
              <w:t>万元，日常公用经费</w:t>
            </w:r>
            <w:r>
              <w:rPr>
                <w:rFonts w:hint="eastAsia" w:ascii="仿宋" w:hAnsi="仿宋" w:eastAsia="仿宋"/>
                <w:sz w:val="28"/>
                <w:szCs w:val="28"/>
                <w:lang w:val="en-US" w:eastAsia="zh-CN"/>
              </w:rPr>
              <w:t>227.34</w:t>
            </w:r>
            <w:r>
              <w:rPr>
                <w:rFonts w:hint="eastAsia" w:ascii="仿宋" w:hAnsi="仿宋" w:eastAsia="仿宋"/>
                <w:sz w:val="28"/>
                <w:szCs w:val="28"/>
              </w:rPr>
              <w:t>万元），项目支出</w:t>
            </w:r>
            <w:r>
              <w:rPr>
                <w:rFonts w:hint="eastAsia" w:ascii="仿宋" w:hAnsi="仿宋" w:eastAsia="仿宋" w:cs="仿宋"/>
                <w:color w:val="000000"/>
                <w:sz w:val="28"/>
                <w:szCs w:val="28"/>
                <w:lang w:val="en-US" w:eastAsia="zh-CN"/>
              </w:rPr>
              <w:t>6617.7</w:t>
            </w:r>
            <w:r>
              <w:rPr>
                <w:rFonts w:hint="eastAsia" w:ascii="仿宋" w:hAnsi="仿宋" w:eastAsia="仿宋"/>
                <w:sz w:val="28"/>
                <w:szCs w:val="28"/>
              </w:rPr>
              <w:t>万元。明细情况如下：</w:t>
            </w:r>
          </w:p>
          <w:p>
            <w:pPr>
              <w:tabs>
                <w:tab w:val="left" w:pos="7525"/>
              </w:tabs>
              <w:ind w:left="1095"/>
              <w:rPr>
                <w:rFonts w:ascii="仿宋" w:hAnsi="仿宋" w:eastAsia="仿宋" w:cs="仿宋"/>
                <w:sz w:val="28"/>
                <w:szCs w:val="28"/>
              </w:rPr>
            </w:pPr>
            <w:r>
              <w:rPr>
                <w:rFonts w:hint="eastAsia" w:ascii="仿宋" w:hAnsi="仿宋" w:eastAsia="仿宋" w:cs="仿宋"/>
                <w:sz w:val="28"/>
                <w:szCs w:val="28"/>
              </w:rPr>
              <w:t xml:space="preserve">               部门整体支出情况表</w:t>
            </w:r>
          </w:p>
          <w:p>
            <w:pPr>
              <w:tabs>
                <w:tab w:val="left" w:pos="7525"/>
              </w:tabs>
              <w:ind w:left="1095"/>
              <w:rPr>
                <w:rFonts w:ascii="仿宋" w:hAnsi="仿宋" w:eastAsia="仿宋" w:cs="仿宋"/>
                <w:sz w:val="28"/>
                <w:szCs w:val="28"/>
              </w:rPr>
            </w:pPr>
            <w:r>
              <w:rPr>
                <w:rFonts w:hint="eastAsia" w:ascii="仿宋" w:hAnsi="仿宋" w:eastAsia="仿宋" w:cs="仿宋"/>
                <w:sz w:val="28"/>
                <w:szCs w:val="28"/>
              </w:rPr>
              <w:t xml:space="preserve">                                         单位：万元</w:t>
            </w:r>
          </w:p>
          <w:tbl>
            <w:tblPr>
              <w:tblStyle w:val="6"/>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2163"/>
              <w:gridCol w:w="2163"/>
              <w:gridCol w:w="2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Merge w:val="restart"/>
                </w:tcPr>
                <w:p>
                  <w:pPr>
                    <w:tabs>
                      <w:tab w:val="left" w:pos="7525"/>
                    </w:tabs>
                    <w:ind w:firstLine="280" w:firstLineChars="100"/>
                    <w:rPr>
                      <w:rFonts w:ascii="仿宋" w:hAnsi="仿宋" w:eastAsia="仿宋" w:cs="仿宋"/>
                      <w:sz w:val="28"/>
                      <w:szCs w:val="28"/>
                    </w:rPr>
                  </w:pPr>
                  <w:r>
                    <w:rPr>
                      <w:rFonts w:hint="eastAsia" w:ascii="仿宋" w:hAnsi="仿宋" w:eastAsia="仿宋" w:cs="仿宋"/>
                      <w:sz w:val="28"/>
                      <w:szCs w:val="28"/>
                    </w:rPr>
                    <w:t>科目名称</w:t>
                  </w:r>
                </w:p>
              </w:tc>
              <w:tc>
                <w:tcPr>
                  <w:tcW w:w="4326" w:type="dxa"/>
                  <w:gridSpan w:val="2"/>
                </w:tcPr>
                <w:p>
                  <w:pPr>
                    <w:tabs>
                      <w:tab w:val="left" w:pos="7525"/>
                    </w:tabs>
                    <w:ind w:firstLine="1260" w:firstLineChars="450"/>
                    <w:rPr>
                      <w:rFonts w:ascii="仿宋" w:hAnsi="仿宋" w:eastAsia="仿宋" w:cs="仿宋"/>
                      <w:sz w:val="28"/>
                      <w:szCs w:val="28"/>
                    </w:rPr>
                  </w:pPr>
                  <w:r>
                    <w:rPr>
                      <w:rFonts w:hint="eastAsia" w:ascii="仿宋" w:hAnsi="仿宋" w:eastAsia="仿宋" w:cs="仿宋"/>
                      <w:sz w:val="28"/>
                      <w:szCs w:val="28"/>
                    </w:rPr>
                    <w:t>基本支出</w:t>
                  </w:r>
                </w:p>
              </w:tc>
              <w:tc>
                <w:tcPr>
                  <w:tcW w:w="2560" w:type="dxa"/>
                  <w:vMerge w:val="restart"/>
                </w:tcPr>
                <w:p>
                  <w:pPr>
                    <w:tabs>
                      <w:tab w:val="left" w:pos="7525"/>
                    </w:tabs>
                    <w:ind w:left="281" w:leftChars="134"/>
                    <w:rPr>
                      <w:rFonts w:ascii="仿宋" w:hAnsi="仿宋" w:eastAsia="仿宋" w:cs="仿宋"/>
                      <w:sz w:val="28"/>
                      <w:szCs w:val="28"/>
                    </w:rPr>
                  </w:pPr>
                  <w:r>
                    <w:rPr>
                      <w:rFonts w:hint="eastAsia" w:ascii="仿宋" w:hAnsi="仿宋" w:eastAsia="仿宋" w:cs="仿宋"/>
                      <w:sz w:val="28"/>
                      <w:szCs w:val="2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Merge w:val="continue"/>
                </w:tcPr>
                <w:p>
                  <w:pPr>
                    <w:tabs>
                      <w:tab w:val="left" w:pos="7525"/>
                    </w:tabs>
                    <w:rPr>
                      <w:rFonts w:ascii="仿宋" w:hAnsi="仿宋" w:eastAsia="仿宋" w:cs="仿宋"/>
                      <w:sz w:val="28"/>
                      <w:szCs w:val="28"/>
                    </w:rPr>
                  </w:pPr>
                </w:p>
              </w:tc>
              <w:tc>
                <w:tcPr>
                  <w:tcW w:w="2163" w:type="dxa"/>
                </w:tcPr>
                <w:p>
                  <w:pPr>
                    <w:tabs>
                      <w:tab w:val="left" w:pos="7525"/>
                    </w:tabs>
                    <w:rPr>
                      <w:rFonts w:ascii="仿宋" w:hAnsi="仿宋" w:eastAsia="仿宋" w:cs="仿宋"/>
                      <w:sz w:val="28"/>
                      <w:szCs w:val="28"/>
                    </w:rPr>
                  </w:pPr>
                  <w:r>
                    <w:rPr>
                      <w:rFonts w:hint="eastAsia" w:ascii="仿宋" w:hAnsi="仿宋" w:eastAsia="仿宋" w:cs="仿宋"/>
                      <w:sz w:val="28"/>
                      <w:szCs w:val="28"/>
                    </w:rPr>
                    <w:t>人员经费</w:t>
                  </w:r>
                </w:p>
              </w:tc>
              <w:tc>
                <w:tcPr>
                  <w:tcW w:w="2163" w:type="dxa"/>
                </w:tcPr>
                <w:p>
                  <w:pPr>
                    <w:tabs>
                      <w:tab w:val="left" w:pos="7525"/>
                    </w:tabs>
                    <w:rPr>
                      <w:rFonts w:ascii="仿宋" w:hAnsi="仿宋" w:eastAsia="仿宋" w:cs="仿宋"/>
                      <w:sz w:val="28"/>
                      <w:szCs w:val="28"/>
                    </w:rPr>
                  </w:pPr>
                  <w:r>
                    <w:rPr>
                      <w:rFonts w:hint="eastAsia" w:ascii="仿宋" w:hAnsi="仿宋" w:eastAsia="仿宋" w:cs="仿宋"/>
                      <w:sz w:val="28"/>
                      <w:szCs w:val="28"/>
                    </w:rPr>
                    <w:t>日常公用经费</w:t>
                  </w:r>
                </w:p>
              </w:tc>
              <w:tc>
                <w:tcPr>
                  <w:tcW w:w="2560" w:type="dxa"/>
                  <w:vMerge w:val="continue"/>
                </w:tcPr>
                <w:p>
                  <w:pPr>
                    <w:tabs>
                      <w:tab w:val="left" w:pos="7525"/>
                    </w:tabs>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工资福利支出</w:t>
                  </w: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322.53</w:t>
                  </w:r>
                </w:p>
              </w:tc>
              <w:tc>
                <w:tcPr>
                  <w:tcW w:w="2163" w:type="dxa"/>
                </w:tcPr>
                <w:p>
                  <w:pPr>
                    <w:tabs>
                      <w:tab w:val="left" w:pos="7525"/>
                    </w:tabs>
                    <w:jc w:val="center"/>
                    <w:rPr>
                      <w:rFonts w:ascii="仿宋" w:hAnsi="仿宋" w:eastAsia="仿宋" w:cs="仿宋"/>
                      <w:sz w:val="28"/>
                      <w:szCs w:val="28"/>
                    </w:rPr>
                  </w:pPr>
                </w:p>
              </w:tc>
              <w:tc>
                <w:tcPr>
                  <w:tcW w:w="2560" w:type="dxa"/>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商品和服务支出</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221.85</w:t>
                  </w:r>
                </w:p>
              </w:tc>
              <w:tc>
                <w:tcPr>
                  <w:tcW w:w="2560" w:type="dxa"/>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对个人和家庭的补助</w:t>
                  </w: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7.86</w:t>
                  </w:r>
                </w:p>
              </w:tc>
              <w:tc>
                <w:tcPr>
                  <w:tcW w:w="2163" w:type="dxa"/>
                </w:tcPr>
                <w:p>
                  <w:pPr>
                    <w:tabs>
                      <w:tab w:val="left" w:pos="7525"/>
                    </w:tabs>
                    <w:jc w:val="center"/>
                    <w:rPr>
                      <w:rFonts w:ascii="仿宋" w:hAnsi="仿宋" w:eastAsia="仿宋" w:cs="仿宋"/>
                      <w:sz w:val="28"/>
                      <w:szCs w:val="28"/>
                    </w:rPr>
                  </w:pPr>
                </w:p>
              </w:tc>
              <w:tc>
                <w:tcPr>
                  <w:tcW w:w="2560" w:type="dxa"/>
                  <w:tcBorders>
                    <w:right w:val="single" w:color="auto" w:sz="4" w:space="0"/>
                  </w:tcBorders>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其他支出</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ascii="仿宋" w:hAnsi="仿宋" w:eastAsia="仿宋" w:cs="仿宋"/>
                      <w:sz w:val="28"/>
                      <w:szCs w:val="28"/>
                    </w:rPr>
                  </w:pPr>
                </w:p>
              </w:tc>
              <w:tc>
                <w:tcPr>
                  <w:tcW w:w="2560" w:type="dxa"/>
                  <w:tcBorders>
                    <w:right w:val="single" w:color="auto" w:sz="4" w:space="0"/>
                  </w:tcBorders>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color w:val="000000"/>
                      <w:sz w:val="28"/>
                      <w:szCs w:val="28"/>
                      <w:lang w:val="en-US" w:eastAsia="zh-CN"/>
                    </w:rPr>
                    <w:t>6617.7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其他资本性支出</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5.49</w:t>
                  </w:r>
                </w:p>
              </w:tc>
              <w:tc>
                <w:tcPr>
                  <w:tcW w:w="2560" w:type="dxa"/>
                  <w:tcBorders>
                    <w:right w:val="single" w:color="auto" w:sz="4" w:space="0"/>
                  </w:tcBorders>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拨出经费</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ascii="仿宋" w:hAnsi="仿宋" w:eastAsia="仿宋" w:cs="仿宋"/>
                      <w:sz w:val="28"/>
                      <w:szCs w:val="28"/>
                    </w:rPr>
                  </w:pPr>
                </w:p>
              </w:tc>
              <w:tc>
                <w:tcPr>
                  <w:tcW w:w="2560" w:type="dxa"/>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其他资金支出</w:t>
                  </w:r>
                </w:p>
              </w:tc>
              <w:tc>
                <w:tcPr>
                  <w:tcW w:w="2163" w:type="dxa"/>
                </w:tcPr>
                <w:p>
                  <w:pPr>
                    <w:tabs>
                      <w:tab w:val="left" w:pos="7525"/>
                    </w:tabs>
                    <w:jc w:val="center"/>
                    <w:rPr>
                      <w:rFonts w:ascii="仿宋" w:hAnsi="仿宋" w:eastAsia="仿宋" w:cs="仿宋"/>
                      <w:sz w:val="28"/>
                      <w:szCs w:val="28"/>
                    </w:rPr>
                  </w:pPr>
                </w:p>
              </w:tc>
              <w:tc>
                <w:tcPr>
                  <w:tcW w:w="2163" w:type="dxa"/>
                </w:tcPr>
                <w:p>
                  <w:pPr>
                    <w:tabs>
                      <w:tab w:val="left" w:pos="7525"/>
                    </w:tabs>
                    <w:jc w:val="center"/>
                    <w:rPr>
                      <w:rFonts w:ascii="仿宋" w:hAnsi="仿宋" w:eastAsia="仿宋" w:cs="仿宋"/>
                      <w:sz w:val="28"/>
                      <w:szCs w:val="28"/>
                    </w:rPr>
                  </w:pPr>
                </w:p>
              </w:tc>
              <w:tc>
                <w:tcPr>
                  <w:tcW w:w="2560" w:type="dxa"/>
                </w:tcPr>
                <w:p>
                  <w:pPr>
                    <w:tabs>
                      <w:tab w:val="left" w:pos="7525"/>
                    </w:tabs>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tabs>
                      <w:tab w:val="left" w:pos="7525"/>
                    </w:tabs>
                    <w:rPr>
                      <w:rFonts w:ascii="仿宋" w:hAnsi="仿宋" w:eastAsia="仿宋" w:cs="仿宋"/>
                      <w:sz w:val="28"/>
                      <w:szCs w:val="28"/>
                    </w:rPr>
                  </w:pPr>
                  <w:r>
                    <w:rPr>
                      <w:rFonts w:hint="eastAsia" w:ascii="仿宋" w:hAnsi="仿宋" w:eastAsia="仿宋" w:cs="仿宋"/>
                      <w:sz w:val="28"/>
                      <w:szCs w:val="28"/>
                    </w:rPr>
                    <w:t>合     计</w:t>
                  </w: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330.39</w:t>
                  </w:r>
                </w:p>
              </w:tc>
              <w:tc>
                <w:tcPr>
                  <w:tcW w:w="2163"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227.34</w:t>
                  </w:r>
                </w:p>
              </w:tc>
              <w:tc>
                <w:tcPr>
                  <w:tcW w:w="2560" w:type="dxa"/>
                </w:tcPr>
                <w:p>
                  <w:pPr>
                    <w:tabs>
                      <w:tab w:val="left" w:pos="7525"/>
                    </w:tabs>
                    <w:jc w:val="center"/>
                    <w:rPr>
                      <w:rFonts w:hint="default" w:ascii="仿宋" w:hAnsi="仿宋" w:eastAsia="仿宋" w:cs="仿宋"/>
                      <w:sz w:val="28"/>
                      <w:szCs w:val="28"/>
                      <w:lang w:val="en-US" w:eastAsia="zh-CN"/>
                    </w:rPr>
                  </w:pPr>
                  <w:r>
                    <w:rPr>
                      <w:rFonts w:hint="eastAsia" w:ascii="仿宋" w:hAnsi="仿宋" w:eastAsia="仿宋" w:cs="仿宋"/>
                      <w:color w:val="000000"/>
                      <w:sz w:val="28"/>
                      <w:szCs w:val="28"/>
                      <w:lang w:val="en-US" w:eastAsia="zh-CN"/>
                    </w:rPr>
                    <w:t>6617.7</w:t>
                  </w:r>
                </w:p>
              </w:tc>
            </w:tr>
          </w:tbl>
          <w:p>
            <w:pPr>
              <w:tabs>
                <w:tab w:val="left" w:pos="7525"/>
              </w:tabs>
              <w:ind w:left="1095"/>
              <w:rPr>
                <w:rFonts w:ascii="仿宋" w:hAnsi="仿宋" w:eastAsia="仿宋"/>
                <w:sz w:val="28"/>
                <w:szCs w:val="28"/>
              </w:rPr>
            </w:pPr>
            <w:r>
              <w:rPr>
                <w:rFonts w:hint="eastAsia" w:ascii="仿宋" w:hAnsi="仿宋" w:eastAsia="仿宋"/>
                <w:b/>
                <w:sz w:val="28"/>
                <w:szCs w:val="28"/>
              </w:rPr>
              <w:t>2、三公经费支出情况</w:t>
            </w:r>
            <w:r>
              <w:rPr>
                <w:rFonts w:hint="eastAsia" w:ascii="仿宋" w:hAnsi="仿宋" w:eastAsia="仿宋"/>
                <w:sz w:val="28"/>
                <w:szCs w:val="28"/>
              </w:rPr>
              <w:t>：2021年“三公”经费实际支出2.86万元，其中公务接待费2.86万元，无公务用车运维费。</w:t>
            </w:r>
          </w:p>
          <w:p>
            <w:pPr>
              <w:spacing w:line="560" w:lineRule="exact"/>
              <w:ind w:firstLine="840" w:firstLineChars="300"/>
              <w:rPr>
                <w:rFonts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984" w:firstLineChars="35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（一）专项组织情况分析</w:t>
            </w:r>
          </w:p>
          <w:p>
            <w:pPr>
              <w:tabs>
                <w:tab w:val="left" w:pos="7525"/>
              </w:tabs>
              <w:ind w:left="964" w:leftChars="459"/>
              <w:rPr>
                <w:rFonts w:ascii="仿宋" w:hAnsi="仿宋" w:eastAsia="仿宋"/>
                <w:b/>
                <w:sz w:val="28"/>
                <w:szCs w:val="28"/>
              </w:rPr>
            </w:pPr>
            <w:r>
              <w:rPr>
                <w:rFonts w:hint="eastAsia" w:ascii="仿宋" w:hAnsi="仿宋" w:eastAsia="仿宋"/>
                <w:b/>
                <w:sz w:val="28"/>
                <w:szCs w:val="28"/>
              </w:rPr>
              <w:t>1、部门整体支出绩效评价依据：</w:t>
            </w:r>
            <w:r>
              <w:rPr>
                <w:rFonts w:hint="eastAsia" w:ascii="仿宋" w:hAnsi="仿宋" w:eastAsia="仿宋"/>
                <w:sz w:val="28"/>
                <w:szCs w:val="28"/>
              </w:rPr>
              <w:t>《</w:t>
            </w:r>
            <w:r>
              <w:rPr>
                <w:rFonts w:hint="eastAsia" w:ascii="仿宋" w:hAnsi="仿宋" w:eastAsia="仿宋" w:cs="仿宋"/>
                <w:sz w:val="28"/>
                <w:szCs w:val="28"/>
              </w:rPr>
              <w:t>华容县财政局</w:t>
            </w:r>
            <w:r>
              <w:rPr>
                <w:rFonts w:hint="eastAsia" w:ascii="仿宋" w:hAnsi="仿宋" w:eastAsia="仿宋" w:cs="仿宋"/>
                <w:color w:val="000000"/>
                <w:sz w:val="28"/>
                <w:szCs w:val="28"/>
              </w:rPr>
              <w:t>关于</w:t>
            </w:r>
            <w:r>
              <w:rPr>
                <w:rFonts w:hint="eastAsia" w:ascii="仿宋" w:hAnsi="仿宋" w:eastAsia="仿宋" w:cs="仿宋"/>
                <w:sz w:val="28"/>
                <w:szCs w:val="28"/>
              </w:rPr>
              <w:t>开展2021年度财政支出绩效自评工作的通知</w:t>
            </w:r>
            <w:r>
              <w:rPr>
                <w:rFonts w:hint="eastAsia" w:ascii="仿宋" w:hAnsi="仿宋" w:eastAsia="仿宋"/>
                <w:sz w:val="28"/>
                <w:szCs w:val="28"/>
              </w:rPr>
              <w:t>》（华</w:t>
            </w:r>
            <w:r>
              <w:rPr>
                <w:rFonts w:hint="eastAsia" w:ascii="仿宋" w:hAnsi="仿宋" w:eastAsia="仿宋" w:cs="仿宋"/>
                <w:sz w:val="28"/>
                <w:szCs w:val="28"/>
              </w:rPr>
              <w:t>财函〔2022〕37号 ）。</w:t>
            </w:r>
          </w:p>
          <w:p>
            <w:pPr>
              <w:tabs>
                <w:tab w:val="left" w:pos="7525"/>
              </w:tabs>
              <w:ind w:firstLine="967" w:firstLineChars="344"/>
              <w:rPr>
                <w:rFonts w:ascii="仿宋" w:hAnsi="仿宋" w:eastAsia="仿宋"/>
                <w:b/>
                <w:sz w:val="28"/>
                <w:szCs w:val="28"/>
              </w:rPr>
            </w:pPr>
            <w:r>
              <w:rPr>
                <w:rFonts w:hint="eastAsia" w:ascii="仿宋" w:hAnsi="仿宋" w:eastAsia="仿宋"/>
                <w:b/>
                <w:sz w:val="28"/>
                <w:szCs w:val="28"/>
              </w:rPr>
              <w:t>2、部门整体支出绩效评价目的</w:t>
            </w:r>
          </w:p>
          <w:p>
            <w:pPr>
              <w:tabs>
                <w:tab w:val="left" w:pos="7525"/>
              </w:tabs>
              <w:ind w:left="1094" w:leftChars="521"/>
              <w:rPr>
                <w:rFonts w:ascii="仿宋" w:hAnsi="仿宋" w:eastAsia="仿宋"/>
                <w:sz w:val="28"/>
                <w:szCs w:val="28"/>
              </w:rPr>
            </w:pPr>
            <w:r>
              <w:rPr>
                <w:rFonts w:hint="eastAsia" w:ascii="仿宋" w:hAnsi="仿宋" w:eastAsia="仿宋"/>
                <w:sz w:val="28"/>
                <w:szCs w:val="28"/>
              </w:rPr>
              <w:t>通过对2021年华容县交通运输局的预算配置、预算管理、资产管理、职责履行、履职效益等内容的绩效考评，提高财政资金的使用效率，为财政部门预算管理提供决策依据。</w:t>
            </w:r>
          </w:p>
          <w:p>
            <w:pPr>
              <w:tabs>
                <w:tab w:val="left" w:pos="7525"/>
              </w:tabs>
              <w:ind w:left="1095"/>
              <w:rPr>
                <w:rFonts w:ascii="仿宋" w:hAnsi="仿宋" w:eastAsia="仿宋"/>
                <w:b/>
                <w:sz w:val="28"/>
                <w:szCs w:val="28"/>
              </w:rPr>
            </w:pPr>
            <w:r>
              <w:rPr>
                <w:rFonts w:hint="eastAsia" w:ascii="仿宋" w:hAnsi="仿宋" w:eastAsia="仿宋"/>
                <w:b/>
                <w:sz w:val="28"/>
                <w:szCs w:val="28"/>
              </w:rPr>
              <w:t>3、部门整体支出评价原则、指标评价体系、评价方法</w:t>
            </w:r>
          </w:p>
          <w:p>
            <w:pPr>
              <w:tabs>
                <w:tab w:val="left" w:pos="7525"/>
              </w:tabs>
              <w:ind w:left="1095"/>
              <w:rPr>
                <w:rFonts w:ascii="仿宋" w:hAnsi="仿宋" w:eastAsia="仿宋"/>
                <w:sz w:val="28"/>
                <w:szCs w:val="28"/>
              </w:rPr>
            </w:pPr>
            <w:r>
              <w:rPr>
                <w:rFonts w:hint="eastAsia" w:ascii="仿宋" w:hAnsi="仿宋" w:eastAsia="仿宋"/>
                <w:b/>
                <w:sz w:val="28"/>
                <w:szCs w:val="28"/>
              </w:rPr>
              <w:t>（1）部门整体支出绩效评价原则</w:t>
            </w:r>
            <w:r>
              <w:rPr>
                <w:rFonts w:hint="eastAsia" w:ascii="仿宋" w:hAnsi="仿宋" w:eastAsia="仿宋"/>
                <w:sz w:val="28"/>
                <w:szCs w:val="28"/>
              </w:rPr>
              <w:t>：遵循客观公正，操作简便高效，尊重客观实际，实事求是的原则。</w:t>
            </w:r>
          </w:p>
          <w:p>
            <w:pPr>
              <w:tabs>
                <w:tab w:val="left" w:pos="7525"/>
              </w:tabs>
              <w:ind w:left="1095"/>
              <w:rPr>
                <w:rFonts w:ascii="仿宋" w:hAnsi="仿宋" w:eastAsia="仿宋"/>
                <w:sz w:val="28"/>
                <w:szCs w:val="28"/>
              </w:rPr>
            </w:pPr>
            <w:r>
              <w:rPr>
                <w:rFonts w:hint="eastAsia" w:ascii="仿宋" w:hAnsi="仿宋" w:eastAsia="仿宋"/>
                <w:b/>
                <w:sz w:val="28"/>
                <w:szCs w:val="28"/>
              </w:rPr>
              <w:t>（2）整体支出绩效评价体系</w:t>
            </w:r>
            <w:r>
              <w:rPr>
                <w:rFonts w:hint="eastAsia" w:ascii="仿宋" w:hAnsi="仿宋" w:eastAsia="仿宋"/>
                <w:sz w:val="28"/>
                <w:szCs w:val="28"/>
              </w:rPr>
              <w:t>：指标体系包括共性指标和个性指标两部分，本次主要参照了财政部门制定的《部门整体支出绩效评价指标体系》的相关内容，根据部门具体情况对个性指标进行了调整细化，形成《华容县2021年度交通运输局部门整体支出绩效评价指标体系》。</w:t>
            </w:r>
          </w:p>
          <w:p>
            <w:pPr>
              <w:tabs>
                <w:tab w:val="left" w:pos="7525"/>
              </w:tabs>
              <w:ind w:left="1095"/>
              <w:rPr>
                <w:rFonts w:ascii="仿宋" w:hAnsi="仿宋" w:eastAsia="仿宋"/>
                <w:sz w:val="28"/>
                <w:szCs w:val="28"/>
              </w:rPr>
            </w:pPr>
            <w:r>
              <w:rPr>
                <w:rFonts w:hint="eastAsia" w:ascii="仿宋" w:hAnsi="仿宋" w:eastAsia="仿宋"/>
                <w:b/>
                <w:sz w:val="28"/>
                <w:szCs w:val="28"/>
              </w:rPr>
              <w:t>（3）整体支出绩效评价方法</w:t>
            </w:r>
            <w:r>
              <w:rPr>
                <w:rFonts w:hint="eastAsia" w:ascii="仿宋" w:hAnsi="仿宋" w:eastAsia="仿宋"/>
                <w:sz w:val="28"/>
                <w:szCs w:val="28"/>
              </w:rPr>
              <w:t>：主要采用因素分析法、投入产出效益分析法、比较法，相关部门问卷调查等方法。</w:t>
            </w:r>
          </w:p>
          <w:p>
            <w:pPr>
              <w:tabs>
                <w:tab w:val="left" w:pos="7525"/>
              </w:tabs>
              <w:ind w:left="1095"/>
              <w:rPr>
                <w:rFonts w:ascii="仿宋" w:hAnsi="仿宋" w:eastAsia="仿宋"/>
                <w:b/>
                <w:sz w:val="28"/>
                <w:szCs w:val="28"/>
              </w:rPr>
            </w:pPr>
            <w:r>
              <w:rPr>
                <w:rFonts w:hint="eastAsia" w:ascii="仿宋" w:hAnsi="仿宋" w:eastAsia="仿宋"/>
                <w:b/>
                <w:sz w:val="28"/>
                <w:szCs w:val="28"/>
              </w:rPr>
              <w:t>4、整体支出绩效评价过程</w:t>
            </w:r>
          </w:p>
          <w:p>
            <w:pPr>
              <w:tabs>
                <w:tab w:val="left" w:pos="7525"/>
              </w:tabs>
              <w:ind w:left="1095"/>
              <w:rPr>
                <w:rFonts w:ascii="仿宋" w:hAnsi="仿宋" w:eastAsia="仿宋"/>
                <w:sz w:val="28"/>
                <w:szCs w:val="28"/>
              </w:rPr>
            </w:pPr>
            <w:r>
              <w:rPr>
                <w:rFonts w:hint="eastAsia" w:ascii="仿宋" w:hAnsi="仿宋" w:eastAsia="仿宋"/>
                <w:b/>
                <w:sz w:val="28"/>
                <w:szCs w:val="28"/>
              </w:rPr>
              <w:t>（1）前期准备</w:t>
            </w:r>
            <w:r>
              <w:rPr>
                <w:rFonts w:hint="eastAsia" w:ascii="仿宋" w:hAnsi="仿宋" w:eastAsia="仿宋"/>
                <w:sz w:val="28"/>
                <w:szCs w:val="28"/>
              </w:rPr>
              <w:t>：按照绩效自评工作要求，组成以高翔同志为组长的绩效评价工作小组，对相关的国家法律法规进行了认真学习，掌握政策，根据部门整体收支情况制定了部门整体支出绩效评价实施方案，设计了绩效评价指标体系和问卷调查表。</w:t>
            </w:r>
          </w:p>
          <w:p>
            <w:pPr>
              <w:tabs>
                <w:tab w:val="left" w:pos="7525"/>
              </w:tabs>
              <w:ind w:left="1095"/>
              <w:rPr>
                <w:rFonts w:ascii="仿宋" w:hAnsi="仿宋" w:eastAsia="仿宋"/>
                <w:sz w:val="28"/>
                <w:szCs w:val="28"/>
              </w:rPr>
            </w:pPr>
            <w:r>
              <w:rPr>
                <w:rFonts w:hint="eastAsia" w:ascii="仿宋" w:hAnsi="仿宋" w:eastAsia="仿宋"/>
                <w:b/>
                <w:sz w:val="28"/>
                <w:szCs w:val="28"/>
              </w:rPr>
              <w:t>（2）组织实施</w:t>
            </w:r>
            <w:r>
              <w:rPr>
                <w:rFonts w:hint="eastAsia" w:ascii="仿宋" w:hAnsi="仿宋" w:eastAsia="仿宋"/>
                <w:sz w:val="28"/>
                <w:szCs w:val="28"/>
              </w:rPr>
              <w:t>：采用核查法核查2021年同级财政预算批复执行及部门整体支出情况，着重核查了“三公”经费及资产管理、内部控制制度情况，对内设机构，根据部门职能和年初制定的绩效考核目标，进行了实地绩效考评。针对交通部门工作职能和履职情况，进行了社会问卷调查。</w:t>
            </w:r>
          </w:p>
          <w:p>
            <w:pPr>
              <w:tabs>
                <w:tab w:val="left" w:pos="7525"/>
              </w:tabs>
              <w:ind w:left="1095"/>
              <w:rPr>
                <w:rFonts w:ascii="仿宋" w:hAnsi="仿宋" w:eastAsia="仿宋"/>
                <w:sz w:val="28"/>
                <w:szCs w:val="28"/>
              </w:rPr>
            </w:pPr>
            <w:r>
              <w:rPr>
                <w:rFonts w:hint="eastAsia" w:ascii="仿宋" w:hAnsi="仿宋" w:eastAsia="仿宋"/>
                <w:b/>
                <w:sz w:val="28"/>
                <w:szCs w:val="28"/>
              </w:rPr>
              <w:t>（3）分析评价</w:t>
            </w:r>
            <w:r>
              <w:rPr>
                <w:rFonts w:hint="eastAsia" w:ascii="仿宋" w:hAnsi="仿宋" w:eastAsia="仿宋"/>
                <w:sz w:val="28"/>
                <w:szCs w:val="28"/>
              </w:rPr>
              <w:t>：对评价过程中收集资料进行归纳，汇总分析，依据设定的部门整体支出绩效评价指标体系进行了评分，形成了综合性书面报告。</w:t>
            </w:r>
          </w:p>
          <w:p>
            <w:pPr>
              <w:tabs>
                <w:tab w:val="left" w:pos="7525"/>
              </w:tabs>
              <w:ind w:left="1095"/>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（二）专项管理情况分析</w:t>
            </w:r>
          </w:p>
          <w:p>
            <w:pPr>
              <w:tabs>
                <w:tab w:val="left" w:pos="7525"/>
              </w:tabs>
              <w:ind w:left="1095"/>
              <w:rPr>
                <w:rFonts w:ascii="仿宋" w:hAnsi="仿宋" w:eastAsia="仿宋"/>
                <w:sz w:val="28"/>
                <w:szCs w:val="28"/>
              </w:rPr>
            </w:pPr>
            <w:r>
              <w:rPr>
                <w:rFonts w:hint="eastAsia" w:ascii="仿宋" w:hAnsi="仿宋" w:eastAsia="仿宋"/>
                <w:b/>
                <w:sz w:val="28"/>
                <w:szCs w:val="28"/>
              </w:rPr>
              <w:t>1、部门整体支出情况分析</w:t>
            </w:r>
            <w:r>
              <w:rPr>
                <w:rFonts w:hint="eastAsia" w:ascii="仿宋" w:hAnsi="仿宋" w:eastAsia="仿宋"/>
                <w:sz w:val="28"/>
                <w:szCs w:val="28"/>
              </w:rPr>
              <w:t>：2021年交通部门整体支出</w:t>
            </w:r>
            <w:r>
              <w:rPr>
                <w:rFonts w:hint="eastAsia" w:ascii="仿宋" w:hAnsi="仿宋" w:eastAsia="仿宋" w:cs="仿宋"/>
                <w:color w:val="000000"/>
                <w:sz w:val="28"/>
                <w:szCs w:val="28"/>
                <w:lang w:val="en-US" w:eastAsia="zh-CN"/>
              </w:rPr>
              <w:t>7175.43</w:t>
            </w:r>
            <w:r>
              <w:rPr>
                <w:rFonts w:hint="eastAsia" w:ascii="仿宋" w:hAnsi="仿宋" w:eastAsia="仿宋"/>
                <w:sz w:val="28"/>
                <w:szCs w:val="28"/>
              </w:rPr>
              <w:t>万元，其中基本支出</w:t>
            </w:r>
            <w:r>
              <w:rPr>
                <w:rFonts w:hint="eastAsia" w:ascii="仿宋" w:hAnsi="仿宋" w:eastAsia="仿宋" w:cs="仿宋"/>
                <w:color w:val="000000"/>
                <w:sz w:val="28"/>
                <w:szCs w:val="28"/>
                <w:lang w:val="en-US" w:eastAsia="zh-CN"/>
              </w:rPr>
              <w:t>557.73</w:t>
            </w:r>
            <w:r>
              <w:rPr>
                <w:rFonts w:hint="eastAsia" w:ascii="仿宋" w:hAnsi="仿宋" w:eastAsia="仿宋"/>
                <w:sz w:val="28"/>
                <w:szCs w:val="28"/>
              </w:rPr>
              <w:t>万元，占总支出</w:t>
            </w:r>
            <w:r>
              <w:rPr>
                <w:rFonts w:hint="eastAsia" w:ascii="仿宋" w:hAnsi="仿宋" w:eastAsia="仿宋"/>
                <w:sz w:val="28"/>
                <w:szCs w:val="28"/>
                <w:lang w:val="en-US" w:eastAsia="zh-CN"/>
              </w:rPr>
              <w:t>7.7</w:t>
            </w:r>
            <w:r>
              <w:rPr>
                <w:rFonts w:hint="eastAsia" w:ascii="仿宋" w:hAnsi="仿宋" w:eastAsia="仿宋"/>
                <w:sz w:val="28"/>
                <w:szCs w:val="28"/>
              </w:rPr>
              <w:t>%，人员支出</w:t>
            </w:r>
            <w:r>
              <w:rPr>
                <w:rFonts w:hint="eastAsia" w:ascii="仿宋" w:hAnsi="仿宋" w:eastAsia="仿宋"/>
                <w:sz w:val="28"/>
                <w:szCs w:val="28"/>
                <w:lang w:val="en-US" w:eastAsia="zh-CN"/>
              </w:rPr>
              <w:t>330.39</w:t>
            </w:r>
            <w:r>
              <w:rPr>
                <w:rFonts w:hint="eastAsia" w:ascii="仿宋" w:hAnsi="仿宋" w:eastAsia="仿宋"/>
                <w:sz w:val="28"/>
                <w:szCs w:val="28"/>
              </w:rPr>
              <w:t>万元，占基本支出</w:t>
            </w:r>
            <w:r>
              <w:rPr>
                <w:rFonts w:hint="eastAsia" w:ascii="仿宋" w:hAnsi="仿宋" w:eastAsia="仿宋"/>
                <w:sz w:val="28"/>
                <w:szCs w:val="28"/>
                <w:lang w:val="en-US" w:eastAsia="zh-CN"/>
              </w:rPr>
              <w:t>59.2</w:t>
            </w:r>
            <w:r>
              <w:rPr>
                <w:rFonts w:hint="eastAsia" w:ascii="仿宋" w:hAnsi="仿宋" w:eastAsia="仿宋"/>
                <w:sz w:val="28"/>
                <w:szCs w:val="28"/>
              </w:rPr>
              <w:t>%，公用支出</w:t>
            </w:r>
            <w:r>
              <w:rPr>
                <w:rFonts w:hint="eastAsia" w:ascii="仿宋" w:hAnsi="仿宋" w:eastAsia="仿宋"/>
                <w:sz w:val="28"/>
                <w:szCs w:val="28"/>
                <w:lang w:val="en-US" w:eastAsia="zh-CN"/>
              </w:rPr>
              <w:t>227.34</w:t>
            </w:r>
            <w:r>
              <w:rPr>
                <w:rFonts w:hint="eastAsia" w:ascii="仿宋" w:hAnsi="仿宋" w:eastAsia="仿宋"/>
                <w:sz w:val="28"/>
                <w:szCs w:val="28"/>
              </w:rPr>
              <w:t>万元，占基本支出</w:t>
            </w:r>
            <w:r>
              <w:rPr>
                <w:rFonts w:hint="eastAsia" w:ascii="仿宋" w:hAnsi="仿宋" w:eastAsia="仿宋"/>
                <w:sz w:val="28"/>
                <w:szCs w:val="28"/>
                <w:lang w:val="en-US" w:eastAsia="zh-CN"/>
              </w:rPr>
              <w:t>40.8</w:t>
            </w:r>
            <w:r>
              <w:rPr>
                <w:rFonts w:hint="eastAsia" w:ascii="仿宋" w:hAnsi="仿宋" w:eastAsia="仿宋"/>
                <w:sz w:val="28"/>
                <w:szCs w:val="28"/>
              </w:rPr>
              <w:t>%，其他支出</w:t>
            </w:r>
            <w:r>
              <w:rPr>
                <w:rFonts w:hint="eastAsia" w:ascii="仿宋" w:hAnsi="仿宋" w:eastAsia="仿宋" w:cs="仿宋"/>
                <w:color w:val="000000"/>
                <w:sz w:val="28"/>
                <w:szCs w:val="28"/>
                <w:lang w:val="en-US" w:eastAsia="zh-CN"/>
              </w:rPr>
              <w:t>6617.7</w:t>
            </w:r>
            <w:r>
              <w:rPr>
                <w:rFonts w:hint="eastAsia" w:ascii="仿宋" w:hAnsi="仿宋" w:eastAsia="仿宋"/>
                <w:sz w:val="28"/>
                <w:szCs w:val="28"/>
              </w:rPr>
              <w:t>万元，占项目支出100%。</w:t>
            </w:r>
          </w:p>
          <w:p>
            <w:pPr>
              <w:tabs>
                <w:tab w:val="left" w:pos="7525"/>
              </w:tabs>
              <w:ind w:left="1095"/>
              <w:rPr>
                <w:rFonts w:ascii="仿宋" w:hAnsi="仿宋" w:eastAsia="仿宋"/>
                <w:sz w:val="28"/>
                <w:szCs w:val="28"/>
              </w:rPr>
            </w:pPr>
            <w:r>
              <w:rPr>
                <w:rFonts w:hint="eastAsia" w:ascii="仿宋" w:hAnsi="仿宋" w:eastAsia="仿宋"/>
                <w:b/>
                <w:sz w:val="28"/>
                <w:szCs w:val="28"/>
              </w:rPr>
              <w:t>2、“三公”经费支出情况分析</w:t>
            </w:r>
            <w:r>
              <w:rPr>
                <w:rFonts w:hint="eastAsia" w:ascii="仿宋" w:hAnsi="仿宋" w:eastAsia="仿宋"/>
                <w:sz w:val="28"/>
                <w:szCs w:val="28"/>
              </w:rPr>
              <w:t>：2021年交通局“三公”经费实际支出2.86万元，比去年的2.68万元增长了0.18万元，主要原因是新增交通项目建设增加非生产性开支。</w:t>
            </w:r>
          </w:p>
          <w:p>
            <w:pPr>
              <w:tabs>
                <w:tab w:val="left" w:pos="7525"/>
              </w:tabs>
              <w:ind w:left="1095"/>
              <w:rPr>
                <w:rFonts w:ascii="仿宋" w:hAnsi="仿宋" w:eastAsia="仿宋"/>
                <w:sz w:val="28"/>
                <w:szCs w:val="28"/>
              </w:rPr>
            </w:pPr>
            <w:r>
              <w:rPr>
                <w:rFonts w:hint="eastAsia" w:ascii="仿宋" w:hAnsi="仿宋" w:eastAsia="仿宋"/>
                <w:b/>
                <w:sz w:val="28"/>
                <w:szCs w:val="28"/>
              </w:rPr>
              <w:t>3、固定资产管理情况分析</w:t>
            </w:r>
            <w:r>
              <w:rPr>
                <w:rFonts w:hint="eastAsia" w:ascii="仿宋" w:hAnsi="仿宋" w:eastAsia="仿宋"/>
                <w:sz w:val="28"/>
                <w:szCs w:val="28"/>
              </w:rPr>
              <w:t>：按照例行节约，物尽其用的原则，交通部门资产管理采取统一建账，统一核算管理，对每件固定资产使用明确保管职责，至2021年12月末固定资产原值</w:t>
            </w:r>
            <w:r>
              <w:rPr>
                <w:rFonts w:hint="eastAsia" w:ascii="仿宋" w:hAnsi="仿宋" w:eastAsia="仿宋" w:cs="仿宋"/>
                <w:color w:val="000000"/>
                <w:sz w:val="28"/>
                <w:szCs w:val="28"/>
              </w:rPr>
              <w:t>172.27</w:t>
            </w:r>
            <w:r>
              <w:rPr>
                <w:rFonts w:hint="eastAsia" w:ascii="仿宋" w:hAnsi="仿宋" w:eastAsia="仿宋"/>
                <w:sz w:val="28"/>
                <w:szCs w:val="28"/>
              </w:rPr>
              <w:t>万元，固定资产累计折旧84.54万元，固定资产净值87.73万元。</w:t>
            </w:r>
          </w:p>
          <w:p>
            <w:pPr>
              <w:tabs>
                <w:tab w:val="left" w:pos="7525"/>
              </w:tabs>
              <w:ind w:left="1095"/>
              <w:rPr>
                <w:rFonts w:ascii="黑体" w:hAnsi="黑体" w:eastAsia="黑体" w:cs="黑体"/>
                <w:bCs/>
                <w:sz w:val="28"/>
                <w:szCs w:val="28"/>
              </w:rPr>
            </w:pPr>
            <w:r>
              <w:rPr>
                <w:rFonts w:hint="eastAsia" w:ascii="黑体" w:hAnsi="黑体" w:eastAsia="黑体" w:cs="黑体"/>
                <w:bCs/>
                <w:sz w:val="28"/>
                <w:szCs w:val="28"/>
              </w:rPr>
              <w:t>四、单位整体支出绩效情况</w:t>
            </w:r>
          </w:p>
          <w:p>
            <w:pPr>
              <w:tabs>
                <w:tab w:val="left" w:pos="7525"/>
              </w:tabs>
              <w:ind w:left="1095"/>
              <w:rPr>
                <w:rFonts w:ascii="仿宋" w:hAnsi="仿宋" w:eastAsia="仿宋"/>
                <w:sz w:val="28"/>
                <w:szCs w:val="28"/>
              </w:rPr>
            </w:pPr>
            <w:r>
              <w:rPr>
                <w:rFonts w:hint="eastAsia" w:ascii="仿宋" w:hAnsi="仿宋" w:eastAsia="仿宋"/>
                <w:b/>
                <w:sz w:val="28"/>
                <w:szCs w:val="28"/>
              </w:rPr>
              <w:t>（一）严格预算支出管理。</w:t>
            </w:r>
            <w:r>
              <w:rPr>
                <w:rFonts w:hint="eastAsia" w:ascii="仿宋" w:hAnsi="仿宋" w:eastAsia="仿宋"/>
                <w:sz w:val="28"/>
                <w:szCs w:val="28"/>
              </w:rPr>
              <w:t>在支出预算编制上，人员经费按照配置定额，逐人核定编制，公用经费分类分档，按定额编制；根据“总量控制、计划管理</w:t>
            </w:r>
            <w:r>
              <w:rPr>
                <w:rFonts w:ascii="仿宋" w:hAnsi="仿宋" w:eastAsia="仿宋"/>
                <w:sz w:val="28"/>
                <w:szCs w:val="28"/>
              </w:rPr>
              <w:t>”</w:t>
            </w:r>
            <w:r>
              <w:rPr>
                <w:rFonts w:hint="eastAsia" w:ascii="仿宋" w:hAnsi="仿宋" w:eastAsia="仿宋"/>
                <w:sz w:val="28"/>
                <w:szCs w:val="28"/>
              </w:rPr>
              <w:t>的要求从严控制行政经费，压缩公务费开支，严格控制“三公”经费，资产的配置严格政府采购，按照预算科目和项目资金的规定使用财政资金，保障部门整体支出的规范化、制度化。</w:t>
            </w:r>
          </w:p>
          <w:p>
            <w:pPr>
              <w:tabs>
                <w:tab w:val="left" w:pos="7525"/>
              </w:tabs>
              <w:ind w:left="1095"/>
              <w:rPr>
                <w:rFonts w:ascii="仿宋" w:hAnsi="仿宋" w:eastAsia="仿宋"/>
                <w:sz w:val="28"/>
                <w:szCs w:val="28"/>
              </w:rPr>
            </w:pPr>
            <w:r>
              <w:rPr>
                <w:rFonts w:hint="eastAsia" w:ascii="仿宋" w:hAnsi="仿宋" w:eastAsia="仿宋"/>
                <w:b/>
                <w:sz w:val="28"/>
                <w:szCs w:val="28"/>
              </w:rPr>
              <w:t>（二）财务管理上</w:t>
            </w:r>
            <w:r>
              <w:rPr>
                <w:rFonts w:hint="eastAsia" w:ascii="仿宋" w:hAnsi="仿宋" w:eastAsia="仿宋"/>
                <w:sz w:val="28"/>
                <w:szCs w:val="28"/>
              </w:rPr>
              <w:t>，按照国家相关法律法规，制定了机关财务、公物购置使用、接待、会务、因公出国、车辆使用等管理制度，并严格按照制度管理和执行，防范风险，保证财政资金的安全和高效运行。</w:t>
            </w:r>
          </w:p>
          <w:p>
            <w:pPr>
              <w:tabs>
                <w:tab w:val="left" w:pos="7525"/>
              </w:tabs>
              <w:ind w:left="1095"/>
              <w:rPr>
                <w:rFonts w:ascii="仿宋" w:hAnsi="仿宋" w:eastAsia="仿宋"/>
                <w:b/>
                <w:sz w:val="28"/>
                <w:szCs w:val="28"/>
              </w:rPr>
            </w:pPr>
            <w:r>
              <w:rPr>
                <w:rFonts w:hint="eastAsia" w:ascii="仿宋" w:hAnsi="仿宋" w:eastAsia="仿宋"/>
                <w:b/>
                <w:sz w:val="28"/>
                <w:szCs w:val="28"/>
              </w:rPr>
              <w:t>（三）整体支出绩效情况分析</w:t>
            </w:r>
          </w:p>
          <w:p>
            <w:pPr>
              <w:tabs>
                <w:tab w:val="left" w:pos="7525"/>
              </w:tabs>
              <w:ind w:left="1095"/>
              <w:rPr>
                <w:rFonts w:ascii="仿宋" w:hAnsi="仿宋" w:eastAsia="仿宋"/>
                <w:sz w:val="28"/>
                <w:szCs w:val="28"/>
              </w:rPr>
            </w:pPr>
            <w:r>
              <w:rPr>
                <w:rFonts w:hint="eastAsia" w:ascii="仿宋" w:hAnsi="仿宋" w:eastAsia="仿宋"/>
                <w:sz w:val="28"/>
                <w:szCs w:val="28"/>
              </w:rPr>
              <w:t>2021年，根据该局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tabs>
                <w:tab w:val="left" w:pos="7525"/>
              </w:tabs>
              <w:ind w:firstLine="1120" w:firstLineChars="400"/>
              <w:rPr>
                <w:rFonts w:ascii="仿宋" w:hAnsi="仿宋" w:eastAsia="仿宋"/>
                <w:sz w:val="28"/>
                <w:szCs w:val="28"/>
              </w:rPr>
            </w:pPr>
            <w:r>
              <w:rPr>
                <w:rFonts w:hint="eastAsia" w:ascii="仿宋" w:hAnsi="仿宋" w:eastAsia="仿宋"/>
                <w:sz w:val="28"/>
                <w:szCs w:val="28"/>
              </w:rPr>
              <w:t>1、预算执行方面，该单位预算资金按规定管理使用。</w:t>
            </w:r>
          </w:p>
          <w:p>
            <w:pPr>
              <w:tabs>
                <w:tab w:val="left" w:pos="7525"/>
              </w:tabs>
              <w:ind w:left="1117" w:leftChars="532"/>
              <w:rPr>
                <w:rFonts w:ascii="仿宋" w:hAnsi="仿宋" w:eastAsia="仿宋"/>
                <w:sz w:val="28"/>
                <w:szCs w:val="28"/>
              </w:rPr>
            </w:pPr>
            <w:r>
              <w:rPr>
                <w:rFonts w:hint="eastAsia" w:ascii="仿宋" w:hAnsi="仿宋" w:eastAsia="仿宋"/>
                <w:sz w:val="28"/>
                <w:szCs w:val="28"/>
              </w:rPr>
              <w:t>2、预算管理方面，交通部门制定了切实有效的内部财务、资产内部管理制度，执行总体较为有效。</w:t>
            </w:r>
          </w:p>
          <w:p>
            <w:pPr>
              <w:autoSpaceDN w:val="0"/>
              <w:ind w:left="1117" w:leftChars="532"/>
              <w:jc w:val="left"/>
              <w:textAlignment w:val="center"/>
              <w:rPr>
                <w:rFonts w:hint="eastAsia" w:ascii="仿宋" w:hAnsi="仿宋" w:eastAsia="仿宋" w:cs="仿宋"/>
                <w:sz w:val="28"/>
                <w:szCs w:val="28"/>
              </w:rPr>
            </w:pPr>
            <w:r>
              <w:rPr>
                <w:rFonts w:hint="eastAsia" w:ascii="仿宋" w:hAnsi="仿宋" w:eastAsia="仿宋"/>
                <w:sz w:val="28"/>
                <w:szCs w:val="28"/>
              </w:rPr>
              <w:t>3、</w:t>
            </w:r>
            <w:r>
              <w:rPr>
                <w:rFonts w:hint="eastAsia" w:ascii="仿宋" w:hAnsi="仿宋" w:eastAsia="仿宋" w:cs="仿宋"/>
                <w:sz w:val="28"/>
                <w:szCs w:val="28"/>
              </w:rPr>
              <w:t>重大项目建设协调推进有力。</w:t>
            </w:r>
          </w:p>
          <w:p>
            <w:pPr>
              <w:autoSpaceDN w:val="0"/>
              <w:ind w:left="1120" w:leftChars="400" w:hanging="280" w:hangingChars="100"/>
              <w:jc w:val="left"/>
              <w:textAlignment w:val="center"/>
              <w:rPr>
                <w:rFonts w:ascii="仿宋" w:hAnsi="仿宋" w:eastAsia="仿宋" w:cs="仿宋"/>
                <w:sz w:val="28"/>
                <w:szCs w:val="28"/>
              </w:rPr>
            </w:pPr>
            <w:r>
              <w:rPr>
                <w:rFonts w:hint="eastAsia" w:ascii="仿宋" w:hAnsi="仿宋" w:eastAsia="仿宋" w:cs="仿宋"/>
                <w:color w:val="000000"/>
                <w:sz w:val="28"/>
                <w:szCs w:val="28"/>
              </w:rPr>
              <w:t>（1）梅田湖大桥建设目前已完成建安总投资5500万元，占工程总体形象进度50%。今年7月已进入桥梁上部挂篮施工，路基已启动建设，六门闸船闸业务用房建设已于今年10月12日交工验收，标志着藕池河东支—华容河航道一期工程建设全部完工。</w:t>
            </w:r>
          </w:p>
          <w:p>
            <w:pPr>
              <w:autoSpaceDN w:val="0"/>
              <w:spacing w:line="360" w:lineRule="auto"/>
              <w:ind w:left="1121" w:leftChars="467" w:hanging="140" w:hangingChars="50"/>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（2）完成农村公路处提质改造工程40公里，达到全年目标任务的63%；已完成危桥改造17座，完成全年目标任务77%。</w:t>
            </w:r>
          </w:p>
          <w:p>
            <w:pPr>
              <w:autoSpaceDN w:val="0"/>
              <w:spacing w:line="360" w:lineRule="auto"/>
              <w:ind w:left="981" w:leftChars="467"/>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（3）积极响应县政府号召，开通县城至三封工业园专线公交车，解决了园区职工上下班出行难的问题。</w:t>
            </w:r>
          </w:p>
          <w:p>
            <w:pPr>
              <w:autoSpaceDN w:val="0"/>
              <w:spacing w:line="360" w:lineRule="auto"/>
              <w:ind w:left="981" w:leftChars="467"/>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4）常态化开展黑车整治行动，共查处非法营运车辆188台次；累计出动治超执法人员1056人次，检查车辆6800台次，卸载货物2500吨；积极推进科技治超，先后投入500余万元，建设完成G353、G340两个非现场治超执法系统，</w:t>
            </w:r>
          </w:p>
          <w:p>
            <w:pPr>
              <w:autoSpaceDN w:val="0"/>
              <w:spacing w:line="360" w:lineRule="auto"/>
              <w:ind w:left="981" w:leftChars="467"/>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（5）优化营商环境，深化“放管服”改革，累计办理各类审批服务事项1280余件，实现现场办件满意率、提前办结率、回访群众满意率等3个100%。</w:t>
            </w:r>
          </w:p>
          <w:p>
            <w:pPr>
              <w:autoSpaceDN w:val="0"/>
              <w:spacing w:line="360" w:lineRule="auto"/>
              <w:ind w:left="981" w:leftChars="467"/>
              <w:jc w:val="left"/>
              <w:textAlignment w:val="center"/>
              <w:rPr>
                <w:rFonts w:ascii="仿宋" w:hAnsi="仿宋" w:eastAsia="仿宋" w:cs="仿宋"/>
                <w:color w:val="000000"/>
                <w:sz w:val="28"/>
                <w:szCs w:val="28"/>
              </w:rPr>
            </w:pPr>
            <w:r>
              <w:rPr>
                <w:rFonts w:hint="eastAsia" w:ascii="仿宋" w:hAnsi="仿宋" w:eastAsia="仿宋" w:cs="仿宋"/>
                <w:color w:val="000000"/>
                <w:sz w:val="28"/>
                <w:szCs w:val="28"/>
              </w:rPr>
              <w:t>（6）春运期间，统筹做好疫情防控和春运保障工作，完成水、陆旅客运输151.9万人次，取得了春运保障和疫情防控“双胜利”。</w:t>
            </w:r>
          </w:p>
          <w:p>
            <w:pPr>
              <w:tabs>
                <w:tab w:val="left" w:pos="7525"/>
              </w:tabs>
              <w:ind w:left="1117" w:leftChars="532"/>
              <w:rPr>
                <w:rFonts w:ascii="仿宋" w:hAnsi="仿宋" w:eastAsia="仿宋" w:cs="仿宋"/>
                <w:color w:val="FF0000"/>
                <w:sz w:val="28"/>
                <w:szCs w:val="28"/>
              </w:rPr>
            </w:pPr>
            <w:r>
              <w:rPr>
                <w:rFonts w:hint="eastAsia" w:ascii="仿宋" w:hAnsi="仿宋" w:eastAsia="仿宋"/>
                <w:sz w:val="28"/>
                <w:szCs w:val="28"/>
              </w:rPr>
              <w:t>4、服务上级重大决策积极有为。</w:t>
            </w:r>
            <w:r>
              <w:rPr>
                <w:rFonts w:hint="eastAsia" w:ascii="仿宋" w:hAnsi="仿宋" w:eastAsia="仿宋" w:cs="仿宋"/>
                <w:color w:val="000000"/>
                <w:sz w:val="28"/>
                <w:szCs w:val="28"/>
              </w:rPr>
              <w:t>认真落实“党政同责、一岗双责”，不断压实行业监管责任和企业主体责任。</w:t>
            </w:r>
          </w:p>
          <w:p>
            <w:pPr>
              <w:tabs>
                <w:tab w:val="left" w:pos="7525"/>
              </w:tabs>
              <w:ind w:firstLine="1124" w:firstLineChars="400"/>
              <w:rPr>
                <w:rFonts w:ascii="仿宋" w:hAnsi="仿宋" w:eastAsia="仿宋"/>
                <w:b/>
                <w:sz w:val="28"/>
                <w:szCs w:val="28"/>
              </w:rPr>
            </w:pPr>
            <w:r>
              <w:rPr>
                <w:rFonts w:hint="eastAsia" w:ascii="仿宋" w:hAnsi="仿宋" w:eastAsia="仿宋"/>
                <w:b/>
                <w:sz w:val="28"/>
                <w:szCs w:val="28"/>
              </w:rPr>
              <w:t>（四）整体支出综合评价及结论</w:t>
            </w:r>
          </w:p>
          <w:p>
            <w:pPr>
              <w:tabs>
                <w:tab w:val="left" w:pos="7525"/>
              </w:tabs>
              <w:ind w:left="840" w:hanging="840" w:hangingChars="300"/>
              <w:rPr>
                <w:rFonts w:ascii="仿宋" w:hAnsi="仿宋" w:eastAsia="仿宋"/>
                <w:sz w:val="28"/>
                <w:szCs w:val="28"/>
              </w:rPr>
            </w:pPr>
            <w:r>
              <w:rPr>
                <w:rFonts w:hint="eastAsia" w:ascii="仿宋" w:hAnsi="仿宋" w:eastAsia="仿宋"/>
                <w:sz w:val="28"/>
                <w:szCs w:val="28"/>
              </w:rPr>
              <w:t xml:space="preserve">      根据考核评分细则，考评组认为华容县交通部门2021年整体支出，严格按照国家的相关财务管理制度规定，财务制度健全、会计核算规范，依照计划管理使用，交通部门的整体支出对保障交通部门工作的正常运行，贯彻执行国家和省办方针、政策、法律法规，发挥了重要作用，强化部门的责任，交通建设取得了一定的成绩。按照部门整体支出绩效评价指标体系对照打分的出结果为99分，等级为优秀。</w:t>
            </w:r>
          </w:p>
          <w:p>
            <w:pPr>
              <w:tabs>
                <w:tab w:val="left" w:pos="7525"/>
              </w:tabs>
              <w:ind w:firstLine="840" w:firstLineChars="300"/>
              <w:rPr>
                <w:rFonts w:ascii="黑体" w:hAnsi="黑体" w:eastAsia="黑体" w:cs="黑体"/>
                <w:bCs/>
                <w:sz w:val="28"/>
                <w:szCs w:val="28"/>
              </w:rPr>
            </w:pPr>
            <w:r>
              <w:rPr>
                <w:rFonts w:hint="eastAsia" w:ascii="黑体" w:hAnsi="黑体" w:eastAsia="黑体" w:cs="黑体"/>
                <w:bCs/>
                <w:sz w:val="28"/>
                <w:szCs w:val="28"/>
              </w:rPr>
              <w:t>五、存在的主要问题</w:t>
            </w:r>
          </w:p>
          <w:p>
            <w:pPr>
              <w:tabs>
                <w:tab w:val="left" w:pos="7525"/>
              </w:tabs>
              <w:ind w:firstLine="840" w:firstLineChars="300"/>
              <w:rPr>
                <w:rFonts w:ascii="仿宋" w:hAnsi="仿宋" w:eastAsia="仿宋"/>
                <w:sz w:val="28"/>
                <w:szCs w:val="28"/>
              </w:rPr>
            </w:pPr>
            <w:r>
              <w:rPr>
                <w:rFonts w:hint="eastAsia" w:ascii="仿宋" w:hAnsi="仿宋" w:eastAsia="仿宋"/>
                <w:sz w:val="28"/>
                <w:szCs w:val="28"/>
              </w:rPr>
              <w:t>预算编制有待更严格执行，预算编制与实际支出项目有的存在差异。</w:t>
            </w:r>
          </w:p>
          <w:p>
            <w:pPr>
              <w:spacing w:line="560" w:lineRule="exact"/>
              <w:ind w:firstLine="840" w:firstLineChars="300"/>
              <w:rPr>
                <w:rFonts w:ascii="黑体" w:hAnsi="黑体" w:eastAsia="黑体" w:cs="黑体"/>
                <w:bCs/>
                <w:sz w:val="28"/>
                <w:szCs w:val="28"/>
              </w:rPr>
            </w:pPr>
            <w:r>
              <w:rPr>
                <w:rFonts w:hint="eastAsia" w:ascii="黑体" w:hAnsi="黑体" w:eastAsia="黑体" w:cs="黑体"/>
                <w:bCs/>
                <w:sz w:val="28"/>
                <w:szCs w:val="28"/>
              </w:rPr>
              <w:t>六、改进措施和有关建议</w:t>
            </w:r>
          </w:p>
          <w:p>
            <w:pPr>
              <w:tabs>
                <w:tab w:val="left" w:pos="7525"/>
              </w:tabs>
              <w:ind w:left="840" w:hanging="840" w:hangingChars="300"/>
              <w:rPr>
                <w:rFonts w:ascii="仿宋" w:hAnsi="仿宋" w:eastAsia="仿宋"/>
                <w:sz w:val="28"/>
                <w:szCs w:val="28"/>
              </w:rPr>
            </w:pPr>
            <w:r>
              <w:rPr>
                <w:rFonts w:hint="eastAsia" w:ascii="仿宋" w:hAnsi="仿宋" w:eastAsia="仿宋"/>
                <w:sz w:val="28"/>
                <w:szCs w:val="28"/>
              </w:rPr>
              <w:t xml:space="preserve">        一是按照预算规定的项目和用途严格财务审核，经费支出严格按预算规定项目的财务支出内容进行财务核算，在预算金额内严格控制费用的支出。</w:t>
            </w:r>
          </w:p>
          <w:p>
            <w:pPr>
              <w:tabs>
                <w:tab w:val="left" w:pos="7525"/>
              </w:tabs>
              <w:ind w:left="840" w:hanging="840" w:hangingChars="300"/>
              <w:rPr>
                <w:rFonts w:ascii="仿宋" w:hAnsi="仿宋" w:eastAsia="仿宋"/>
                <w:sz w:val="28"/>
                <w:szCs w:val="28"/>
              </w:rPr>
            </w:pPr>
            <w:r>
              <w:rPr>
                <w:rFonts w:hint="eastAsia" w:ascii="仿宋" w:hAnsi="仿宋" w:eastAsia="仿宋"/>
                <w:sz w:val="28"/>
                <w:szCs w:val="28"/>
              </w:rPr>
              <w:t xml:space="preserve">        二是严格控制“三公”经费支出，杜绝挪用和挤占其他预算资金；进一步细化“三公”经费管理，压缩“三公”经费支出。</w:t>
            </w:r>
          </w:p>
          <w:p>
            <w:pPr>
              <w:tabs>
                <w:tab w:val="left" w:pos="7525"/>
              </w:tabs>
              <w:ind w:left="840" w:hanging="840" w:hangingChars="300"/>
              <w:rPr>
                <w:rFonts w:ascii="仿宋" w:hAnsi="仿宋" w:eastAsia="仿宋"/>
                <w:sz w:val="28"/>
                <w:szCs w:val="28"/>
              </w:rPr>
            </w:pPr>
            <w:r>
              <w:rPr>
                <w:rFonts w:hint="eastAsia" w:ascii="仿宋" w:hAnsi="仿宋" w:eastAsia="仿宋"/>
                <w:sz w:val="28"/>
                <w:szCs w:val="28"/>
              </w:rPr>
              <w:t xml:space="preserve">        三是预算财务分析常态化，定期做好预算支出财务分析，做好部门整体支出预算评价工作。</w:t>
            </w:r>
          </w:p>
          <w:p>
            <w:pPr>
              <w:tabs>
                <w:tab w:val="left" w:pos="7525"/>
              </w:tabs>
              <w:ind w:firstLine="6720" w:firstLineChars="2400"/>
              <w:rPr>
                <w:rFonts w:ascii="仿宋" w:hAnsi="仿宋" w:eastAsia="仿宋"/>
                <w:sz w:val="28"/>
                <w:szCs w:val="28"/>
              </w:rPr>
            </w:pPr>
            <w:r>
              <w:rPr>
                <w:rFonts w:hint="eastAsia" w:ascii="仿宋" w:hAnsi="仿宋" w:eastAsia="仿宋"/>
                <w:sz w:val="28"/>
                <w:szCs w:val="28"/>
              </w:rPr>
              <w:t>华容县交通运输局</w:t>
            </w:r>
          </w:p>
          <w:p>
            <w:pPr>
              <w:spacing w:line="500" w:lineRule="exact"/>
              <w:ind w:firstLine="7280" w:firstLineChars="2600"/>
              <w:rPr>
                <w:rFonts w:ascii="黑体" w:hAnsi="黑体" w:eastAsia="黑体" w:cs="黑体"/>
                <w:bCs/>
                <w:sz w:val="28"/>
                <w:szCs w:val="28"/>
              </w:rPr>
            </w:pPr>
            <w:r>
              <w:rPr>
                <w:rFonts w:hint="eastAsia" w:ascii="仿宋" w:hAnsi="仿宋" w:eastAsia="仿宋"/>
                <w:sz w:val="28"/>
                <w:szCs w:val="28"/>
              </w:rPr>
              <w:t>2022年</w:t>
            </w:r>
            <w:r>
              <w:rPr>
                <w:rFonts w:hint="eastAsia" w:ascii="仿宋" w:hAnsi="仿宋" w:eastAsia="仿宋"/>
                <w:sz w:val="28"/>
                <w:szCs w:val="28"/>
                <w:lang w:val="en-US" w:eastAsia="zh-CN"/>
              </w:rPr>
              <w:t>9</w:t>
            </w:r>
            <w:r>
              <w:rPr>
                <w:rFonts w:hint="eastAsia" w:ascii="仿宋" w:hAnsi="仿宋" w:eastAsia="仿宋"/>
                <w:sz w:val="28"/>
                <w:szCs w:val="28"/>
              </w:rPr>
              <w:t>月</w:t>
            </w:r>
          </w:p>
          <w:p>
            <w:pPr>
              <w:spacing w:line="560" w:lineRule="exact"/>
              <w:ind w:firstLine="560" w:firstLineChars="200"/>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99</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5</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mFjYzMyZmEwNmIxNjAwNzk0YTc5YmY3NzQyMzcifQ=="/>
  </w:docVars>
  <w:rsids>
    <w:rsidRoot w:val="2CE55C20"/>
    <w:rsid w:val="00076BDE"/>
    <w:rsid w:val="00087B6B"/>
    <w:rsid w:val="00092531"/>
    <w:rsid w:val="000E7231"/>
    <w:rsid w:val="000E7783"/>
    <w:rsid w:val="00102B7A"/>
    <w:rsid w:val="001138EF"/>
    <w:rsid w:val="00124C5F"/>
    <w:rsid w:val="00132574"/>
    <w:rsid w:val="00156AB5"/>
    <w:rsid w:val="001E136C"/>
    <w:rsid w:val="001F6760"/>
    <w:rsid w:val="00213A84"/>
    <w:rsid w:val="00265FCE"/>
    <w:rsid w:val="002B7B58"/>
    <w:rsid w:val="002D1564"/>
    <w:rsid w:val="002E0FE3"/>
    <w:rsid w:val="002E14C5"/>
    <w:rsid w:val="0031140D"/>
    <w:rsid w:val="003D5E47"/>
    <w:rsid w:val="00521AEE"/>
    <w:rsid w:val="00527F73"/>
    <w:rsid w:val="005468C6"/>
    <w:rsid w:val="00554CF7"/>
    <w:rsid w:val="0057482B"/>
    <w:rsid w:val="005B7F3D"/>
    <w:rsid w:val="006B394D"/>
    <w:rsid w:val="006D2160"/>
    <w:rsid w:val="00722398"/>
    <w:rsid w:val="00793B40"/>
    <w:rsid w:val="007B2063"/>
    <w:rsid w:val="0082452E"/>
    <w:rsid w:val="0087502E"/>
    <w:rsid w:val="00881070"/>
    <w:rsid w:val="008A160A"/>
    <w:rsid w:val="008B192D"/>
    <w:rsid w:val="008D2E21"/>
    <w:rsid w:val="008E2956"/>
    <w:rsid w:val="008E7EBE"/>
    <w:rsid w:val="009042D4"/>
    <w:rsid w:val="00992944"/>
    <w:rsid w:val="00993C58"/>
    <w:rsid w:val="009D6D7B"/>
    <w:rsid w:val="009E6927"/>
    <w:rsid w:val="00A51C9D"/>
    <w:rsid w:val="00AF3974"/>
    <w:rsid w:val="00B07768"/>
    <w:rsid w:val="00B25D73"/>
    <w:rsid w:val="00B773ED"/>
    <w:rsid w:val="00BA1551"/>
    <w:rsid w:val="00BB5B20"/>
    <w:rsid w:val="00BB6F0C"/>
    <w:rsid w:val="00BF499A"/>
    <w:rsid w:val="00C03C29"/>
    <w:rsid w:val="00C250D2"/>
    <w:rsid w:val="00C31A7C"/>
    <w:rsid w:val="00C47C7C"/>
    <w:rsid w:val="00C67B1E"/>
    <w:rsid w:val="00C834C7"/>
    <w:rsid w:val="00CB2F96"/>
    <w:rsid w:val="00D77A50"/>
    <w:rsid w:val="00DC0D5B"/>
    <w:rsid w:val="00DF0584"/>
    <w:rsid w:val="00E10357"/>
    <w:rsid w:val="00E27F9A"/>
    <w:rsid w:val="00E611D5"/>
    <w:rsid w:val="00E63AD7"/>
    <w:rsid w:val="00E92DBC"/>
    <w:rsid w:val="00EA397B"/>
    <w:rsid w:val="00EF6731"/>
    <w:rsid w:val="00F21263"/>
    <w:rsid w:val="00F459AA"/>
    <w:rsid w:val="00F50734"/>
    <w:rsid w:val="00F849DC"/>
    <w:rsid w:val="00FD2DDE"/>
    <w:rsid w:val="00FF754A"/>
    <w:rsid w:val="02BC2771"/>
    <w:rsid w:val="08251EAA"/>
    <w:rsid w:val="083749E7"/>
    <w:rsid w:val="09DE4A06"/>
    <w:rsid w:val="0CB679B8"/>
    <w:rsid w:val="0DE528CD"/>
    <w:rsid w:val="0F851480"/>
    <w:rsid w:val="10C5422A"/>
    <w:rsid w:val="10F91150"/>
    <w:rsid w:val="1336279F"/>
    <w:rsid w:val="14F00FAD"/>
    <w:rsid w:val="162419F3"/>
    <w:rsid w:val="178A1D29"/>
    <w:rsid w:val="18725427"/>
    <w:rsid w:val="194303E2"/>
    <w:rsid w:val="2084553F"/>
    <w:rsid w:val="23A61C99"/>
    <w:rsid w:val="254E2FC7"/>
    <w:rsid w:val="25B607B7"/>
    <w:rsid w:val="263C173A"/>
    <w:rsid w:val="289D055E"/>
    <w:rsid w:val="2B884CC4"/>
    <w:rsid w:val="2C9F197B"/>
    <w:rsid w:val="2CA33441"/>
    <w:rsid w:val="2CE55C20"/>
    <w:rsid w:val="2DC84028"/>
    <w:rsid w:val="2E8C5F2F"/>
    <w:rsid w:val="2ED51684"/>
    <w:rsid w:val="2F0106CB"/>
    <w:rsid w:val="2F287302"/>
    <w:rsid w:val="2F780213"/>
    <w:rsid w:val="2FB13E9F"/>
    <w:rsid w:val="30426D13"/>
    <w:rsid w:val="35EF74CF"/>
    <w:rsid w:val="39B0341A"/>
    <w:rsid w:val="3A43255A"/>
    <w:rsid w:val="3B4C0F20"/>
    <w:rsid w:val="3C5F22EE"/>
    <w:rsid w:val="3D6201A1"/>
    <w:rsid w:val="3EC46785"/>
    <w:rsid w:val="3F8A6044"/>
    <w:rsid w:val="3FB72A60"/>
    <w:rsid w:val="41916BA4"/>
    <w:rsid w:val="43A702D9"/>
    <w:rsid w:val="44592EA4"/>
    <w:rsid w:val="44F87A23"/>
    <w:rsid w:val="45AA6F6F"/>
    <w:rsid w:val="45B778DE"/>
    <w:rsid w:val="477245B4"/>
    <w:rsid w:val="49617FA5"/>
    <w:rsid w:val="4A413C1A"/>
    <w:rsid w:val="4BC92119"/>
    <w:rsid w:val="4C675F73"/>
    <w:rsid w:val="4D171D42"/>
    <w:rsid w:val="4E4F0BB0"/>
    <w:rsid w:val="50EF43D0"/>
    <w:rsid w:val="53F15DA0"/>
    <w:rsid w:val="563F54B2"/>
    <w:rsid w:val="59AA5338"/>
    <w:rsid w:val="5A13112F"/>
    <w:rsid w:val="5B8D6CBF"/>
    <w:rsid w:val="5BE95901"/>
    <w:rsid w:val="5C82434A"/>
    <w:rsid w:val="5FEA46E0"/>
    <w:rsid w:val="609603C4"/>
    <w:rsid w:val="65907AD8"/>
    <w:rsid w:val="67C34CD3"/>
    <w:rsid w:val="6A0A15CD"/>
    <w:rsid w:val="6A9C0CCD"/>
    <w:rsid w:val="6BC902B9"/>
    <w:rsid w:val="6C53185F"/>
    <w:rsid w:val="6D452F22"/>
    <w:rsid w:val="6DF352BD"/>
    <w:rsid w:val="705E3E6D"/>
    <w:rsid w:val="71C1048A"/>
    <w:rsid w:val="730A7A3B"/>
    <w:rsid w:val="738642C8"/>
    <w:rsid w:val="7396188C"/>
    <w:rsid w:val="73F35F5B"/>
    <w:rsid w:val="798C63B0"/>
    <w:rsid w:val="79C04582"/>
    <w:rsid w:val="7A1F1975"/>
    <w:rsid w:val="7AE77D4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unhideWhenUsed/>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7184</Words>
  <Characters>7772</Characters>
  <Lines>65</Lines>
  <Paragraphs>18</Paragraphs>
  <TotalTime>3</TotalTime>
  <ScaleCrop>false</ScaleCrop>
  <LinksUpToDate>false</LinksUpToDate>
  <CharactersWithSpaces>8359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2022-05-25T06:49:00Z</dcterms:created>
  <dc:creator>Administrator</dc:creator>
  <cp:lastModifiedBy>WPS_1651824744</cp:lastModifiedBy>
  <cp:lastPrinted>2021-07-12T08:27:00Z</cp:lastPrinted>
  <dcterms:modified xsi:type="dcterms:W3CDTF">2022-10-13T01:02:19Z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F180C8FA116848BC9F9183E1B55122B2</vt:lpwstr>
  </property>
</Properties>
</file>