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华容县自然资源局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702001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蔡 圆</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0730-4268528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83"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1"/>
              </w:num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依法履行全民所有土地、矿产、森林、草原、湿地、水等自然资源资产所有者职责和国有空间用途管制职责；2、负责自然资源调查监测评价；3、负责自然资源统一确权登记工作；4、负责自然资源资产有偿使用工作；5、负责自然资源的合理开发利用；6、负责建立国土空间规划体系并监督实施；7、负责统筹国土空间生态修复；8、负责组织实施最严格的耕地保护制度；9、负责管理地质勘查行业和全县地质工作；10、负责地质灾害预防和治理；11、负责矿产资源管理工作；12、推动自然资源领域科技发展；13、负责测绘地理信息管理工作；14、负责自然资源领域安全生产和应急管理工作；15、根据授权，对各乡镇人民政府、县工业集中区管理会、县田家湖生态新区管委会及相关部门落实县委、县政府关于自然资源、国土空间规划重大政策、决策部署及法规规章执行情况进行督察；16、统一领导和管理县林业局；17、完成县委、县政府交办的其他事项；18、职能转变。</w:t>
            </w:r>
          </w:p>
          <w:p>
            <w:pPr>
              <w:numPr>
                <w:numId w:val="0"/>
              </w:num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任务1：耕地保护开发并重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任务2：要素保障能力不断增强</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任务3：项目建设成效显著</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：依法执法监察成效明显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：重点工作有序推进</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：矿山资源管理扎实有效</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：基础工作落实有力</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503"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eastAsia="zh-CN"/>
              </w:rPr>
            </w:pP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实施</w:t>
            </w:r>
            <w:r>
              <w:rPr>
                <w:rFonts w:hint="eastAsia" w:ascii="仿宋_GB2312" w:hAnsi="仿宋_GB2312" w:eastAsia="仿宋_GB2312" w:cs="仿宋_GB2312"/>
                <w:color w:val="000000"/>
                <w:sz w:val="24"/>
              </w:rPr>
              <w:t>耕地指标挂钩的建设用地项目4个，合计补充耕地面积1019.99亩，补充耕地中水田面积852.84亩，补充产能139.28万公斤</w:t>
            </w:r>
            <w:r>
              <w:rPr>
                <w:rFonts w:hint="eastAsia" w:ascii="仿宋_GB2312" w:hAnsi="仿宋_GB2312" w:eastAsia="仿宋_GB2312" w:cs="仿宋_GB2312"/>
                <w:color w:val="000000"/>
                <w:sz w:val="24"/>
                <w:lang w:eastAsia="zh-CN"/>
              </w:rPr>
              <w:t>。</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交易补充耕地数量指标1600亩、水田规模指标4732.6265亩、粮食产能指标531万公斤，指标交易成交总金额4.08亿元</w:t>
            </w:r>
            <w:r>
              <w:rPr>
                <w:rFonts w:hint="eastAsia" w:ascii="仿宋_GB2312" w:hAnsi="仿宋_GB2312" w:eastAsia="仿宋_GB2312" w:cs="仿宋_GB2312"/>
                <w:color w:val="000000"/>
                <w:sz w:val="24"/>
                <w:lang w:eastAsia="zh-CN"/>
              </w:rPr>
              <w:t>。</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处置完成增存挂钩闲置土地25宗62.6689亩，处置率100%，全省排第1名。</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zh-CN" w:eastAsia="zh-CN"/>
              </w:rPr>
            </w:pPr>
            <w:r>
              <w:rPr>
                <w:rFonts w:hint="eastAsia" w:ascii="仿宋_GB2312" w:hAnsi="仿宋_GB2312" w:eastAsia="仿宋_GB2312" w:cs="仿宋_GB2312"/>
                <w:color w:val="000000"/>
                <w:sz w:val="24"/>
                <w:lang w:val="zh-CN"/>
              </w:rPr>
              <w:t>供应土地</w:t>
            </w:r>
            <w:r>
              <w:rPr>
                <w:rFonts w:hint="eastAsia" w:ascii="仿宋_GB2312" w:hAnsi="仿宋_GB2312" w:eastAsia="仿宋_GB2312" w:cs="仿宋_GB2312"/>
                <w:color w:val="000000"/>
                <w:sz w:val="24"/>
              </w:rPr>
              <w:t>90宗1363亩，收缴土地出让金24476.24万元。征收土地575.03亩，拆迁房屋18268.85平方米，支付各类补偿款19239.48万元。收储土地38宗2326.87亩，土地出库30.721亩。</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华容县长江经济带废弃露天矿山生态修复项目建设</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修复废弃露天矿山面积48.14万平方米。</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宋体" w:cs="仿宋_GB2312"/>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67"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自然资源</w:t>
            </w:r>
            <w:r>
              <w:rPr>
                <w:rFonts w:hint="eastAsia" w:ascii="仿宋_GB2312" w:hAnsi="仿宋_GB2312" w:eastAsia="仿宋_GB2312" w:cs="仿宋_GB2312"/>
                <w:sz w:val="24"/>
              </w:rPr>
              <w:t>局</w:t>
            </w:r>
            <w:r>
              <w:rPr>
                <w:rFonts w:hint="eastAsia" w:ascii="仿宋_GB2312" w:hAnsi="仿宋_GB2312" w:eastAsia="仿宋_GB2312" w:cs="仿宋_GB2312"/>
                <w:sz w:val="24"/>
                <w:lang w:eastAsia="zh-CN"/>
              </w:rPr>
              <w:t>本级</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4452.92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2820.10</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1632.82</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1"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9"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lang w:eastAsia="zh-CN"/>
              </w:rPr>
              <w:t>自然资源</w:t>
            </w:r>
            <w:r>
              <w:rPr>
                <w:rFonts w:hint="eastAsia" w:ascii="仿宋_GB2312" w:hAnsi="仿宋_GB2312" w:eastAsia="仿宋_GB2312" w:cs="仿宋_GB2312"/>
                <w:sz w:val="24"/>
              </w:rPr>
              <w:t>局</w:t>
            </w:r>
            <w:r>
              <w:rPr>
                <w:rFonts w:hint="eastAsia" w:ascii="仿宋_GB2312" w:hAnsi="仿宋_GB2312" w:eastAsia="仿宋_GB2312" w:cs="仿宋_GB2312"/>
                <w:sz w:val="24"/>
                <w:lang w:eastAsia="zh-CN"/>
              </w:rPr>
              <w:t>本级</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4452.92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2192.65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1967.35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225.30</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2260.27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1"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auto"/>
                <w:sz w:val="24"/>
              </w:rPr>
            </w:pPr>
            <w:r>
              <w:rPr>
                <w:rFonts w:hint="eastAsia" w:ascii="仿宋_GB2312" w:hAnsi="仿宋_GB2312" w:eastAsia="仿宋_GB2312" w:cs="仿宋_GB2312"/>
                <w:sz w:val="24"/>
                <w:lang w:eastAsia="zh-CN"/>
              </w:rPr>
              <w:t>自然资源</w:t>
            </w:r>
            <w:r>
              <w:rPr>
                <w:rFonts w:hint="eastAsia" w:ascii="仿宋_GB2312" w:hAnsi="仿宋_GB2312" w:eastAsia="仿宋_GB2312" w:cs="仿宋_GB2312"/>
                <w:sz w:val="24"/>
              </w:rPr>
              <w:t>局</w:t>
            </w:r>
            <w:r>
              <w:rPr>
                <w:rFonts w:hint="eastAsia" w:ascii="仿宋_GB2312" w:hAnsi="仿宋_GB2312" w:eastAsia="仿宋_GB2312" w:cs="仿宋_GB2312"/>
                <w:sz w:val="24"/>
                <w:lang w:eastAsia="zh-CN"/>
              </w:rPr>
              <w:t>本级</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11.76</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1"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eastAsia="zh-CN"/>
              </w:rPr>
              <w:t>自然资源</w:t>
            </w:r>
            <w:r>
              <w:rPr>
                <w:rFonts w:hint="eastAsia" w:ascii="仿宋_GB2312" w:hAnsi="仿宋_GB2312" w:eastAsia="仿宋_GB2312" w:cs="仿宋_GB2312"/>
                <w:sz w:val="24"/>
              </w:rPr>
              <w:t>局</w:t>
            </w:r>
            <w:r>
              <w:rPr>
                <w:rFonts w:hint="eastAsia" w:ascii="仿宋_GB2312" w:hAnsi="仿宋_GB2312" w:eastAsia="仿宋_GB2312" w:cs="仿宋_GB2312"/>
                <w:sz w:val="24"/>
                <w:lang w:eastAsia="zh-CN"/>
              </w:rPr>
              <w:t>本级</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2457.81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2457.81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目标1：切实加强土地管理和基本农田保护；</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目标2：规范矿产资源开发利用，加强自然资源生态修复工作；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目标3：推进国土空间规划编制工作，完成农村宅基地和集体建设用地房地一体确权登记发证工作；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保障县域经济发展用地需求，严厉打击违法用地、用矿行为，严格禁违拆违治违。</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指标1：拆除存量违法建设，严控新增违法建设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0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指标2：制定《湖南省华容县绿色矿山建设三年行动方案（2020-2022年）》</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指标1：受理各类自然资源违法行为13件，立案查处12件，受理化解信访事项7件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指标2：共拆除各类违法建设1380处71905㎡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指标1：启动章华镇全域土地综合整治试点项目</w:t>
            </w:r>
            <w:r>
              <w:rPr>
                <w:rFonts w:hint="eastAsia" w:ascii="仿宋_GB2312" w:hAnsi="仿宋_GB2312" w:eastAsia="仿宋_GB2312" w:cs="仿宋_GB2312"/>
                <w:color w:val="000000"/>
                <w:sz w:val="24"/>
                <w:lang w:eastAsia="zh-CN"/>
              </w:rPr>
              <w:t>建设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启动</w:t>
            </w:r>
            <w:r>
              <w:rPr>
                <w:rFonts w:hint="eastAsia" w:ascii="仿宋_GB2312" w:hAnsi="仿宋_GB2312" w:eastAsia="仿宋_GB2312" w:cs="仿宋_GB2312"/>
                <w:color w:val="000000"/>
                <w:sz w:val="24"/>
              </w:rPr>
              <w:t>华容县储备补充耕地指标补录项目建设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指标1：征收土地575.03亩，拆迁房屋18268.85平方米，支付各类补偿款19239.48万元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zh-CN"/>
              </w:rPr>
              <w:t>加快推进“交房即交证”改革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指标1：指标交易成交总金额4.08亿元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03"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指标1：长江经济带废弃露天矿山生态修复项目建设</w:t>
            </w:r>
            <w:r>
              <w:rPr>
                <w:rFonts w:hint="eastAsia" w:ascii="仿宋_GB2312" w:hAnsi="仿宋_GB2312" w:eastAsia="仿宋_GB2312" w:cs="仿宋_GB2312"/>
                <w:color w:val="000000"/>
                <w:sz w:val="24"/>
                <w:lang w:eastAsia="zh-CN"/>
              </w:rPr>
              <w:t>完成</w:t>
            </w:r>
            <w:r>
              <w:rPr>
                <w:rFonts w:hint="eastAsia" w:ascii="仿宋_GB2312" w:hAnsi="仿宋_GB2312" w:eastAsia="仿宋_GB2312" w:cs="仿宋_GB2312"/>
                <w:color w:val="000000"/>
                <w:sz w:val="24"/>
              </w:rPr>
              <w:t>施工刹尾、财政评审终审及项目结算审计等工作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指标1：加强干部绩效考核，回访群众满意度98.6%</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肖</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雄</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分管局长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符绍军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严</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聪</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纪检监察室主任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孙立华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财务股长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蔡圆</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15197066386</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widowControl/>
              <w:snapToGrid w:val="0"/>
              <w:spacing w:line="64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华容县自然资源局系财政全额预算拨款单位。20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年编制部门核实人员编制</w:t>
            </w:r>
            <w:r>
              <w:rPr>
                <w:rFonts w:hint="eastAsia" w:ascii="仿宋_GB2312" w:hAnsi="仿宋_GB2312" w:eastAsia="仿宋_GB2312" w:cs="仿宋_GB2312"/>
                <w:bCs/>
                <w:sz w:val="28"/>
                <w:szCs w:val="28"/>
                <w:lang w:val="en-US" w:eastAsia="zh-CN"/>
              </w:rPr>
              <w:t>170</w:t>
            </w:r>
            <w:r>
              <w:rPr>
                <w:rFonts w:hint="eastAsia" w:ascii="仿宋_GB2312" w:hAnsi="仿宋_GB2312" w:eastAsia="仿宋_GB2312" w:cs="仿宋_GB2312"/>
                <w:bCs/>
                <w:sz w:val="28"/>
                <w:szCs w:val="28"/>
              </w:rPr>
              <w:t>人，实有人数为</w:t>
            </w:r>
            <w:r>
              <w:rPr>
                <w:rFonts w:hint="eastAsia" w:ascii="仿宋_GB2312" w:hAnsi="仿宋_GB2312" w:eastAsia="仿宋_GB2312" w:cs="仿宋_GB2312"/>
                <w:bCs/>
                <w:sz w:val="28"/>
                <w:szCs w:val="28"/>
                <w:lang w:val="en-US" w:eastAsia="zh-CN"/>
              </w:rPr>
              <w:t>180</w:t>
            </w:r>
            <w:r>
              <w:rPr>
                <w:rFonts w:hint="eastAsia" w:ascii="仿宋_GB2312" w:hAnsi="仿宋_GB2312" w:eastAsia="仿宋_GB2312" w:cs="仿宋_GB2312"/>
                <w:bCs/>
                <w:sz w:val="28"/>
                <w:szCs w:val="28"/>
              </w:rPr>
              <w:t>人。内设办公室、政策法规股、财务股、人事股、行政审批办、综合业务管理股、自然资源开发利用股、自然资源调查监测股、自然资源确权登记股、国土空间规划股、国土空间用途管制股、城乡规划管理股、耕地保护股、测绘地理信息股、矿产资源管理股、地质灾害防治股、国土空间生态修复股、卫片办、党风廉政室、党建办、老干办、信访室、工会、自然资源规划设计院、自然资源和规划勘测中心等23个股室和</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个二级机构，乡镇设18个自然资源所。</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2021年单位整体支出规模为4452.92万元，其中基本支出2192.65万元，项目支出2260.27万元。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2021年单位整体基本支出2192.65万元，其中工资福利支出1967.17万元、商品和服务支出225.3万元、对个人和家庭的补助支出0.18万元。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2021年单位整体专项资金收入2260.27万元，全部安排落实到位。</w:t>
            </w:r>
          </w:p>
          <w:p>
            <w:pPr>
              <w:numPr>
                <w:ilvl w:val="0"/>
                <w:numId w:val="3"/>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ilvl w:val="0"/>
                <w:numId w:val="0"/>
              </w:num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2021年单位</w:t>
            </w:r>
            <w:bookmarkStart w:id="0" w:name="_GoBack"/>
            <w:bookmarkEnd w:id="0"/>
            <w:r>
              <w:rPr>
                <w:rFonts w:hint="eastAsia" w:ascii="仿宋_GB2312" w:hAnsi="仿宋_GB2312" w:eastAsia="仿宋_GB2312" w:cs="仿宋_GB2312"/>
                <w:bCs/>
                <w:sz w:val="28"/>
                <w:szCs w:val="28"/>
                <w:lang w:val="en-US" w:eastAsia="zh-CN"/>
              </w:rPr>
              <w:t>整体专项资金支出2260.27万元，其中城乡社区支出1632.82万元、自然资源海洋气象等支出551.78万元、粮油物资储备支出2万元、灾害防治及应急管理支出69.91万元、其他支出3.75万元，全年收支平衡。</w:t>
            </w:r>
          </w:p>
          <w:p>
            <w:pPr>
              <w:numPr>
                <w:ilvl w:val="0"/>
                <w:numId w:val="3"/>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专项资金实行专款专用，项目资金严格按照审批程序拨付，无弄虚作假、截留、拆借挤占等现象。</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专项由相应业务股室或部门负责组织实行。</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专项管理实行专人专项管理。</w:t>
            </w:r>
          </w:p>
          <w:p>
            <w:pPr>
              <w:numPr>
                <w:ilvl w:val="0"/>
                <w:numId w:val="4"/>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考评组认为华容县自然资源局2021年整体支出，严格按照国家的相关财务管理制度规定，财务制度健全、会计核算规范，依照计划管理使用，自然资源局的整体支出对保障部门工作的正常运行、建设和维护、贯彻执行国家和省办方针、政策、法律法规，发挥了重要作用。按照部门整体支出绩效评价指标体系对照打分得出结果为95分，等级为优秀。</w:t>
            </w:r>
          </w:p>
          <w:p>
            <w:pPr>
              <w:numPr>
                <w:ilvl w:val="0"/>
                <w:numId w:val="4"/>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预算编制有待更严格执行。预算编制与实际支出项目有的存在差异。</w:t>
            </w:r>
          </w:p>
          <w:p>
            <w:pPr>
              <w:numPr>
                <w:ilvl w:val="0"/>
                <w:numId w:val="4"/>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一是按照预算规定的项目和用途严格财务审核，经费支出严格按预算规定项目的财务支出内容进行财务核算，在预算金额内严格控制费用的支出。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二是严格控制“三公经费”支出，进一步细化“三公经费”管理，按财政三公经费要求严控 “三公经费”支出。</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三是预算财务分析常态化，定期做好预算支出财务分析，做好部门整体支出预算评价工作。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rPr>
          <w:rFonts w:ascii="黑体" w:hAnsi="黑体" w:eastAsia="黑体"/>
          <w:sz w:val="32"/>
          <w:szCs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691"/>
        <w:gridCol w:w="937"/>
        <w:gridCol w:w="1350"/>
        <w:gridCol w:w="4288"/>
        <w:gridCol w:w="537"/>
        <w:gridCol w:w="688"/>
        <w:gridCol w:w="1403"/>
      </w:tblGrid>
      <w:tr>
        <w:tblPrEx>
          <w:tblCellMar>
            <w:top w:w="0" w:type="dxa"/>
            <w:left w:w="108" w:type="dxa"/>
            <w:bottom w:w="0" w:type="dxa"/>
            <w:right w:w="108" w:type="dxa"/>
          </w:tblCellMar>
        </w:tblPrEx>
        <w:trPr>
          <w:trHeight w:val="525" w:hRule="atLeast"/>
          <w:jc w:val="center"/>
        </w:trPr>
        <w:tc>
          <w:tcPr>
            <w:tcW w:w="69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5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28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53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688"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40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691"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7"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691"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7"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97"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县财政资金紧张，影响资金拨付</w:t>
            </w:r>
          </w:p>
        </w:tc>
      </w:tr>
      <w:tr>
        <w:tblPrEx>
          <w:tblCellMar>
            <w:top w:w="0" w:type="dxa"/>
            <w:left w:w="108" w:type="dxa"/>
            <w:bottom w:w="0" w:type="dxa"/>
            <w:right w:w="108" w:type="dxa"/>
          </w:tblCellMar>
        </w:tblPrEx>
        <w:trPr>
          <w:trHeight w:val="619"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6</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69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288"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53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69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288"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53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40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部分采购目录外项目未执行政府采购</w:t>
            </w:r>
          </w:p>
        </w:tc>
      </w:tr>
      <w:tr>
        <w:tblPrEx>
          <w:tblCellMar>
            <w:top w:w="0" w:type="dxa"/>
            <w:left w:w="108" w:type="dxa"/>
            <w:bottom w:w="0" w:type="dxa"/>
            <w:right w:w="108" w:type="dxa"/>
          </w:tblCellMar>
        </w:tblPrEx>
        <w:trPr>
          <w:trHeight w:val="630" w:hRule="atLeast"/>
          <w:jc w:val="center"/>
        </w:trPr>
        <w:tc>
          <w:tcPr>
            <w:tcW w:w="69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288"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53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69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5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288"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53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713"/>
        <w:gridCol w:w="937"/>
        <w:gridCol w:w="1363"/>
        <w:gridCol w:w="4287"/>
        <w:gridCol w:w="525"/>
        <w:gridCol w:w="688"/>
        <w:gridCol w:w="1424"/>
      </w:tblGrid>
      <w:tr>
        <w:tblPrEx>
          <w:tblCellMar>
            <w:top w:w="0" w:type="dxa"/>
            <w:left w:w="108" w:type="dxa"/>
            <w:bottom w:w="0" w:type="dxa"/>
            <w:right w:w="108" w:type="dxa"/>
          </w:tblCellMar>
        </w:tblPrEx>
        <w:trPr>
          <w:trHeight w:val="678"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63"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28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52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688"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424"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71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63"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28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52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688"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424"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both"/>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资产未有偿使用</w:t>
            </w:r>
          </w:p>
        </w:tc>
      </w:tr>
      <w:tr>
        <w:tblPrEx>
          <w:tblCellMar>
            <w:top w:w="0" w:type="dxa"/>
            <w:left w:w="108" w:type="dxa"/>
            <w:bottom w:w="0" w:type="dxa"/>
            <w:right w:w="108" w:type="dxa"/>
          </w:tblCellMar>
        </w:tblPrEx>
        <w:trPr>
          <w:trHeight w:val="859"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28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机构改革合并有闲置资产</w:t>
            </w:r>
          </w:p>
        </w:tc>
      </w:tr>
      <w:tr>
        <w:tblPrEx>
          <w:tblCellMar>
            <w:top w:w="0" w:type="dxa"/>
            <w:left w:w="108" w:type="dxa"/>
            <w:bottom w:w="0" w:type="dxa"/>
            <w:right w:w="108" w:type="dxa"/>
          </w:tblCellMar>
        </w:tblPrEx>
        <w:trPr>
          <w:trHeight w:val="998" w:hRule="atLeast"/>
          <w:jc w:val="center"/>
        </w:trPr>
        <w:tc>
          <w:tcPr>
            <w:tcW w:w="71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37"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63"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287"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1013"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756"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998"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888"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669" w:hRule="atLeast"/>
          <w:jc w:val="center"/>
        </w:trPr>
        <w:tc>
          <w:tcPr>
            <w:tcW w:w="71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37"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287"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525"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土地收益离预期有差异</w:t>
            </w:r>
          </w:p>
        </w:tc>
      </w:tr>
      <w:tr>
        <w:tblPrEx>
          <w:tblCellMar>
            <w:top w:w="0" w:type="dxa"/>
            <w:left w:w="108" w:type="dxa"/>
            <w:bottom w:w="0" w:type="dxa"/>
            <w:right w:w="108" w:type="dxa"/>
          </w:tblCellMar>
        </w:tblPrEx>
        <w:trPr>
          <w:trHeight w:val="669"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669"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1051" w:hRule="atLeast"/>
          <w:jc w:val="center"/>
        </w:trPr>
        <w:tc>
          <w:tcPr>
            <w:tcW w:w="71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287"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52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42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756" w:hRule="atLeast"/>
          <w:jc w:val="center"/>
        </w:trPr>
        <w:tc>
          <w:tcPr>
            <w:tcW w:w="71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28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2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95</w:t>
            </w:r>
          </w:p>
        </w:tc>
        <w:tc>
          <w:tcPr>
            <w:tcW w:w="142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lang w:val="en-US" w:eastAsia="zh-CN" w:bidi="ar-SA"/>
              </w:rPr>
            </w:pPr>
          </w:p>
        </w:tc>
      </w:tr>
    </w:tbl>
    <w:p>
      <w:pPr>
        <w:adjustRightInd w:val="0"/>
        <w:snapToGrid w:val="0"/>
        <w:spacing w:before="156" w:beforeLines="50"/>
        <w:contextualSpacing/>
        <w:rPr>
          <w:rFonts w:hint="eastAsia" w:eastAsia="仿宋_GB2312"/>
          <w:sz w:val="32"/>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1108F"/>
    <w:multiLevelType w:val="singleLevel"/>
    <w:tmpl w:val="2EA1108F"/>
    <w:lvl w:ilvl="0" w:tentative="0">
      <w:start w:val="1"/>
      <w:numFmt w:val="decimal"/>
      <w:suff w:val="nothing"/>
      <w:lvlText w:val="%1、"/>
      <w:lvlJc w:val="left"/>
    </w:lvl>
  </w:abstractNum>
  <w:abstractNum w:abstractNumId="1">
    <w:nsid w:val="4499B024"/>
    <w:multiLevelType w:val="singleLevel"/>
    <w:tmpl w:val="4499B024"/>
    <w:lvl w:ilvl="0" w:tentative="0">
      <w:start w:val="2"/>
      <w:numFmt w:val="decimal"/>
      <w:suff w:val="nothing"/>
      <w:lvlText w:val="%1、"/>
      <w:lvlJc w:val="left"/>
    </w:lvl>
  </w:abstractNum>
  <w:abstractNum w:abstractNumId="2">
    <w:nsid w:val="68DFF4BC"/>
    <w:multiLevelType w:val="singleLevel"/>
    <w:tmpl w:val="68DFF4BC"/>
    <w:lvl w:ilvl="0" w:tentative="0">
      <w:start w:val="2"/>
      <w:numFmt w:val="chineseCounting"/>
      <w:suff w:val="nothing"/>
      <w:lvlText w:val="（%1）"/>
      <w:lvlJc w:val="left"/>
      <w:rPr>
        <w:rFonts w:hint="eastAsia"/>
      </w:rPr>
    </w:lvl>
  </w:abstractNum>
  <w:abstractNum w:abstractNumId="3">
    <w:nsid w:val="7C79F7EB"/>
    <w:multiLevelType w:val="singleLevel"/>
    <w:tmpl w:val="7C79F7EB"/>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4MmMyY2E5M2RhNTJhNjA1NWRmMTFhNmZiYTkzMmQifQ=="/>
  </w:docVars>
  <w:rsids>
    <w:rsidRoot w:val="2CE55C20"/>
    <w:rsid w:val="007B2063"/>
    <w:rsid w:val="00EF7950"/>
    <w:rsid w:val="011959AD"/>
    <w:rsid w:val="01A72475"/>
    <w:rsid w:val="01D95F0B"/>
    <w:rsid w:val="028A07EE"/>
    <w:rsid w:val="029307AF"/>
    <w:rsid w:val="02F2197A"/>
    <w:rsid w:val="04601BDB"/>
    <w:rsid w:val="05BB557A"/>
    <w:rsid w:val="07E86EA8"/>
    <w:rsid w:val="083749E7"/>
    <w:rsid w:val="08BB45BC"/>
    <w:rsid w:val="091D7025"/>
    <w:rsid w:val="09316D5F"/>
    <w:rsid w:val="09A154B2"/>
    <w:rsid w:val="09AD7190"/>
    <w:rsid w:val="0A0855DF"/>
    <w:rsid w:val="0AC27E84"/>
    <w:rsid w:val="0B7F7B23"/>
    <w:rsid w:val="0C717585"/>
    <w:rsid w:val="0CB679B8"/>
    <w:rsid w:val="0DC26267"/>
    <w:rsid w:val="0DE528CD"/>
    <w:rsid w:val="10521CAA"/>
    <w:rsid w:val="106F460A"/>
    <w:rsid w:val="120A0268"/>
    <w:rsid w:val="1336279F"/>
    <w:rsid w:val="14651B4E"/>
    <w:rsid w:val="14656E27"/>
    <w:rsid w:val="148B12E6"/>
    <w:rsid w:val="14B129ED"/>
    <w:rsid w:val="154A6EC9"/>
    <w:rsid w:val="15F759EE"/>
    <w:rsid w:val="163C6D3C"/>
    <w:rsid w:val="16B74615"/>
    <w:rsid w:val="17E7717C"/>
    <w:rsid w:val="17F04282"/>
    <w:rsid w:val="18053067"/>
    <w:rsid w:val="18725427"/>
    <w:rsid w:val="189A2440"/>
    <w:rsid w:val="192848EC"/>
    <w:rsid w:val="19CD1B5D"/>
    <w:rsid w:val="19E219A9"/>
    <w:rsid w:val="1AED2CFB"/>
    <w:rsid w:val="1B2926A8"/>
    <w:rsid w:val="1C5C419F"/>
    <w:rsid w:val="1C8651B5"/>
    <w:rsid w:val="1D2C5F18"/>
    <w:rsid w:val="1D8334A3"/>
    <w:rsid w:val="1E394958"/>
    <w:rsid w:val="1E870D71"/>
    <w:rsid w:val="1E937715"/>
    <w:rsid w:val="1ED52C4B"/>
    <w:rsid w:val="1F1620F4"/>
    <w:rsid w:val="1F552C1D"/>
    <w:rsid w:val="1FAC7012"/>
    <w:rsid w:val="1FFE5062"/>
    <w:rsid w:val="21077559"/>
    <w:rsid w:val="22625AB7"/>
    <w:rsid w:val="23571D7C"/>
    <w:rsid w:val="254E2FC7"/>
    <w:rsid w:val="25506360"/>
    <w:rsid w:val="25B607B7"/>
    <w:rsid w:val="25D7082F"/>
    <w:rsid w:val="263C173A"/>
    <w:rsid w:val="264010F1"/>
    <w:rsid w:val="26551A71"/>
    <w:rsid w:val="26955FF5"/>
    <w:rsid w:val="274C1CCB"/>
    <w:rsid w:val="282910EA"/>
    <w:rsid w:val="283642C0"/>
    <w:rsid w:val="289D055E"/>
    <w:rsid w:val="28F811E9"/>
    <w:rsid w:val="29231FDE"/>
    <w:rsid w:val="2A8A1C45"/>
    <w:rsid w:val="2C351E0C"/>
    <w:rsid w:val="2C9F197B"/>
    <w:rsid w:val="2CA33441"/>
    <w:rsid w:val="2CE55C20"/>
    <w:rsid w:val="2D091E2F"/>
    <w:rsid w:val="2DAB4805"/>
    <w:rsid w:val="2DF74D94"/>
    <w:rsid w:val="2E843617"/>
    <w:rsid w:val="2F287302"/>
    <w:rsid w:val="2F3B1E2F"/>
    <w:rsid w:val="2F520F27"/>
    <w:rsid w:val="2FCE2CA3"/>
    <w:rsid w:val="30000983"/>
    <w:rsid w:val="30426D13"/>
    <w:rsid w:val="314B4F91"/>
    <w:rsid w:val="31E95C8F"/>
    <w:rsid w:val="32A80776"/>
    <w:rsid w:val="32D835BF"/>
    <w:rsid w:val="33E63B4D"/>
    <w:rsid w:val="34901FC4"/>
    <w:rsid w:val="355A1C3C"/>
    <w:rsid w:val="358856A2"/>
    <w:rsid w:val="37027AD2"/>
    <w:rsid w:val="37104E51"/>
    <w:rsid w:val="375600C6"/>
    <w:rsid w:val="37BE3010"/>
    <w:rsid w:val="37F34E29"/>
    <w:rsid w:val="38FC13EB"/>
    <w:rsid w:val="39C40C73"/>
    <w:rsid w:val="3A43255A"/>
    <w:rsid w:val="3A7B3A28"/>
    <w:rsid w:val="3AFD4048"/>
    <w:rsid w:val="3C074325"/>
    <w:rsid w:val="3C367516"/>
    <w:rsid w:val="3D6201A1"/>
    <w:rsid w:val="3DFE5B9C"/>
    <w:rsid w:val="3EC46785"/>
    <w:rsid w:val="3F8A6044"/>
    <w:rsid w:val="42073DF3"/>
    <w:rsid w:val="426F2538"/>
    <w:rsid w:val="434515C1"/>
    <w:rsid w:val="43747266"/>
    <w:rsid w:val="438D657A"/>
    <w:rsid w:val="43A702D9"/>
    <w:rsid w:val="44592EA4"/>
    <w:rsid w:val="44B05624"/>
    <w:rsid w:val="453B371B"/>
    <w:rsid w:val="455530C7"/>
    <w:rsid w:val="477245B4"/>
    <w:rsid w:val="49617FA5"/>
    <w:rsid w:val="496E6505"/>
    <w:rsid w:val="49C600F0"/>
    <w:rsid w:val="4A213381"/>
    <w:rsid w:val="4A680A2C"/>
    <w:rsid w:val="4A834D28"/>
    <w:rsid w:val="4AEB2C26"/>
    <w:rsid w:val="4AFA7C70"/>
    <w:rsid w:val="4B820AC3"/>
    <w:rsid w:val="4B9247D9"/>
    <w:rsid w:val="4D171D42"/>
    <w:rsid w:val="4E4F0BB0"/>
    <w:rsid w:val="4F934F18"/>
    <w:rsid w:val="4FCC21D8"/>
    <w:rsid w:val="50293C7B"/>
    <w:rsid w:val="50537907"/>
    <w:rsid w:val="510C31D4"/>
    <w:rsid w:val="52564403"/>
    <w:rsid w:val="53580FE6"/>
    <w:rsid w:val="537162DF"/>
    <w:rsid w:val="53A2518E"/>
    <w:rsid w:val="53BF661E"/>
    <w:rsid w:val="54A27E58"/>
    <w:rsid w:val="54B716F3"/>
    <w:rsid w:val="5579695E"/>
    <w:rsid w:val="566969D2"/>
    <w:rsid w:val="56F43293"/>
    <w:rsid w:val="57E84BB1"/>
    <w:rsid w:val="58563629"/>
    <w:rsid w:val="58670CF0"/>
    <w:rsid w:val="589A0F2A"/>
    <w:rsid w:val="590908BE"/>
    <w:rsid w:val="59475F02"/>
    <w:rsid w:val="5A9F7E98"/>
    <w:rsid w:val="5AAB580B"/>
    <w:rsid w:val="5B4825CA"/>
    <w:rsid w:val="5B675E44"/>
    <w:rsid w:val="5BD97ED6"/>
    <w:rsid w:val="5BE95901"/>
    <w:rsid w:val="5BF154A0"/>
    <w:rsid w:val="5BF60C53"/>
    <w:rsid w:val="5C4C26D6"/>
    <w:rsid w:val="5CD66444"/>
    <w:rsid w:val="5CEC170B"/>
    <w:rsid w:val="5CFA4828"/>
    <w:rsid w:val="5D3549DE"/>
    <w:rsid w:val="5D3D58BD"/>
    <w:rsid w:val="5E7E7C98"/>
    <w:rsid w:val="5F644958"/>
    <w:rsid w:val="60067040"/>
    <w:rsid w:val="607641C6"/>
    <w:rsid w:val="60D07D7A"/>
    <w:rsid w:val="613D1187"/>
    <w:rsid w:val="62013F63"/>
    <w:rsid w:val="62361C1C"/>
    <w:rsid w:val="63C416EC"/>
    <w:rsid w:val="63CB65D6"/>
    <w:rsid w:val="63EE14D4"/>
    <w:rsid w:val="642B176B"/>
    <w:rsid w:val="64B81F86"/>
    <w:rsid w:val="64F61D79"/>
    <w:rsid w:val="652A0877"/>
    <w:rsid w:val="65DA51F7"/>
    <w:rsid w:val="66742F55"/>
    <w:rsid w:val="68817BAC"/>
    <w:rsid w:val="689F6284"/>
    <w:rsid w:val="68F4037D"/>
    <w:rsid w:val="691E26C3"/>
    <w:rsid w:val="69855479"/>
    <w:rsid w:val="6A0A15CD"/>
    <w:rsid w:val="6A303C80"/>
    <w:rsid w:val="6A9040D6"/>
    <w:rsid w:val="6ABE50E7"/>
    <w:rsid w:val="6BC56CC5"/>
    <w:rsid w:val="6C5A499B"/>
    <w:rsid w:val="6C5D5B4B"/>
    <w:rsid w:val="6CB04161"/>
    <w:rsid w:val="6D452F22"/>
    <w:rsid w:val="6DF170E3"/>
    <w:rsid w:val="6DF352BD"/>
    <w:rsid w:val="6E54333B"/>
    <w:rsid w:val="6E8E16E6"/>
    <w:rsid w:val="6F597A10"/>
    <w:rsid w:val="6F8561D3"/>
    <w:rsid w:val="6FF627F9"/>
    <w:rsid w:val="705E3E6D"/>
    <w:rsid w:val="7121017E"/>
    <w:rsid w:val="71A01FCC"/>
    <w:rsid w:val="71C1048A"/>
    <w:rsid w:val="71C32FE3"/>
    <w:rsid w:val="72341F66"/>
    <w:rsid w:val="72783DCD"/>
    <w:rsid w:val="72B666A4"/>
    <w:rsid w:val="7396188C"/>
    <w:rsid w:val="73F35F5B"/>
    <w:rsid w:val="749D7B1B"/>
    <w:rsid w:val="74C73AA1"/>
    <w:rsid w:val="7529415D"/>
    <w:rsid w:val="756B1F1D"/>
    <w:rsid w:val="761D4CE8"/>
    <w:rsid w:val="78054C6E"/>
    <w:rsid w:val="78931961"/>
    <w:rsid w:val="789B25C4"/>
    <w:rsid w:val="78B31BDF"/>
    <w:rsid w:val="794C1B10"/>
    <w:rsid w:val="79C04582"/>
    <w:rsid w:val="7A982D4B"/>
    <w:rsid w:val="7B827A6B"/>
    <w:rsid w:val="7BE349AD"/>
    <w:rsid w:val="7CB2612E"/>
    <w:rsid w:val="7CF46746"/>
    <w:rsid w:val="7D1F0DA2"/>
    <w:rsid w:val="7E916E85"/>
    <w:rsid w:val="7F477001"/>
    <w:rsid w:val="7F631961"/>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4487</Words>
  <Characters>4936</Characters>
  <Lines>0</Lines>
  <Paragraphs>0</Paragraphs>
  <TotalTime>2</TotalTime>
  <ScaleCrop>false</ScaleCrop>
  <LinksUpToDate>false</LinksUpToDate>
  <CharactersWithSpaces>5474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2022-07-05T03:39:00Z</cp:lastPrinted>
  <dcterms:modified xsi:type="dcterms:W3CDTF">2022-10-17T06:27:13Z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86C911031B7D4654A92CD30A9A93ED80</vt:lpwstr>
  </property>
</Properties>
</file>