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hint="eastAsia" w:ascii="黑体" w:hAnsi="黑体" w:eastAsia="黑体" w:cs="黑体"/>
          <w:bCs/>
          <w:sz w:val="32"/>
          <w:szCs w:val="32"/>
        </w:rPr>
      </w:pPr>
      <w:r>
        <w:rPr>
          <w:rFonts w:hint="eastAsia" w:ascii="黑体" w:hAnsi="黑体" w:eastAsia="黑体" w:cs="黑体"/>
          <w:bCs/>
          <w:sz w:val="32"/>
          <w:szCs w:val="32"/>
        </w:rPr>
        <w:t>附件2-1</w:t>
      </w:r>
    </w:p>
    <w:p>
      <w:pPr>
        <w:spacing w:line="348" w:lineRule="auto"/>
        <w:jc w:val="center"/>
        <w:rPr>
          <w:rFonts w:hint="eastAsia" w:eastAsia="方正小标宋简体"/>
          <w:bCs/>
          <w:sz w:val="42"/>
          <w:szCs w:val="42"/>
        </w:rPr>
      </w:pPr>
    </w:p>
    <w:p>
      <w:pPr>
        <w:spacing w:line="800" w:lineRule="exact"/>
        <w:jc w:val="center"/>
        <w:rPr>
          <w:rFonts w:hint="eastAsia" w:eastAsia="方正小标宋简体"/>
          <w:bCs/>
          <w:sz w:val="46"/>
          <w:szCs w:val="46"/>
        </w:rPr>
      </w:pPr>
      <w:r>
        <w:rPr>
          <w:rFonts w:hint="eastAsia" w:eastAsia="方正小标宋简体"/>
          <w:bCs/>
          <w:sz w:val="46"/>
          <w:szCs w:val="46"/>
          <w:lang w:eastAsia="zh-CN"/>
        </w:rPr>
        <w:t>华容县</w:t>
      </w:r>
      <w:r>
        <w:rPr>
          <w:rFonts w:hint="eastAsia" w:eastAsia="方正小标宋简体"/>
          <w:bCs/>
          <w:sz w:val="46"/>
          <w:szCs w:val="46"/>
        </w:rPr>
        <w:t>20</w:t>
      </w:r>
      <w:r>
        <w:rPr>
          <w:rFonts w:hint="eastAsia" w:eastAsia="方正小标宋简体"/>
          <w:bCs/>
          <w:sz w:val="46"/>
          <w:szCs w:val="46"/>
          <w:lang w:val="en-US" w:eastAsia="zh-CN"/>
        </w:rPr>
        <w:t>21</w:t>
      </w:r>
      <w:r>
        <w:rPr>
          <w:rFonts w:hint="eastAsia" w:eastAsia="方正小标宋简体"/>
          <w:bCs/>
          <w:sz w:val="46"/>
          <w:szCs w:val="46"/>
        </w:rPr>
        <w:t>年度部门整体支出</w:t>
      </w:r>
    </w:p>
    <w:p>
      <w:pPr>
        <w:spacing w:line="800" w:lineRule="exact"/>
        <w:jc w:val="center"/>
        <w:rPr>
          <w:rFonts w:hint="eastAsia" w:eastAsia="方正小标宋简体"/>
          <w:bCs/>
          <w:sz w:val="46"/>
          <w:szCs w:val="46"/>
        </w:rPr>
      </w:pPr>
      <w:r>
        <w:rPr>
          <w:rFonts w:hint="eastAsia" w:eastAsia="方正小标宋简体"/>
          <w:bCs/>
          <w:sz w:val="46"/>
          <w:szCs w:val="46"/>
        </w:rPr>
        <w:t>绩效评价自评报告</w:t>
      </w:r>
    </w:p>
    <w:p>
      <w:pPr>
        <w:rPr>
          <w:rFonts w:hint="eastAsia" w:eastAsia="仿宋_GB2312"/>
          <w:b/>
          <w:sz w:val="32"/>
        </w:rPr>
      </w:pPr>
    </w:p>
    <w:p>
      <w:pPr>
        <w:rPr>
          <w:rFonts w:hint="eastAsia" w:eastAsia="仿宋_GB2312"/>
          <w:b/>
          <w:sz w:val="32"/>
        </w:rPr>
      </w:pPr>
    </w:p>
    <w:p>
      <w:pPr>
        <w:rPr>
          <w:rFonts w:hint="eastAsia" w:eastAsia="仿宋_GB2312"/>
          <w:b/>
          <w:sz w:val="32"/>
        </w:rPr>
      </w:pPr>
    </w:p>
    <w:p>
      <w:pPr>
        <w:spacing w:before="301" w:beforeLines="50" w:line="348" w:lineRule="auto"/>
        <w:ind w:firstLine="476" w:firstLineChars="150"/>
        <w:rPr>
          <w:rFonts w:hint="eastAsia" w:eastAsia="仿宋_GB2312"/>
          <w:sz w:val="32"/>
          <w:szCs w:val="32"/>
          <w:u w:val="single"/>
        </w:rPr>
      </w:pPr>
      <w:r>
        <w:rPr>
          <w:rFonts w:hint="eastAsia" w:eastAsia="仿宋_GB2312"/>
          <w:sz w:val="32"/>
          <w:szCs w:val="32"/>
        </w:rPr>
        <w:t>部门(单位)名称：</w:t>
      </w:r>
      <w:r>
        <w:rPr>
          <w:rFonts w:hint="eastAsia" w:eastAsia="仿宋_GB2312"/>
          <w:sz w:val="32"/>
          <w:szCs w:val="32"/>
          <w:u w:val="single"/>
        </w:rPr>
        <w:t xml:space="preserve">     </w:t>
      </w:r>
      <w:r>
        <w:rPr>
          <w:rFonts w:hint="eastAsia" w:eastAsia="仿宋_GB2312"/>
          <w:sz w:val="32"/>
          <w:szCs w:val="32"/>
          <w:u w:val="single"/>
          <w:lang w:val="en-US" w:eastAsia="zh-CN"/>
        </w:rPr>
        <w:t>华容县林业局汇总</w:t>
      </w:r>
      <w:r>
        <w:rPr>
          <w:rFonts w:hint="eastAsia" w:eastAsia="仿宋_GB2312"/>
          <w:sz w:val="32"/>
          <w:szCs w:val="32"/>
          <w:u w:val="single"/>
        </w:rPr>
        <w:t xml:space="preserve">                              </w:t>
      </w:r>
    </w:p>
    <w:p>
      <w:pPr>
        <w:spacing w:before="301" w:beforeLines="50" w:line="348" w:lineRule="auto"/>
        <w:ind w:firstLine="476" w:firstLineChars="150"/>
        <w:rPr>
          <w:rFonts w:hint="eastAsia" w:eastAsia="仿宋_GB2312"/>
          <w:spacing w:val="20"/>
          <w:sz w:val="32"/>
          <w:szCs w:val="32"/>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20"/>
          <w:sz w:val="32"/>
          <w:szCs w:val="32"/>
          <w:u w:val="single"/>
        </w:rPr>
        <w:t xml:space="preserve">     </w:t>
      </w:r>
      <w:r>
        <w:rPr>
          <w:rFonts w:hint="eastAsia" w:eastAsia="仿宋_GB2312"/>
          <w:spacing w:val="20"/>
          <w:sz w:val="32"/>
          <w:szCs w:val="32"/>
          <w:u w:val="single"/>
          <w:lang w:val="en-US" w:eastAsia="zh-CN"/>
        </w:rPr>
        <w:t>402</w:t>
      </w:r>
      <w:r>
        <w:rPr>
          <w:rFonts w:hint="eastAsia" w:eastAsia="仿宋_GB2312"/>
          <w:spacing w:val="20"/>
          <w:sz w:val="32"/>
          <w:szCs w:val="32"/>
          <w:u w:val="single"/>
        </w:rPr>
        <w:t xml:space="preserve">                       </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评价方式：部门（单位）绩效自评</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 xml:space="preserve">评价机构：部门（单位）评价组   </w:t>
      </w: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348" w:lineRule="auto"/>
        <w:jc w:val="center"/>
        <w:rPr>
          <w:rFonts w:hint="eastAsia" w:eastAsia="仿宋_GB2312"/>
          <w:sz w:val="32"/>
        </w:rPr>
      </w:pPr>
      <w:r>
        <w:rPr>
          <w:rFonts w:hint="eastAsia" w:eastAsia="仿宋_GB2312"/>
          <w:sz w:val="32"/>
        </w:rPr>
        <w:t xml:space="preserve">报告日期：  </w:t>
      </w:r>
      <w:r>
        <w:rPr>
          <w:rFonts w:hint="eastAsia" w:eastAsia="仿宋_GB2312"/>
          <w:sz w:val="32"/>
          <w:lang w:val="en-US" w:eastAsia="zh-CN"/>
        </w:rPr>
        <w:t>2022</w:t>
      </w:r>
      <w:r>
        <w:rPr>
          <w:rFonts w:hint="eastAsia" w:eastAsia="仿宋_GB2312"/>
          <w:sz w:val="32"/>
        </w:rPr>
        <w:t xml:space="preserve"> 年 </w:t>
      </w:r>
      <w:r>
        <w:rPr>
          <w:rFonts w:hint="eastAsia" w:eastAsia="仿宋_GB2312"/>
          <w:sz w:val="32"/>
          <w:lang w:val="en-US" w:eastAsia="zh-CN"/>
        </w:rPr>
        <w:t>6</w:t>
      </w:r>
      <w:r>
        <w:rPr>
          <w:rFonts w:hint="eastAsia" w:eastAsia="仿宋_GB2312"/>
          <w:sz w:val="32"/>
        </w:rPr>
        <w:t xml:space="preserve">  月  </w:t>
      </w:r>
      <w:r>
        <w:rPr>
          <w:rFonts w:hint="eastAsia" w:eastAsia="仿宋_GB2312"/>
          <w:sz w:val="32"/>
          <w:lang w:val="en-US" w:eastAsia="zh-CN"/>
        </w:rPr>
        <w:t>8</w:t>
      </w:r>
      <w:r>
        <w:rPr>
          <w:rFonts w:hint="eastAsia" w:eastAsia="仿宋_GB2312"/>
          <w:sz w:val="32"/>
        </w:rPr>
        <w:t xml:space="preserve"> 日</w:t>
      </w:r>
    </w:p>
    <w:p>
      <w:pPr>
        <w:autoSpaceDN w:val="0"/>
        <w:jc w:val="center"/>
        <w:textAlignment w:val="center"/>
        <w:rPr>
          <w:rFonts w:hint="eastAsia"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lang w:eastAsia="zh-CN"/>
        </w:rPr>
        <w:t>华容县</w:t>
      </w:r>
      <w:r>
        <w:rPr>
          <w:rFonts w:hint="eastAsia" w:eastAsia="仿宋_GB2312"/>
          <w:sz w:val="32"/>
        </w:rPr>
        <w:t>财政</w:t>
      </w:r>
      <w:r>
        <w:rPr>
          <w:rFonts w:hint="eastAsia" w:eastAsia="仿宋_GB2312"/>
          <w:sz w:val="32"/>
          <w:szCs w:val="32"/>
        </w:rPr>
        <w:t>局（制）</w:t>
      </w:r>
    </w:p>
    <w:tbl>
      <w:tblPr>
        <w:tblStyle w:val="7"/>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201"/>
        <w:gridCol w:w="925"/>
        <w:gridCol w:w="210"/>
        <w:gridCol w:w="1145"/>
        <w:gridCol w:w="272"/>
        <w:gridCol w:w="808"/>
        <w:gridCol w:w="1479"/>
        <w:gridCol w:w="226"/>
        <w:gridCol w:w="196"/>
        <w:gridCol w:w="259"/>
        <w:gridCol w:w="1080"/>
        <w:gridCol w:w="265"/>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561" w:type="dxa"/>
            <w:gridSpan w:val="6"/>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王芬</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3106" w:type="dxa"/>
            <w:gridSpan w:val="8"/>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13974075770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561" w:type="dxa"/>
            <w:gridSpan w:val="6"/>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133</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3106" w:type="dxa"/>
            <w:gridSpan w:val="8"/>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137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0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146" w:type="dxa"/>
            <w:gridSpan w:val="15"/>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1.贯彻执行中央和省、市有关森林生态环境建设、森林资源保护和国土绿化的方针、政策、法律、法规。</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2.研究和拟定全县林业发展战略、中长期发展规划并组织实施；组织实施全县天然林保护和退耕还林等国家重点工程；管理县级林业基金；监督全县林业资金的管理和使用。</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组织开展全县植树造林、国土绿化和封山育林工作；组织、指导植树种草等生物措施防治水土流失工作；指导全县国有林场、国有苗圃、集体林场及基层林业机构的建设和管理；指导全县林木种子、种苗、花卉管理工作。</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组织指导全县森林资源的管理；组织全县森林资源调查、动态监测和统计，审核并监督森林资源的使用；组织编制森林采伐限额，经省、市政府审核批准后监督执行；监督林木、竹林的凭证采伐与运输；组织、指导林地、林权管理并依法对应由国家和省、市批准的林地征用、占用进行初审。</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5.组织、指导全县野生动植物资源的保护和合理开发利用；指导森林和野生动植物类型的建设和管理。</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6.组织、协调、指导、监督全县森林防火工作，发布森林火灾信息；指导管理全县森林公安工作；对破坏森林资源和国家重点保护野生动植物资源的大案、要案查处工作进行指导、协调与监督；组织、指导全县森林病虫害、鼠害的防治、检疫、监测、预报。</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7.研究并提出林业产业化经营的方针政策、实施规划；研究并提出全县林业发展的经济调节意见；监管国有林业资产；审核申报重点林业建设项目；指导管理全县林业基本建设。</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8.指导各类商品林和生态林的培育。</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9.组织指导林业科技、教育和外事工作；指导全县林业队伍的建设；制定林业科技发展规划，组织重点科研项目攻关和科技成果的推广应用；统筹规划全县林业专业人才培训。</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10.负责管理局机关及直属单位的党群工作和纪检、监察工作并配合有关部门负责其审计工作，指导林业行业的精神文明建设。</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11.承办县委、县政府和上级主管部门交办的其他事项。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464"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年度主要</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8146" w:type="dxa"/>
            <w:gridSpan w:val="15"/>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1</w:t>
            </w:r>
            <w:bookmarkStart w:id="0" w:name="OLE_LINK10"/>
            <w:r>
              <w:rPr>
                <w:rFonts w:hint="eastAsia" w:ascii="仿宋_GB2312" w:hAnsi="仿宋_GB2312" w:eastAsia="仿宋_GB2312" w:cs="仿宋_GB2312"/>
                <w:color w:val="000000"/>
                <w:sz w:val="24"/>
                <w:lang w:val="en-US" w:eastAsia="zh-CN"/>
              </w:rPr>
              <w:t>.</w:t>
            </w:r>
            <w:r>
              <w:rPr>
                <w:rFonts w:hint="eastAsia" w:ascii="仿宋_GB2312" w:hAnsi="仿宋_GB2312" w:eastAsia="仿宋_GB2312" w:cs="仿宋_GB2312"/>
                <w:color w:val="000000"/>
                <w:sz w:val="24"/>
              </w:rPr>
              <w:t>狠抓乡镇绿化</w:t>
            </w:r>
            <w:r>
              <w:rPr>
                <w:rFonts w:hint="eastAsia" w:ascii="仿宋_GB2312" w:hAnsi="仿宋_GB2312" w:eastAsia="仿宋_GB2312" w:cs="仿宋_GB2312"/>
                <w:color w:val="000000"/>
                <w:sz w:val="24"/>
                <w:lang w:eastAsia="zh-CN"/>
              </w:rPr>
              <w:t>，</w:t>
            </w:r>
            <w:r>
              <w:rPr>
                <w:rFonts w:hint="eastAsia" w:ascii="仿宋_GB2312" w:hAnsi="仿宋_GB2312" w:eastAsia="仿宋_GB2312" w:cs="仿宋_GB2312"/>
                <w:color w:val="000000"/>
                <w:sz w:val="24"/>
                <w:lang w:val="en-US" w:eastAsia="zh-CN"/>
              </w:rPr>
              <w:t>乡镇造林1.2万亩，义务植树120万株。</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2.</w:t>
            </w:r>
            <w:r>
              <w:rPr>
                <w:rFonts w:hint="eastAsia" w:ascii="仿宋_GB2312" w:hAnsi="仿宋_GB2312" w:eastAsia="仿宋_GB2312" w:cs="仿宋_GB2312"/>
                <w:color w:val="000000"/>
                <w:sz w:val="24"/>
              </w:rPr>
              <w:t>保护森林资源，推进依法行政</w:t>
            </w:r>
            <w:r>
              <w:rPr>
                <w:rFonts w:hint="eastAsia" w:ascii="仿宋_GB2312" w:hAnsi="仿宋_GB2312" w:eastAsia="仿宋_GB2312" w:cs="仿宋_GB2312"/>
                <w:color w:val="000000"/>
                <w:sz w:val="24"/>
                <w:lang w:eastAsia="zh-CN"/>
              </w:rPr>
              <w:t>。</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3.</w:t>
            </w:r>
            <w:r>
              <w:rPr>
                <w:rFonts w:hint="eastAsia" w:ascii="仿宋_GB2312" w:hAnsi="仿宋_GB2312" w:eastAsia="仿宋_GB2312" w:cs="仿宋_GB2312"/>
                <w:color w:val="000000"/>
                <w:sz w:val="24"/>
              </w:rPr>
              <w:t>加强灾害防控</w:t>
            </w:r>
            <w:r>
              <w:rPr>
                <w:rFonts w:hint="eastAsia" w:ascii="仿宋_GB2312" w:hAnsi="仿宋_GB2312" w:eastAsia="仿宋_GB2312" w:cs="仿宋_GB2312"/>
                <w:color w:val="000000"/>
                <w:sz w:val="24"/>
                <w:lang w:val="en-US" w:eastAsia="zh-CN"/>
              </w:rPr>
              <w:t>及资源保护</w:t>
            </w:r>
            <w:r>
              <w:rPr>
                <w:rFonts w:hint="eastAsia" w:ascii="仿宋_GB2312" w:hAnsi="仿宋_GB2312" w:eastAsia="仿宋_GB2312" w:cs="仿宋_GB2312"/>
                <w:color w:val="000000"/>
                <w:sz w:val="24"/>
              </w:rPr>
              <w:t>。</w:t>
            </w:r>
            <w:r>
              <w:rPr>
                <w:rFonts w:hint="eastAsia" w:ascii="仿宋_GB2312" w:hAnsi="仿宋_GB2312" w:eastAsia="仿宋_GB2312" w:cs="仿宋_GB2312"/>
                <w:color w:val="000000"/>
                <w:sz w:val="24"/>
                <w:lang w:val="en-US" w:eastAsia="zh-CN"/>
              </w:rPr>
              <w:t>严格限额采伐，着力防控森林火灾和林业有害生物灾害。</w:t>
            </w:r>
          </w:p>
          <w:bookmarkEnd w:id="0"/>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4.</w:t>
            </w:r>
            <w:r>
              <w:rPr>
                <w:rFonts w:hint="eastAsia" w:ascii="仿宋_GB2312" w:hAnsi="仿宋_GB2312" w:eastAsia="仿宋_GB2312" w:cs="仿宋_GB2312"/>
                <w:color w:val="000000"/>
                <w:sz w:val="24"/>
              </w:rPr>
              <w:t>加强</w:t>
            </w:r>
            <w:r>
              <w:rPr>
                <w:rFonts w:hint="eastAsia" w:ascii="仿宋_GB2312" w:hAnsi="仿宋_GB2312" w:eastAsia="仿宋_GB2312" w:cs="仿宋_GB2312"/>
                <w:color w:val="000000"/>
                <w:sz w:val="24"/>
                <w:lang w:val="en-US" w:eastAsia="zh-CN"/>
              </w:rPr>
              <w:t>项目建设。</w:t>
            </w:r>
          </w:p>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26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年度部门（单位）总体运行情况及取得的成绩</w:t>
            </w:r>
          </w:p>
        </w:tc>
        <w:tc>
          <w:tcPr>
            <w:tcW w:w="8146" w:type="dxa"/>
            <w:gridSpan w:val="15"/>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直属单位：林业局本级、塔市国有林场、胜峰国有林场、东湖湿地管理所、湿地保护中心5个单位（木材检查站（于9月份转隶为林业事务中心）已并入林业局本级 ）。</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取得的成绩：</w:t>
            </w:r>
          </w:p>
          <w:p>
            <w:pPr>
              <w:numPr>
                <w:ilvl w:val="0"/>
                <w:numId w:val="0"/>
              </w:numPr>
              <w:autoSpaceDN w:val="0"/>
              <w:spacing w:line="320" w:lineRule="exact"/>
              <w:jc w:val="left"/>
              <w:textAlignment w:val="center"/>
              <w:rPr>
                <w:rFonts w:hint="eastAsia" w:ascii="仿宋_GB2312" w:hAnsi="仿宋_GB2312" w:eastAsia="仿宋_GB2312" w:cs="仿宋_GB2312"/>
                <w:color w:val="000000"/>
                <w:sz w:val="24"/>
                <w:lang w:val="en-US" w:eastAsia="zh-CN"/>
              </w:rPr>
            </w:pPr>
            <w:bookmarkStart w:id="1" w:name="OLE_LINK11"/>
            <w:r>
              <w:rPr>
                <w:rFonts w:hint="eastAsia" w:ascii="仿宋_GB2312" w:hAnsi="仿宋_GB2312" w:eastAsia="仿宋_GB2312" w:cs="仿宋_GB2312"/>
                <w:color w:val="000000"/>
                <w:sz w:val="24"/>
                <w:lang w:val="en-US" w:eastAsia="zh-CN"/>
              </w:rPr>
              <w:t>1.完成</w:t>
            </w:r>
            <w:r>
              <w:rPr>
                <w:rFonts w:hint="eastAsia" w:ascii="仿宋_GB2312" w:hAnsi="仿宋_GB2312" w:eastAsia="仿宋_GB2312" w:cs="仿宋_GB2312"/>
                <w:color w:val="000000"/>
                <w:sz w:val="24"/>
              </w:rPr>
              <w:t>造林</w:t>
            </w:r>
            <w:r>
              <w:rPr>
                <w:rFonts w:hint="eastAsia" w:ascii="仿宋_GB2312" w:hAnsi="仿宋_GB2312" w:eastAsia="仿宋_GB2312" w:cs="仿宋_GB2312"/>
                <w:color w:val="000000"/>
                <w:sz w:val="24"/>
                <w:lang w:val="en-US" w:eastAsia="zh-CN"/>
              </w:rPr>
              <w:t>1.2</w:t>
            </w:r>
            <w:r>
              <w:rPr>
                <w:rFonts w:hint="eastAsia" w:ascii="仿宋_GB2312" w:hAnsi="仿宋_GB2312" w:eastAsia="仿宋_GB2312" w:cs="仿宋_GB2312"/>
                <w:color w:val="000000"/>
                <w:sz w:val="24"/>
              </w:rPr>
              <w:t>万亩</w:t>
            </w:r>
            <w:r>
              <w:rPr>
                <w:rFonts w:hint="eastAsia" w:ascii="仿宋_GB2312" w:hAnsi="仿宋_GB2312" w:eastAsia="仿宋_GB2312" w:cs="仿宋_GB2312"/>
                <w:color w:val="000000"/>
                <w:sz w:val="24"/>
                <w:lang w:eastAsia="zh-CN"/>
              </w:rPr>
              <w:t>，</w:t>
            </w:r>
            <w:r>
              <w:rPr>
                <w:rFonts w:hint="eastAsia" w:ascii="仿宋_GB2312" w:hAnsi="仿宋_GB2312" w:eastAsia="仿宋_GB2312" w:cs="仿宋_GB2312"/>
                <w:color w:val="000000"/>
                <w:sz w:val="24"/>
                <w:lang w:val="en-US" w:eastAsia="zh-CN"/>
              </w:rPr>
              <w:t>义务植树121万株。</w:t>
            </w:r>
          </w:p>
          <w:p>
            <w:pPr>
              <w:numPr>
                <w:ilvl w:val="0"/>
                <w:numId w:val="0"/>
              </w:num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val="en-US" w:eastAsia="zh-CN"/>
              </w:rPr>
              <w:t>2.加强资源保护，</w:t>
            </w:r>
            <w:r>
              <w:rPr>
                <w:rFonts w:hint="eastAsia" w:ascii="仿宋_GB2312" w:hAnsi="仿宋_GB2312" w:eastAsia="仿宋_GB2312" w:cs="仿宋_GB2312"/>
                <w:color w:val="000000"/>
                <w:sz w:val="24"/>
              </w:rPr>
              <w:t>林地面积2.5万公顷，保有率100%</w:t>
            </w:r>
            <w:r>
              <w:rPr>
                <w:rFonts w:hint="eastAsia" w:ascii="仿宋_GB2312" w:hAnsi="仿宋_GB2312" w:eastAsia="仿宋_GB2312" w:cs="仿宋_GB2312"/>
                <w:color w:val="000000"/>
                <w:sz w:val="24"/>
                <w:lang w:eastAsia="zh-CN"/>
              </w:rPr>
              <w:t>。</w:t>
            </w:r>
          </w:p>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val="en-US" w:eastAsia="zh-CN"/>
              </w:rPr>
              <w:t>3.</w:t>
            </w:r>
            <w:r>
              <w:rPr>
                <w:rFonts w:hint="eastAsia" w:ascii="仿宋_GB2312" w:hAnsi="仿宋_GB2312" w:eastAsia="仿宋_GB2312" w:cs="仿宋_GB2312"/>
                <w:color w:val="000000"/>
                <w:sz w:val="24"/>
              </w:rPr>
              <w:t>森林覆盖率达到22.1</w:t>
            </w:r>
            <w:r>
              <w:rPr>
                <w:rFonts w:hint="eastAsia" w:ascii="仿宋_GB2312" w:hAnsi="仿宋_GB2312" w:eastAsia="仿宋_GB2312" w:cs="仿宋_GB2312"/>
                <w:color w:val="000000"/>
                <w:sz w:val="24"/>
                <w:lang w:val="en-US" w:eastAsia="zh-CN"/>
              </w:rPr>
              <w:t>5</w:t>
            </w:r>
            <w:r>
              <w:rPr>
                <w:rFonts w:hint="eastAsia" w:ascii="仿宋_GB2312" w:hAnsi="仿宋_GB2312" w:eastAsia="仿宋_GB2312" w:cs="仿宋_GB2312"/>
                <w:color w:val="000000"/>
                <w:sz w:val="24"/>
              </w:rPr>
              <w:t>%</w:t>
            </w:r>
            <w:r>
              <w:rPr>
                <w:rFonts w:hint="eastAsia" w:ascii="仿宋_GB2312" w:hAnsi="仿宋_GB2312" w:eastAsia="仿宋_GB2312" w:cs="仿宋_GB2312"/>
                <w:color w:val="000000"/>
                <w:sz w:val="24"/>
                <w:lang w:eastAsia="zh-CN"/>
              </w:rPr>
              <w:t>。</w:t>
            </w:r>
          </w:p>
          <w:p>
            <w:pPr>
              <w:numPr>
                <w:ilvl w:val="0"/>
                <w:numId w:val="0"/>
              </w:num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val="en-US" w:eastAsia="zh-CN"/>
              </w:rPr>
              <w:t>4.</w:t>
            </w:r>
            <w:r>
              <w:rPr>
                <w:rFonts w:hint="eastAsia" w:ascii="仿宋_GB2312" w:hAnsi="仿宋_GB2312" w:eastAsia="仿宋_GB2312" w:cs="仿宋_GB2312"/>
                <w:color w:val="000000"/>
                <w:sz w:val="24"/>
              </w:rPr>
              <w:t>森林蓄积量增长率稳定在4.%以上</w:t>
            </w:r>
            <w:r>
              <w:rPr>
                <w:rFonts w:hint="eastAsia" w:ascii="仿宋_GB2312" w:hAnsi="仿宋_GB2312" w:eastAsia="仿宋_GB2312" w:cs="仿宋_GB2312"/>
                <w:color w:val="000000"/>
                <w:sz w:val="24"/>
                <w:lang w:eastAsia="zh-CN"/>
              </w:rPr>
              <w:t>。</w:t>
            </w:r>
          </w:p>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val="en-US" w:eastAsia="zh-CN"/>
              </w:rPr>
              <w:t>5.</w:t>
            </w:r>
            <w:r>
              <w:rPr>
                <w:rFonts w:hint="eastAsia" w:ascii="仿宋_GB2312" w:hAnsi="仿宋_GB2312" w:eastAsia="仿宋_GB2312" w:cs="仿宋_GB2312"/>
                <w:color w:val="000000"/>
                <w:sz w:val="24"/>
              </w:rPr>
              <w:t>森林火灾受害率控制在</w:t>
            </w:r>
            <w:r>
              <w:rPr>
                <w:rFonts w:hint="eastAsia" w:ascii="仿宋_GB2312" w:hAnsi="仿宋_GB2312" w:eastAsia="仿宋_GB2312" w:cs="仿宋_GB2312"/>
                <w:color w:val="000000"/>
                <w:sz w:val="24"/>
                <w:lang w:val="en-US" w:eastAsia="zh-CN"/>
              </w:rPr>
              <w:t>0.9</w:t>
            </w:r>
            <w:r>
              <w:rPr>
                <w:rFonts w:hint="eastAsia" w:ascii="仿宋_GB2312" w:hAnsi="仿宋_GB2312" w:eastAsia="仿宋_GB2312" w:cs="仿宋_GB2312"/>
                <w:color w:val="000000"/>
                <w:sz w:val="24"/>
              </w:rPr>
              <w:t>‰以内</w:t>
            </w:r>
            <w:r>
              <w:rPr>
                <w:rFonts w:hint="eastAsia" w:ascii="仿宋_GB2312" w:hAnsi="仿宋_GB2312" w:eastAsia="仿宋_GB2312" w:cs="仿宋_GB2312"/>
                <w:color w:val="000000"/>
                <w:sz w:val="24"/>
                <w:lang w:eastAsia="zh-CN"/>
              </w:rPr>
              <w:t>。</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6.</w:t>
            </w:r>
            <w:r>
              <w:rPr>
                <w:rFonts w:hint="eastAsia" w:ascii="仿宋_GB2312" w:hAnsi="仿宋_GB2312" w:eastAsia="仿宋_GB2312" w:cs="仿宋_GB2312"/>
                <w:color w:val="000000"/>
                <w:sz w:val="24"/>
              </w:rPr>
              <w:t>林业有害生物成灾率控制在</w:t>
            </w:r>
            <w:r>
              <w:rPr>
                <w:rFonts w:hint="eastAsia" w:ascii="仿宋_GB2312" w:hAnsi="仿宋_GB2312" w:eastAsia="仿宋_GB2312" w:cs="仿宋_GB2312"/>
                <w:color w:val="000000"/>
                <w:sz w:val="24"/>
                <w:lang w:val="en-US" w:eastAsia="zh-CN"/>
              </w:rPr>
              <w:t>3.3</w:t>
            </w:r>
            <w:r>
              <w:rPr>
                <w:rFonts w:hint="eastAsia" w:ascii="仿宋_GB2312" w:hAnsi="仿宋_GB2312" w:eastAsia="仿宋_GB2312" w:cs="仿宋_GB2312"/>
                <w:color w:val="000000"/>
                <w:sz w:val="24"/>
              </w:rPr>
              <w:t>‰以内。</w:t>
            </w:r>
            <w:bookmarkEnd w:id="1"/>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7.完成项目建设。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855" w:type="dxa"/>
            <w:gridSpan w:val="3"/>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925"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014" w:hRule="atLeast"/>
          <w:jc w:val="center"/>
        </w:trPr>
        <w:tc>
          <w:tcPr>
            <w:tcW w:w="1855" w:type="dxa"/>
            <w:gridSpan w:val="3"/>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25"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5"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72" w:hRule="atLeast"/>
          <w:jc w:val="center"/>
        </w:trPr>
        <w:tc>
          <w:tcPr>
            <w:tcW w:w="1855"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局机关及二级机构汇总</w:t>
            </w:r>
          </w:p>
        </w:tc>
        <w:tc>
          <w:tcPr>
            <w:tcW w:w="925"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3935.77</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3311.48</w:t>
            </w:r>
          </w:p>
        </w:tc>
        <w:tc>
          <w:tcPr>
            <w:tcW w:w="1705"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411.20</w:t>
            </w: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1080" w:type="dxa"/>
            <w:gridSpan w:val="3"/>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213.09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855"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1</w:t>
            </w:r>
            <w:r>
              <w:rPr>
                <w:rFonts w:hint="eastAsia" w:ascii="仿宋_GB2312" w:hAnsi="仿宋_GB2312" w:eastAsia="仿宋_GB2312" w:cs="仿宋_GB2312"/>
                <w:sz w:val="24"/>
                <w:lang w:eastAsia="zh-CN"/>
              </w:rPr>
              <w:t>.</w:t>
            </w:r>
            <w:r>
              <w:rPr>
                <w:rFonts w:hint="eastAsia" w:ascii="仿宋_GB2312" w:hAnsi="仿宋_GB2312" w:eastAsia="仿宋_GB2312" w:cs="仿宋_GB2312"/>
                <w:sz w:val="24"/>
              </w:rPr>
              <w:t>局机关</w:t>
            </w:r>
          </w:p>
        </w:tc>
        <w:tc>
          <w:tcPr>
            <w:tcW w:w="925"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1845.75</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1574.35</w:t>
            </w:r>
          </w:p>
        </w:tc>
        <w:tc>
          <w:tcPr>
            <w:tcW w:w="1705"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271.4</w:t>
            </w:r>
          </w:p>
        </w:tc>
        <w:tc>
          <w:tcPr>
            <w:tcW w:w="1800" w:type="dxa"/>
            <w:gridSpan w:val="4"/>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1080" w:type="dxa"/>
            <w:gridSpan w:val="3"/>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855"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2</w:t>
            </w:r>
            <w:r>
              <w:rPr>
                <w:rFonts w:hint="eastAsia" w:ascii="仿宋_GB2312" w:hAnsi="仿宋_GB2312" w:eastAsia="仿宋_GB2312" w:cs="仿宋_GB2312"/>
                <w:sz w:val="24"/>
                <w:lang w:eastAsia="zh-CN"/>
              </w:rPr>
              <w:t>.塔市</w:t>
            </w:r>
            <w:r>
              <w:rPr>
                <w:rFonts w:hint="eastAsia" w:ascii="仿宋_GB2312" w:hAnsi="仿宋_GB2312" w:eastAsia="仿宋_GB2312" w:cs="仿宋_GB2312"/>
                <w:sz w:val="24"/>
                <w:lang w:val="en-US" w:eastAsia="zh-CN"/>
              </w:rPr>
              <w:t>国有</w:t>
            </w:r>
            <w:r>
              <w:rPr>
                <w:rFonts w:hint="eastAsia" w:ascii="仿宋_GB2312" w:hAnsi="仿宋_GB2312" w:eastAsia="仿宋_GB2312" w:cs="仿宋_GB2312"/>
                <w:sz w:val="24"/>
                <w:lang w:eastAsia="zh-CN"/>
              </w:rPr>
              <w:t>林场</w:t>
            </w:r>
          </w:p>
        </w:tc>
        <w:tc>
          <w:tcPr>
            <w:tcW w:w="925"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668.31</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668.31</w:t>
            </w:r>
          </w:p>
        </w:tc>
        <w:tc>
          <w:tcPr>
            <w:tcW w:w="1705"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108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855"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3</w:t>
            </w:r>
            <w:r>
              <w:rPr>
                <w:rFonts w:hint="eastAsia" w:ascii="仿宋_GB2312" w:hAnsi="仿宋_GB2312" w:eastAsia="仿宋_GB2312" w:cs="仿宋_GB2312"/>
                <w:sz w:val="24"/>
                <w:lang w:eastAsia="zh-CN"/>
              </w:rPr>
              <w:t>.胜峰</w:t>
            </w:r>
            <w:r>
              <w:rPr>
                <w:rFonts w:hint="eastAsia" w:ascii="仿宋_GB2312" w:hAnsi="仿宋_GB2312" w:eastAsia="仿宋_GB2312" w:cs="仿宋_GB2312"/>
                <w:sz w:val="24"/>
                <w:lang w:val="en-US" w:eastAsia="zh-CN"/>
              </w:rPr>
              <w:t>国有</w:t>
            </w:r>
            <w:r>
              <w:rPr>
                <w:rFonts w:hint="eastAsia" w:ascii="仿宋_GB2312" w:hAnsi="仿宋_GB2312" w:eastAsia="仿宋_GB2312" w:cs="仿宋_GB2312"/>
                <w:sz w:val="24"/>
                <w:lang w:eastAsia="zh-CN"/>
              </w:rPr>
              <w:t>林场</w:t>
            </w:r>
          </w:p>
        </w:tc>
        <w:tc>
          <w:tcPr>
            <w:tcW w:w="925"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495.85</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495.85</w:t>
            </w:r>
          </w:p>
        </w:tc>
        <w:tc>
          <w:tcPr>
            <w:tcW w:w="1705"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108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855" w:type="dxa"/>
            <w:gridSpan w:val="3"/>
            <w:noWrap w:val="0"/>
            <w:vAlign w:val="center"/>
          </w:tcPr>
          <w:p>
            <w:pPr>
              <w:spacing w:line="320" w:lineRule="exact"/>
              <w:rPr>
                <w:rFonts w:hint="default"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4.湿地保护中心</w:t>
            </w:r>
          </w:p>
        </w:tc>
        <w:tc>
          <w:tcPr>
            <w:tcW w:w="925"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727.96</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375.07</w:t>
            </w:r>
          </w:p>
        </w:tc>
        <w:tc>
          <w:tcPr>
            <w:tcW w:w="1705"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139.8</w:t>
            </w: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108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213.09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855" w:type="dxa"/>
            <w:gridSpan w:val="3"/>
            <w:noWrap w:val="0"/>
            <w:vAlign w:val="center"/>
          </w:tcPr>
          <w:p>
            <w:pPr>
              <w:spacing w:line="320" w:lineRule="exact"/>
              <w:rPr>
                <w:rFonts w:hint="default"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5.东湖国家湿地公园</w:t>
            </w:r>
          </w:p>
        </w:tc>
        <w:tc>
          <w:tcPr>
            <w:tcW w:w="925" w:type="dxa"/>
            <w:tcBorders>
              <w:right w:val="single" w:color="auto" w:sz="4" w:space="0"/>
            </w:tcBorders>
            <w:noWrap w:val="0"/>
            <w:vAlign w:val="center"/>
          </w:tcPr>
          <w:p>
            <w:pPr>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sz w:val="24"/>
                <w:szCs w:val="24"/>
              </w:rPr>
              <w:t>197.9</w:t>
            </w:r>
          </w:p>
        </w:tc>
        <w:tc>
          <w:tcPr>
            <w:tcW w:w="1355" w:type="dxa"/>
            <w:gridSpan w:val="2"/>
            <w:tcBorders>
              <w:left w:val="single" w:color="auto" w:sz="4" w:space="0"/>
            </w:tcBorders>
            <w:noWrap w:val="0"/>
            <w:vAlign w:val="center"/>
          </w:tcPr>
          <w:p>
            <w:pPr>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1080" w:type="dxa"/>
            <w:gridSpan w:val="2"/>
            <w:noWrap w:val="0"/>
            <w:vAlign w:val="center"/>
          </w:tcPr>
          <w:p>
            <w:pPr>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sz w:val="24"/>
                <w:szCs w:val="24"/>
              </w:rPr>
              <w:t>197.9</w:t>
            </w:r>
          </w:p>
        </w:tc>
        <w:tc>
          <w:tcPr>
            <w:tcW w:w="1705"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108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855" w:type="dxa"/>
            <w:gridSpan w:val="3"/>
            <w:vMerge w:val="restart"/>
            <w:noWrap w:val="0"/>
            <w:vAlign w:val="center"/>
          </w:tcPr>
          <w:p>
            <w:pPr>
              <w:snapToGri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925"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75" w:type="dxa"/>
            <w:gridSpan w:val="9"/>
            <w:tcBorders>
              <w:left w:val="single" w:color="auto" w:sz="4" w:space="0"/>
              <w:bottom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4"/>
            <w:tcBorders>
              <w:left w:val="single" w:color="auto" w:sz="4" w:space="0"/>
              <w:bottom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855"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925"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6"/>
            <w:tcBorders>
              <w:top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vMerge w:val="restart"/>
            <w:tcBorders>
              <w:top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3"/>
            <w:vMerge w:val="restart"/>
            <w:tcBorders>
              <w:top w:val="single" w:color="auto" w:sz="4" w:space="0"/>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855"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925"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vMerge w:val="continue"/>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1855"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925"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3935.77</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1902.72</w:t>
            </w: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1600.72</w:t>
            </w:r>
          </w:p>
        </w:tc>
        <w:tc>
          <w:tcPr>
            <w:tcW w:w="2160" w:type="dxa"/>
            <w:gridSpan w:val="4"/>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302</w:t>
            </w:r>
          </w:p>
        </w:tc>
        <w:tc>
          <w:tcPr>
            <w:tcW w:w="1080" w:type="dxa"/>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2033.05</w:t>
            </w: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855"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1</w:t>
            </w:r>
            <w:r>
              <w:rPr>
                <w:rFonts w:hint="eastAsia" w:ascii="仿宋_GB2312" w:hAnsi="仿宋_GB2312" w:eastAsia="仿宋_GB2312" w:cs="仿宋_GB2312"/>
                <w:sz w:val="24"/>
                <w:lang w:eastAsia="zh-CN"/>
              </w:rPr>
              <w:t>.</w:t>
            </w:r>
            <w:r>
              <w:rPr>
                <w:rFonts w:hint="eastAsia" w:ascii="仿宋_GB2312" w:hAnsi="仿宋_GB2312" w:eastAsia="仿宋_GB2312" w:cs="仿宋_GB2312"/>
                <w:sz w:val="24"/>
              </w:rPr>
              <w:t>局机关</w:t>
            </w:r>
          </w:p>
        </w:tc>
        <w:tc>
          <w:tcPr>
            <w:tcW w:w="925"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1845.75</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701.38</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572.32</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129.06</w:t>
            </w: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1144.37</w:t>
            </w: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855"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2</w:t>
            </w:r>
            <w:r>
              <w:rPr>
                <w:rFonts w:hint="eastAsia" w:ascii="仿宋_GB2312" w:hAnsi="仿宋_GB2312" w:eastAsia="仿宋_GB2312" w:cs="仿宋_GB2312"/>
                <w:sz w:val="24"/>
                <w:lang w:eastAsia="zh-CN"/>
              </w:rPr>
              <w:t>.塔市</w:t>
            </w:r>
            <w:r>
              <w:rPr>
                <w:rFonts w:hint="eastAsia" w:ascii="仿宋_GB2312" w:hAnsi="仿宋_GB2312" w:eastAsia="仿宋_GB2312" w:cs="仿宋_GB2312"/>
                <w:sz w:val="24"/>
                <w:lang w:val="en-US" w:eastAsia="zh-CN"/>
              </w:rPr>
              <w:t>国有</w:t>
            </w:r>
            <w:r>
              <w:rPr>
                <w:rFonts w:hint="eastAsia" w:ascii="仿宋_GB2312" w:hAnsi="仿宋_GB2312" w:eastAsia="仿宋_GB2312" w:cs="仿宋_GB2312"/>
                <w:sz w:val="24"/>
                <w:lang w:eastAsia="zh-CN"/>
              </w:rPr>
              <w:t>林场</w:t>
            </w:r>
          </w:p>
        </w:tc>
        <w:tc>
          <w:tcPr>
            <w:tcW w:w="925"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668.31</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428.96</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336.26</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92.7</w:t>
            </w: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239.35</w:t>
            </w: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855"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3</w:t>
            </w:r>
            <w:r>
              <w:rPr>
                <w:rFonts w:hint="eastAsia" w:ascii="仿宋_GB2312" w:hAnsi="仿宋_GB2312" w:eastAsia="仿宋_GB2312" w:cs="仿宋_GB2312"/>
                <w:sz w:val="24"/>
                <w:lang w:val="en-US" w:eastAsia="zh-CN"/>
              </w:rPr>
              <w:t>.</w:t>
            </w:r>
            <w:r>
              <w:rPr>
                <w:rFonts w:hint="eastAsia" w:ascii="仿宋_GB2312" w:hAnsi="仿宋_GB2312" w:eastAsia="仿宋_GB2312" w:cs="仿宋_GB2312"/>
                <w:sz w:val="24"/>
                <w:lang w:eastAsia="zh-CN"/>
              </w:rPr>
              <w:t>胜峰</w:t>
            </w:r>
            <w:r>
              <w:rPr>
                <w:rFonts w:hint="eastAsia" w:ascii="仿宋_GB2312" w:hAnsi="仿宋_GB2312" w:eastAsia="仿宋_GB2312" w:cs="仿宋_GB2312"/>
                <w:sz w:val="24"/>
                <w:lang w:val="en-US" w:eastAsia="zh-CN"/>
              </w:rPr>
              <w:t>国有</w:t>
            </w:r>
            <w:r>
              <w:rPr>
                <w:rFonts w:hint="eastAsia" w:ascii="仿宋_GB2312" w:hAnsi="仿宋_GB2312" w:eastAsia="仿宋_GB2312" w:cs="仿宋_GB2312"/>
                <w:sz w:val="24"/>
                <w:lang w:eastAsia="zh-CN"/>
              </w:rPr>
              <w:t>林场</w:t>
            </w:r>
          </w:p>
        </w:tc>
        <w:tc>
          <w:tcPr>
            <w:tcW w:w="925"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495.85</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376.31</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345.05</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31.26</w:t>
            </w: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119.54</w:t>
            </w: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855" w:type="dxa"/>
            <w:gridSpan w:val="3"/>
            <w:noWrap w:val="0"/>
            <w:vAlign w:val="center"/>
          </w:tcPr>
          <w:p>
            <w:pPr>
              <w:spacing w:line="320" w:lineRule="exact"/>
              <w:jc w:val="left"/>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4.湿地保护中心</w:t>
            </w:r>
          </w:p>
        </w:tc>
        <w:tc>
          <w:tcPr>
            <w:tcW w:w="925"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727.96</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307.17</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268.19</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38.98</w:t>
            </w: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420.79</w:t>
            </w: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855" w:type="dxa"/>
            <w:gridSpan w:val="3"/>
            <w:noWrap w:val="0"/>
            <w:vAlign w:val="center"/>
          </w:tcPr>
          <w:p>
            <w:pPr>
              <w:spacing w:line="320" w:lineRule="exact"/>
              <w:jc w:val="left"/>
              <w:rPr>
                <w:rFonts w:hint="default"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5,东湖国家湿地公园</w:t>
            </w:r>
          </w:p>
        </w:tc>
        <w:tc>
          <w:tcPr>
            <w:tcW w:w="925" w:type="dxa"/>
            <w:tcBorders>
              <w:right w:val="single" w:color="auto" w:sz="4" w:space="0"/>
            </w:tcBorders>
            <w:noWrap w:val="0"/>
            <w:vAlign w:val="center"/>
          </w:tcPr>
          <w:p>
            <w:pPr>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sz w:val="24"/>
                <w:szCs w:val="24"/>
              </w:rPr>
              <w:t>197.9</w:t>
            </w:r>
          </w:p>
        </w:tc>
        <w:tc>
          <w:tcPr>
            <w:tcW w:w="1355" w:type="dxa"/>
            <w:gridSpan w:val="2"/>
            <w:tcBorders>
              <w:left w:val="single" w:color="auto" w:sz="4" w:space="0"/>
            </w:tcBorders>
            <w:noWrap w:val="0"/>
            <w:vAlign w:val="center"/>
          </w:tcPr>
          <w:p>
            <w:pPr>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sz w:val="24"/>
                <w:szCs w:val="24"/>
              </w:rPr>
              <w:t>88.9</w:t>
            </w:r>
          </w:p>
        </w:tc>
        <w:tc>
          <w:tcPr>
            <w:tcW w:w="1080" w:type="dxa"/>
            <w:gridSpan w:val="2"/>
            <w:noWrap w:val="0"/>
            <w:vAlign w:val="center"/>
          </w:tcPr>
          <w:p>
            <w:pPr>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sz w:val="24"/>
                <w:szCs w:val="24"/>
              </w:rPr>
              <w:t>78.9</w:t>
            </w:r>
          </w:p>
        </w:tc>
        <w:tc>
          <w:tcPr>
            <w:tcW w:w="2160" w:type="dxa"/>
            <w:gridSpan w:val="4"/>
            <w:noWrap w:val="0"/>
            <w:vAlign w:val="center"/>
          </w:tcPr>
          <w:p>
            <w:pPr>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sz w:val="24"/>
                <w:szCs w:val="24"/>
              </w:rPr>
              <w:t>10</w:t>
            </w:r>
          </w:p>
        </w:tc>
        <w:tc>
          <w:tcPr>
            <w:tcW w:w="1080" w:type="dxa"/>
            <w:noWrap w:val="0"/>
            <w:vAlign w:val="center"/>
          </w:tcPr>
          <w:p>
            <w:pPr>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sz w:val="24"/>
                <w:szCs w:val="24"/>
              </w:rPr>
              <w:t>109</w:t>
            </w: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855"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925"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855"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925"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8" w:hRule="atLeast"/>
          <w:jc w:val="center"/>
        </w:trPr>
        <w:tc>
          <w:tcPr>
            <w:tcW w:w="1855"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925"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11.98</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8.62</w:t>
            </w: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3.36</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9" w:hRule="atLeast"/>
          <w:jc w:val="center"/>
        </w:trPr>
        <w:tc>
          <w:tcPr>
            <w:tcW w:w="1855"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w:t>
            </w:r>
            <w:r>
              <w:rPr>
                <w:rFonts w:hint="eastAsia" w:ascii="仿宋_GB2312" w:hAnsi="仿宋_GB2312" w:eastAsia="仿宋_GB2312" w:cs="仿宋_GB2312"/>
                <w:sz w:val="24"/>
                <w:lang w:val="en-US" w:eastAsia="zh-CN"/>
              </w:rPr>
              <w:t>.</w:t>
            </w:r>
            <w:r>
              <w:rPr>
                <w:rFonts w:hint="eastAsia" w:ascii="仿宋_GB2312" w:hAnsi="仿宋_GB2312" w:eastAsia="仿宋_GB2312" w:cs="仿宋_GB2312"/>
                <w:sz w:val="24"/>
              </w:rPr>
              <w:t>局机关</w:t>
            </w:r>
          </w:p>
        </w:tc>
        <w:tc>
          <w:tcPr>
            <w:tcW w:w="925"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4.8</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4.8</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855"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w:t>
            </w:r>
            <w:r>
              <w:rPr>
                <w:rFonts w:hint="eastAsia" w:ascii="仿宋_GB2312" w:hAnsi="仿宋_GB2312" w:eastAsia="仿宋_GB2312" w:cs="仿宋_GB2312"/>
                <w:sz w:val="24"/>
                <w:lang w:val="en-US" w:eastAsia="zh-CN"/>
              </w:rPr>
              <w:t>.</w:t>
            </w:r>
            <w:r>
              <w:rPr>
                <w:rFonts w:hint="eastAsia" w:ascii="仿宋_GB2312" w:hAnsi="仿宋_GB2312" w:eastAsia="仿宋_GB2312" w:cs="仿宋_GB2312"/>
                <w:sz w:val="24"/>
                <w:lang w:eastAsia="zh-CN"/>
              </w:rPr>
              <w:t>塔市</w:t>
            </w:r>
            <w:r>
              <w:rPr>
                <w:rFonts w:hint="eastAsia" w:ascii="仿宋_GB2312" w:hAnsi="仿宋_GB2312" w:eastAsia="仿宋_GB2312" w:cs="仿宋_GB2312"/>
                <w:sz w:val="24"/>
                <w:lang w:val="en-US" w:eastAsia="zh-CN"/>
              </w:rPr>
              <w:t>国有</w:t>
            </w:r>
            <w:r>
              <w:rPr>
                <w:rFonts w:hint="eastAsia" w:ascii="仿宋_GB2312" w:hAnsi="仿宋_GB2312" w:eastAsia="仿宋_GB2312" w:cs="仿宋_GB2312"/>
                <w:sz w:val="24"/>
                <w:lang w:eastAsia="zh-CN"/>
              </w:rPr>
              <w:t>林场</w:t>
            </w:r>
          </w:p>
        </w:tc>
        <w:tc>
          <w:tcPr>
            <w:tcW w:w="925"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3.28</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1.54</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1.74</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855"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w:t>
            </w:r>
            <w:r>
              <w:rPr>
                <w:rFonts w:hint="eastAsia" w:ascii="仿宋_GB2312" w:hAnsi="仿宋_GB2312" w:eastAsia="仿宋_GB2312" w:cs="仿宋_GB2312"/>
                <w:sz w:val="24"/>
                <w:lang w:val="en-US" w:eastAsia="zh-CN"/>
              </w:rPr>
              <w:t>.</w:t>
            </w:r>
            <w:r>
              <w:rPr>
                <w:rFonts w:hint="eastAsia" w:ascii="仿宋_GB2312" w:hAnsi="仿宋_GB2312" w:eastAsia="仿宋_GB2312" w:cs="仿宋_GB2312"/>
                <w:sz w:val="24"/>
                <w:lang w:eastAsia="zh-CN"/>
              </w:rPr>
              <w:t>胜峰</w:t>
            </w:r>
            <w:r>
              <w:rPr>
                <w:rFonts w:hint="eastAsia" w:ascii="仿宋_GB2312" w:hAnsi="仿宋_GB2312" w:eastAsia="仿宋_GB2312" w:cs="仿宋_GB2312"/>
                <w:sz w:val="24"/>
                <w:lang w:val="en-US" w:eastAsia="zh-CN"/>
              </w:rPr>
              <w:t>国有</w:t>
            </w:r>
            <w:r>
              <w:rPr>
                <w:rFonts w:hint="eastAsia" w:ascii="仿宋_GB2312" w:hAnsi="仿宋_GB2312" w:eastAsia="仿宋_GB2312" w:cs="仿宋_GB2312"/>
                <w:sz w:val="24"/>
                <w:lang w:eastAsia="zh-CN"/>
              </w:rPr>
              <w:t>林场</w:t>
            </w:r>
          </w:p>
        </w:tc>
        <w:tc>
          <w:tcPr>
            <w:tcW w:w="925"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1.35</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1.35</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855" w:type="dxa"/>
            <w:gridSpan w:val="3"/>
            <w:noWrap w:val="0"/>
            <w:vAlign w:val="center"/>
          </w:tcPr>
          <w:p>
            <w:pPr>
              <w:spacing w:line="320" w:lineRule="exact"/>
              <w:jc w:val="left"/>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4.湿地保护中心</w:t>
            </w:r>
          </w:p>
        </w:tc>
        <w:tc>
          <w:tcPr>
            <w:tcW w:w="925"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2"/>
                <w:sz w:val="24"/>
                <w:szCs w:val="24"/>
                <w:lang w:val="en-US" w:eastAsia="zh-CN" w:bidi="ar-SA"/>
              </w:rPr>
              <w:t>2.15</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2"/>
                <w:sz w:val="24"/>
                <w:szCs w:val="24"/>
                <w:lang w:val="en-US" w:eastAsia="zh-CN" w:bidi="ar-SA"/>
              </w:rPr>
              <w:t>0.53</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2"/>
                <w:sz w:val="24"/>
                <w:szCs w:val="24"/>
                <w:lang w:val="en-US" w:eastAsia="zh-CN" w:bidi="ar-SA"/>
              </w:rPr>
              <w:t>1.62</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855"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lang w:val="en-US" w:eastAsia="zh-CN"/>
              </w:rPr>
              <w:t>5.东湖国家湿地公园</w:t>
            </w:r>
          </w:p>
        </w:tc>
        <w:tc>
          <w:tcPr>
            <w:tcW w:w="925" w:type="dxa"/>
            <w:tcBorders>
              <w:right w:val="single" w:color="auto" w:sz="4" w:space="0"/>
            </w:tcBorders>
            <w:noWrap w:val="0"/>
            <w:vAlign w:val="center"/>
          </w:tcPr>
          <w:p>
            <w:pPr>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sz w:val="24"/>
                <w:szCs w:val="24"/>
              </w:rPr>
              <w:t>0.4</w:t>
            </w:r>
          </w:p>
        </w:tc>
        <w:tc>
          <w:tcPr>
            <w:tcW w:w="1355" w:type="dxa"/>
            <w:gridSpan w:val="2"/>
            <w:tcBorders>
              <w:left w:val="single" w:color="auto" w:sz="4" w:space="0"/>
            </w:tcBorders>
            <w:noWrap w:val="0"/>
            <w:vAlign w:val="center"/>
          </w:tcPr>
          <w:p>
            <w:pPr>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sz w:val="24"/>
                <w:szCs w:val="24"/>
              </w:rPr>
              <w:t>0.4</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855"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925"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1"/>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39" w:hRule="atLeast"/>
          <w:jc w:val="center"/>
        </w:trPr>
        <w:tc>
          <w:tcPr>
            <w:tcW w:w="1855"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925"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644" w:type="dxa"/>
            <w:gridSpan w:val="7"/>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1855"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925"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1392.47</w:t>
            </w:r>
          </w:p>
        </w:tc>
        <w:tc>
          <w:tcPr>
            <w:tcW w:w="2435" w:type="dxa"/>
            <w:gridSpan w:val="4"/>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1392.47</w:t>
            </w: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855"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w:t>
            </w:r>
            <w:r>
              <w:rPr>
                <w:rFonts w:hint="eastAsia" w:ascii="仿宋_GB2312" w:hAnsi="仿宋_GB2312" w:eastAsia="仿宋_GB2312" w:cs="仿宋_GB2312"/>
                <w:sz w:val="24"/>
                <w:lang w:val="en-US" w:eastAsia="zh-CN"/>
              </w:rPr>
              <w:t>.</w:t>
            </w:r>
            <w:r>
              <w:rPr>
                <w:rFonts w:hint="eastAsia" w:ascii="仿宋_GB2312" w:hAnsi="仿宋_GB2312" w:eastAsia="仿宋_GB2312" w:cs="仿宋_GB2312"/>
                <w:sz w:val="24"/>
              </w:rPr>
              <w:t>局机关</w:t>
            </w:r>
          </w:p>
        </w:tc>
        <w:tc>
          <w:tcPr>
            <w:tcW w:w="925"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724.04</w:t>
            </w:r>
          </w:p>
        </w:tc>
        <w:tc>
          <w:tcPr>
            <w:tcW w:w="2435" w:type="dxa"/>
            <w:gridSpan w:val="4"/>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724.04</w:t>
            </w: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855"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w:t>
            </w:r>
            <w:r>
              <w:rPr>
                <w:rFonts w:hint="eastAsia" w:ascii="仿宋_GB2312" w:hAnsi="仿宋_GB2312" w:eastAsia="仿宋_GB2312" w:cs="仿宋_GB2312"/>
                <w:sz w:val="24"/>
                <w:lang w:val="en-US" w:eastAsia="zh-CN"/>
              </w:rPr>
              <w:t>.</w:t>
            </w:r>
            <w:r>
              <w:rPr>
                <w:rFonts w:hint="eastAsia" w:ascii="仿宋_GB2312" w:hAnsi="仿宋_GB2312" w:eastAsia="仿宋_GB2312" w:cs="仿宋_GB2312"/>
                <w:sz w:val="24"/>
                <w:lang w:eastAsia="zh-CN"/>
              </w:rPr>
              <w:t>塔市</w:t>
            </w:r>
            <w:r>
              <w:rPr>
                <w:rFonts w:hint="eastAsia" w:ascii="仿宋_GB2312" w:hAnsi="仿宋_GB2312" w:eastAsia="仿宋_GB2312" w:cs="仿宋_GB2312"/>
                <w:sz w:val="24"/>
                <w:lang w:val="en-US" w:eastAsia="zh-CN"/>
              </w:rPr>
              <w:t>国有</w:t>
            </w:r>
            <w:r>
              <w:rPr>
                <w:rFonts w:hint="eastAsia" w:ascii="仿宋_GB2312" w:hAnsi="仿宋_GB2312" w:eastAsia="仿宋_GB2312" w:cs="仿宋_GB2312"/>
                <w:sz w:val="24"/>
                <w:lang w:eastAsia="zh-CN"/>
              </w:rPr>
              <w:t>林场</w:t>
            </w:r>
          </w:p>
        </w:tc>
        <w:tc>
          <w:tcPr>
            <w:tcW w:w="925"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111.89</w:t>
            </w: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111.89</w:t>
            </w: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855"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w:t>
            </w:r>
            <w:r>
              <w:rPr>
                <w:rFonts w:hint="eastAsia" w:ascii="仿宋_GB2312" w:hAnsi="仿宋_GB2312" w:eastAsia="仿宋_GB2312" w:cs="仿宋_GB2312"/>
                <w:sz w:val="24"/>
                <w:lang w:val="en-US" w:eastAsia="zh-CN"/>
              </w:rPr>
              <w:t>.</w:t>
            </w:r>
            <w:r>
              <w:rPr>
                <w:rFonts w:hint="eastAsia" w:ascii="仿宋_GB2312" w:hAnsi="仿宋_GB2312" w:eastAsia="仿宋_GB2312" w:cs="仿宋_GB2312"/>
                <w:sz w:val="24"/>
                <w:lang w:eastAsia="zh-CN"/>
              </w:rPr>
              <w:t>胜峰</w:t>
            </w:r>
            <w:r>
              <w:rPr>
                <w:rFonts w:hint="eastAsia" w:ascii="仿宋_GB2312" w:hAnsi="仿宋_GB2312" w:eastAsia="仿宋_GB2312" w:cs="仿宋_GB2312"/>
                <w:sz w:val="24"/>
                <w:lang w:val="en-US" w:eastAsia="zh-CN"/>
              </w:rPr>
              <w:t>国有</w:t>
            </w:r>
            <w:r>
              <w:rPr>
                <w:rFonts w:hint="eastAsia" w:ascii="仿宋_GB2312" w:hAnsi="仿宋_GB2312" w:eastAsia="仿宋_GB2312" w:cs="仿宋_GB2312"/>
                <w:sz w:val="24"/>
                <w:lang w:eastAsia="zh-CN"/>
              </w:rPr>
              <w:t>林场</w:t>
            </w:r>
          </w:p>
        </w:tc>
        <w:tc>
          <w:tcPr>
            <w:tcW w:w="925"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429.99</w:t>
            </w: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429.99</w:t>
            </w: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855"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lang w:val="en-US" w:eastAsia="zh-CN"/>
              </w:rPr>
              <w:t>4.湿地保护中心</w:t>
            </w:r>
          </w:p>
        </w:tc>
        <w:tc>
          <w:tcPr>
            <w:tcW w:w="925"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65.15</w:t>
            </w: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65.15</w:t>
            </w: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855"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lang w:val="en-US" w:eastAsia="zh-CN"/>
              </w:rPr>
              <w:t>5.东湖国家湿地公园</w:t>
            </w:r>
          </w:p>
        </w:tc>
        <w:tc>
          <w:tcPr>
            <w:tcW w:w="925" w:type="dxa"/>
            <w:tcBorders>
              <w:right w:val="single" w:color="auto" w:sz="4" w:space="0"/>
            </w:tcBorders>
            <w:noWrap w:val="0"/>
            <w:vAlign w:val="center"/>
          </w:tcPr>
          <w:p>
            <w:pPr>
              <w:spacing w:line="240" w:lineRule="atLeast"/>
              <w:jc w:val="center"/>
              <w:textAlignment w:val="center"/>
              <w:rPr>
                <w:rFonts w:hint="eastAsia" w:ascii="仿宋_GB2312" w:hAnsi="仿宋_GB2312" w:eastAsia="仿宋_GB2312" w:cs="仿宋_GB2312"/>
                <w:color w:val="000000"/>
                <w:sz w:val="24"/>
              </w:rPr>
            </w:pPr>
            <w:r>
              <w:rPr>
                <w:rFonts w:hint="eastAsia" w:ascii="仿宋_GB2312" w:hAnsi="仿宋_GB2312"/>
                <w:sz w:val="24"/>
                <w:szCs w:val="24"/>
              </w:rPr>
              <w:t>61.4</w:t>
            </w:r>
          </w:p>
        </w:tc>
        <w:tc>
          <w:tcPr>
            <w:tcW w:w="2435" w:type="dxa"/>
            <w:gridSpan w:val="4"/>
            <w:tcBorders>
              <w:left w:val="single" w:color="auto" w:sz="4" w:space="0"/>
            </w:tcBorders>
            <w:noWrap w:val="0"/>
            <w:vAlign w:val="center"/>
          </w:tcPr>
          <w:p>
            <w:pPr>
              <w:spacing w:line="240" w:lineRule="atLeast"/>
              <w:jc w:val="center"/>
              <w:textAlignment w:val="center"/>
              <w:rPr>
                <w:rFonts w:hint="eastAsia" w:ascii="仿宋_GB2312" w:hAnsi="仿宋_GB2312" w:eastAsia="仿宋_GB2312" w:cs="仿宋_GB2312"/>
                <w:color w:val="000000"/>
                <w:sz w:val="24"/>
              </w:rPr>
            </w:pPr>
            <w:r>
              <w:rPr>
                <w:rFonts w:hint="eastAsia" w:ascii="仿宋_GB2312" w:hAnsi="仿宋_GB2312"/>
                <w:sz w:val="24"/>
                <w:szCs w:val="24"/>
              </w:rPr>
              <w:t>61.4</w:t>
            </w: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377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4585" w:type="dxa"/>
            <w:gridSpan w:val="9"/>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90"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3774" w:type="dxa"/>
            <w:gridSpan w:val="7"/>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1</w:t>
            </w:r>
            <w:bookmarkStart w:id="2" w:name="OLE_LINK3"/>
            <w:r>
              <w:rPr>
                <w:rFonts w:hint="eastAsia" w:ascii="仿宋_GB2312" w:hAnsi="仿宋_GB2312" w:eastAsia="仿宋_GB2312" w:cs="仿宋_GB2312"/>
                <w:color w:val="000000"/>
                <w:sz w:val="24"/>
                <w:lang w:eastAsia="zh-CN"/>
              </w:rPr>
              <w:t>.</w:t>
            </w:r>
            <w:r>
              <w:rPr>
                <w:rFonts w:hint="eastAsia" w:ascii="仿宋_GB2312" w:hAnsi="仿宋_GB2312" w:eastAsia="仿宋_GB2312" w:cs="仿宋_GB2312"/>
                <w:color w:val="000000"/>
                <w:sz w:val="24"/>
              </w:rPr>
              <w:t>狠抓乡镇绿化</w:t>
            </w:r>
            <w:r>
              <w:rPr>
                <w:rFonts w:hint="eastAsia" w:ascii="仿宋_GB2312" w:hAnsi="仿宋_GB2312" w:eastAsia="仿宋_GB2312" w:cs="仿宋_GB2312"/>
                <w:color w:val="000000"/>
                <w:sz w:val="24"/>
                <w:lang w:eastAsia="zh-CN"/>
              </w:rPr>
              <w:t>，</w:t>
            </w:r>
            <w:r>
              <w:rPr>
                <w:rFonts w:hint="eastAsia" w:ascii="仿宋_GB2312" w:hAnsi="仿宋_GB2312" w:eastAsia="仿宋_GB2312" w:cs="仿宋_GB2312"/>
                <w:color w:val="000000"/>
                <w:sz w:val="24"/>
                <w:lang w:val="en-US" w:eastAsia="zh-CN"/>
              </w:rPr>
              <w:t>乡镇造林1.2万亩，义务植树120万株。</w:t>
            </w:r>
          </w:p>
          <w:bookmarkEnd w:id="2"/>
          <w:p>
            <w:pPr>
              <w:autoSpaceDN w:val="0"/>
              <w:spacing w:line="320" w:lineRule="exact"/>
              <w:jc w:val="left"/>
              <w:textAlignment w:val="center"/>
              <w:rPr>
                <w:rFonts w:hint="eastAsia" w:ascii="仿宋_GB2312" w:hAnsi="仿宋_GB2312" w:eastAsia="仿宋_GB2312" w:cs="仿宋_GB2312"/>
                <w:color w:val="000000"/>
                <w:sz w:val="24"/>
              </w:rPr>
            </w:pPr>
            <w:bookmarkStart w:id="3" w:name="OLE_LINK4"/>
            <w:r>
              <w:rPr>
                <w:rFonts w:hint="eastAsia" w:ascii="仿宋_GB2312" w:hAnsi="仿宋_GB2312" w:eastAsia="仿宋_GB2312" w:cs="仿宋_GB2312"/>
                <w:color w:val="000000"/>
                <w:sz w:val="24"/>
                <w:lang w:val="en-US" w:eastAsia="zh-CN"/>
              </w:rPr>
              <w:t>2.</w:t>
            </w:r>
            <w:r>
              <w:rPr>
                <w:rFonts w:hint="eastAsia" w:ascii="仿宋_GB2312" w:hAnsi="仿宋_GB2312" w:eastAsia="仿宋_GB2312" w:cs="仿宋_GB2312"/>
                <w:color w:val="000000"/>
                <w:sz w:val="24"/>
              </w:rPr>
              <w:t>保护森林资源，推进依法行政</w:t>
            </w:r>
            <w:r>
              <w:rPr>
                <w:rFonts w:hint="eastAsia" w:ascii="仿宋_GB2312" w:hAnsi="仿宋_GB2312" w:eastAsia="仿宋_GB2312" w:cs="仿宋_GB2312"/>
                <w:color w:val="000000"/>
                <w:sz w:val="24"/>
                <w:lang w:eastAsia="zh-CN"/>
              </w:rPr>
              <w:t>。</w:t>
            </w:r>
          </w:p>
          <w:bookmarkEnd w:id="3"/>
          <w:p>
            <w:pPr>
              <w:autoSpaceDN w:val="0"/>
              <w:spacing w:line="320" w:lineRule="exact"/>
              <w:jc w:val="left"/>
              <w:textAlignment w:val="center"/>
              <w:rPr>
                <w:rFonts w:hint="eastAsia" w:ascii="仿宋_GB2312" w:hAnsi="仿宋_GB2312" w:eastAsia="仿宋_GB2312" w:cs="仿宋_GB2312"/>
                <w:color w:val="000000"/>
                <w:sz w:val="24"/>
              </w:rPr>
            </w:pPr>
            <w:bookmarkStart w:id="4" w:name="OLE_LINK5"/>
            <w:r>
              <w:rPr>
                <w:rFonts w:hint="eastAsia" w:ascii="仿宋_GB2312" w:hAnsi="仿宋_GB2312" w:eastAsia="仿宋_GB2312" w:cs="仿宋_GB2312"/>
                <w:color w:val="000000"/>
                <w:sz w:val="24"/>
                <w:lang w:val="en-US" w:eastAsia="zh-CN"/>
              </w:rPr>
              <w:t>3.</w:t>
            </w:r>
            <w:r>
              <w:rPr>
                <w:rFonts w:hint="eastAsia" w:ascii="仿宋_GB2312" w:hAnsi="仿宋_GB2312" w:eastAsia="仿宋_GB2312" w:cs="仿宋_GB2312"/>
                <w:color w:val="000000"/>
                <w:sz w:val="24"/>
              </w:rPr>
              <w:t>加强灾害防控</w:t>
            </w:r>
            <w:r>
              <w:rPr>
                <w:rFonts w:hint="eastAsia" w:ascii="仿宋_GB2312" w:hAnsi="仿宋_GB2312" w:eastAsia="仿宋_GB2312" w:cs="仿宋_GB2312"/>
                <w:color w:val="000000"/>
                <w:sz w:val="24"/>
                <w:lang w:val="en-US" w:eastAsia="zh-CN"/>
              </w:rPr>
              <w:t>及资源保护</w:t>
            </w:r>
            <w:r>
              <w:rPr>
                <w:rFonts w:hint="eastAsia" w:ascii="仿宋_GB2312" w:hAnsi="仿宋_GB2312" w:eastAsia="仿宋_GB2312" w:cs="仿宋_GB2312"/>
                <w:color w:val="000000"/>
                <w:sz w:val="24"/>
              </w:rPr>
              <w:t>。</w:t>
            </w:r>
            <w:r>
              <w:rPr>
                <w:rFonts w:hint="eastAsia" w:ascii="仿宋_GB2312" w:hAnsi="仿宋_GB2312" w:eastAsia="仿宋_GB2312" w:cs="仿宋_GB2312"/>
                <w:color w:val="000000"/>
                <w:sz w:val="24"/>
                <w:lang w:val="en-US" w:eastAsia="zh-CN"/>
              </w:rPr>
              <w:t>严格限额采伐，着力防控森林火灾和林业有害生物灾害。</w:t>
            </w:r>
            <w:bookmarkEnd w:id="4"/>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tc>
        <w:tc>
          <w:tcPr>
            <w:tcW w:w="4585" w:type="dxa"/>
            <w:gridSpan w:val="9"/>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1.完成</w:t>
            </w:r>
            <w:r>
              <w:rPr>
                <w:rFonts w:hint="eastAsia" w:ascii="仿宋_GB2312" w:hAnsi="仿宋_GB2312" w:eastAsia="仿宋_GB2312" w:cs="仿宋_GB2312"/>
                <w:color w:val="000000"/>
                <w:sz w:val="24"/>
              </w:rPr>
              <w:t>造林</w:t>
            </w:r>
            <w:r>
              <w:rPr>
                <w:rFonts w:hint="eastAsia" w:ascii="仿宋_GB2312" w:hAnsi="仿宋_GB2312" w:eastAsia="仿宋_GB2312" w:cs="仿宋_GB2312"/>
                <w:color w:val="000000"/>
                <w:sz w:val="24"/>
                <w:lang w:val="en-US" w:eastAsia="zh-CN"/>
              </w:rPr>
              <w:t>1.2</w:t>
            </w:r>
            <w:r>
              <w:rPr>
                <w:rFonts w:hint="eastAsia" w:ascii="仿宋_GB2312" w:hAnsi="仿宋_GB2312" w:eastAsia="仿宋_GB2312" w:cs="仿宋_GB2312"/>
                <w:color w:val="000000"/>
                <w:sz w:val="24"/>
              </w:rPr>
              <w:t>万亩</w:t>
            </w:r>
            <w:r>
              <w:rPr>
                <w:rFonts w:hint="eastAsia" w:ascii="仿宋_GB2312" w:hAnsi="仿宋_GB2312" w:eastAsia="仿宋_GB2312" w:cs="仿宋_GB2312"/>
                <w:color w:val="000000"/>
                <w:sz w:val="24"/>
                <w:lang w:eastAsia="zh-CN"/>
              </w:rPr>
              <w:t>，</w:t>
            </w:r>
            <w:r>
              <w:rPr>
                <w:rFonts w:hint="eastAsia" w:ascii="仿宋_GB2312" w:hAnsi="仿宋_GB2312" w:eastAsia="仿宋_GB2312" w:cs="仿宋_GB2312"/>
                <w:color w:val="000000"/>
                <w:sz w:val="24"/>
                <w:lang w:val="en-US" w:eastAsia="zh-CN"/>
              </w:rPr>
              <w:t>义务植树121万株。</w:t>
            </w:r>
          </w:p>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val="en-US" w:eastAsia="zh-CN"/>
              </w:rPr>
              <w:t>2.加强资源保护，</w:t>
            </w:r>
            <w:r>
              <w:rPr>
                <w:rFonts w:hint="eastAsia" w:ascii="仿宋_GB2312" w:hAnsi="仿宋_GB2312" w:eastAsia="仿宋_GB2312" w:cs="仿宋_GB2312"/>
                <w:color w:val="000000"/>
                <w:sz w:val="24"/>
              </w:rPr>
              <w:t>林地面积2.5万公顷，保有率100%</w:t>
            </w:r>
            <w:r>
              <w:rPr>
                <w:rFonts w:hint="eastAsia" w:ascii="仿宋_GB2312" w:hAnsi="仿宋_GB2312" w:eastAsia="仿宋_GB2312" w:cs="仿宋_GB2312"/>
                <w:color w:val="000000"/>
                <w:sz w:val="24"/>
                <w:lang w:eastAsia="zh-CN"/>
              </w:rPr>
              <w:t>。</w:t>
            </w:r>
          </w:p>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val="en-US" w:eastAsia="zh-CN"/>
              </w:rPr>
              <w:t>3.</w:t>
            </w:r>
            <w:r>
              <w:rPr>
                <w:rFonts w:hint="eastAsia" w:ascii="仿宋_GB2312" w:hAnsi="仿宋_GB2312" w:eastAsia="仿宋_GB2312" w:cs="仿宋_GB2312"/>
                <w:color w:val="000000"/>
                <w:sz w:val="24"/>
              </w:rPr>
              <w:t>森林覆盖率达到22.1</w:t>
            </w:r>
            <w:r>
              <w:rPr>
                <w:rFonts w:hint="eastAsia" w:ascii="仿宋_GB2312" w:hAnsi="仿宋_GB2312" w:eastAsia="仿宋_GB2312" w:cs="仿宋_GB2312"/>
                <w:color w:val="000000"/>
                <w:sz w:val="24"/>
                <w:lang w:val="en-US" w:eastAsia="zh-CN"/>
              </w:rPr>
              <w:t>5</w:t>
            </w:r>
            <w:r>
              <w:rPr>
                <w:rFonts w:hint="eastAsia" w:ascii="仿宋_GB2312" w:hAnsi="仿宋_GB2312" w:eastAsia="仿宋_GB2312" w:cs="仿宋_GB2312"/>
                <w:color w:val="000000"/>
                <w:sz w:val="24"/>
              </w:rPr>
              <w:t>%</w:t>
            </w:r>
            <w:r>
              <w:rPr>
                <w:rFonts w:hint="eastAsia" w:ascii="仿宋_GB2312" w:hAnsi="仿宋_GB2312" w:eastAsia="仿宋_GB2312" w:cs="仿宋_GB2312"/>
                <w:color w:val="000000"/>
                <w:sz w:val="24"/>
                <w:lang w:eastAsia="zh-CN"/>
              </w:rPr>
              <w:t>。</w:t>
            </w:r>
          </w:p>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val="en-US" w:eastAsia="zh-CN"/>
              </w:rPr>
              <w:t>4.</w:t>
            </w:r>
            <w:r>
              <w:rPr>
                <w:rFonts w:hint="eastAsia" w:ascii="仿宋_GB2312" w:hAnsi="仿宋_GB2312" w:eastAsia="仿宋_GB2312" w:cs="仿宋_GB2312"/>
                <w:color w:val="000000"/>
                <w:sz w:val="24"/>
              </w:rPr>
              <w:t>森林蓄积量增长率稳定在4.</w:t>
            </w:r>
            <w:r>
              <w:rPr>
                <w:rFonts w:hint="eastAsia" w:ascii="仿宋_GB2312" w:hAnsi="仿宋_GB2312" w:eastAsia="仿宋_GB2312" w:cs="仿宋_GB2312"/>
                <w:color w:val="000000"/>
                <w:sz w:val="24"/>
                <w:lang w:val="en-US" w:eastAsia="zh-CN"/>
              </w:rPr>
              <w:t>0</w:t>
            </w:r>
            <w:r>
              <w:rPr>
                <w:rFonts w:hint="eastAsia" w:ascii="仿宋_GB2312" w:hAnsi="仿宋_GB2312" w:eastAsia="仿宋_GB2312" w:cs="仿宋_GB2312"/>
                <w:color w:val="000000"/>
                <w:sz w:val="24"/>
              </w:rPr>
              <w:t>%以上</w:t>
            </w:r>
            <w:r>
              <w:rPr>
                <w:rFonts w:hint="eastAsia" w:ascii="仿宋_GB2312" w:hAnsi="仿宋_GB2312" w:eastAsia="仿宋_GB2312" w:cs="仿宋_GB2312"/>
                <w:color w:val="000000"/>
                <w:sz w:val="24"/>
                <w:lang w:eastAsia="zh-CN"/>
              </w:rPr>
              <w:t>。</w:t>
            </w:r>
          </w:p>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val="en-US" w:eastAsia="zh-CN"/>
              </w:rPr>
              <w:t>5.</w:t>
            </w:r>
            <w:r>
              <w:rPr>
                <w:rFonts w:hint="eastAsia" w:ascii="仿宋_GB2312" w:hAnsi="仿宋_GB2312" w:eastAsia="仿宋_GB2312" w:cs="仿宋_GB2312"/>
                <w:color w:val="000000"/>
                <w:sz w:val="24"/>
              </w:rPr>
              <w:t>森林火灾受害率控制在</w:t>
            </w:r>
            <w:r>
              <w:rPr>
                <w:rFonts w:hint="eastAsia" w:ascii="仿宋_GB2312" w:hAnsi="仿宋_GB2312" w:eastAsia="仿宋_GB2312" w:cs="仿宋_GB2312"/>
                <w:color w:val="000000"/>
                <w:sz w:val="24"/>
                <w:lang w:val="en-US" w:eastAsia="zh-CN"/>
              </w:rPr>
              <w:t>0.9</w:t>
            </w:r>
            <w:r>
              <w:rPr>
                <w:rFonts w:hint="eastAsia" w:ascii="仿宋_GB2312" w:hAnsi="仿宋_GB2312" w:eastAsia="仿宋_GB2312" w:cs="仿宋_GB2312"/>
                <w:color w:val="000000"/>
                <w:sz w:val="24"/>
              </w:rPr>
              <w:t>‰以内</w:t>
            </w:r>
            <w:r>
              <w:rPr>
                <w:rFonts w:hint="eastAsia" w:ascii="仿宋_GB2312" w:hAnsi="仿宋_GB2312" w:eastAsia="仿宋_GB2312" w:cs="仿宋_GB2312"/>
                <w:color w:val="000000"/>
                <w:sz w:val="24"/>
                <w:lang w:eastAsia="zh-CN"/>
              </w:rPr>
              <w:t>。</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6.</w:t>
            </w:r>
            <w:r>
              <w:rPr>
                <w:rFonts w:hint="eastAsia" w:ascii="仿宋_GB2312" w:hAnsi="仿宋_GB2312" w:eastAsia="仿宋_GB2312" w:cs="仿宋_GB2312"/>
                <w:color w:val="000000"/>
                <w:sz w:val="24"/>
              </w:rPr>
              <w:t>林业有害生物成灾率控制在</w:t>
            </w:r>
            <w:r>
              <w:rPr>
                <w:rFonts w:hint="eastAsia" w:ascii="仿宋_GB2312" w:hAnsi="仿宋_GB2312" w:eastAsia="仿宋_GB2312" w:cs="仿宋_GB2312"/>
                <w:color w:val="000000"/>
                <w:sz w:val="24"/>
                <w:lang w:val="en-US" w:eastAsia="zh-CN"/>
              </w:rPr>
              <w:t>3.3</w:t>
            </w:r>
            <w:r>
              <w:rPr>
                <w:rFonts w:hint="eastAsia" w:ascii="仿宋_GB2312" w:hAnsi="仿宋_GB2312" w:eastAsia="仿宋_GB2312" w:cs="仿宋_GB2312"/>
                <w:color w:val="000000"/>
                <w:sz w:val="24"/>
              </w:rPr>
              <w:t>‰以内。</w:t>
            </w:r>
          </w:p>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966"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709"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w:t>
            </w:r>
            <w:r>
              <w:rPr>
                <w:rFonts w:hint="eastAsia" w:ascii="仿宋_GB2312" w:hAnsi="仿宋_GB2312" w:eastAsia="仿宋_GB2312" w:cs="仿宋_GB2312"/>
                <w:color w:val="000000"/>
                <w:sz w:val="24"/>
                <w:lang w:eastAsia="zh-CN"/>
              </w:rPr>
              <w:t>县委县</w:t>
            </w:r>
            <w:r>
              <w:rPr>
                <w:rFonts w:hint="eastAsia" w:ascii="仿宋_GB2312" w:hAnsi="仿宋_GB2312" w:eastAsia="仿宋_GB2312" w:cs="仿宋_GB2312"/>
                <w:color w:val="000000"/>
                <w:sz w:val="24"/>
              </w:rPr>
              <w:t>政府布置的重点工作、实事任务等，根据部门实际进行调整细化）</w:t>
            </w: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林地面积2.5万公顷，保有率100%</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lang w:val="en-US" w:eastAsia="zh-CN"/>
              </w:rPr>
            </w:pPr>
            <w:r>
              <w:rPr>
                <w:rFonts w:hint="eastAsia" w:ascii="仿宋_GB2312" w:hAnsi="仿宋_GB2312" w:eastAsia="仿宋_GB2312" w:cs="仿宋_GB2312"/>
                <w:b/>
                <w:color w:val="000000"/>
                <w:sz w:val="24"/>
                <w:lang w:val="en-US" w:eastAsia="zh-CN"/>
              </w:rPr>
              <w:t>按期完成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spacing w:line="320" w:lineRule="exact"/>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森林覆盖率达到22.1</w:t>
            </w:r>
            <w:r>
              <w:rPr>
                <w:rFonts w:hint="eastAsia" w:ascii="仿宋_GB2312" w:hAnsi="仿宋_GB2312" w:eastAsia="仿宋_GB2312" w:cs="仿宋_GB2312"/>
                <w:color w:val="000000"/>
                <w:sz w:val="24"/>
                <w:lang w:val="en-US" w:eastAsia="zh-CN"/>
              </w:rPr>
              <w:t>5</w:t>
            </w: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lang w:val="en-US" w:eastAsia="zh-CN"/>
              </w:rPr>
            </w:pPr>
            <w:r>
              <w:rPr>
                <w:rFonts w:hint="eastAsia" w:ascii="仿宋_GB2312" w:hAnsi="仿宋_GB2312" w:eastAsia="仿宋_GB2312" w:cs="仿宋_GB2312"/>
                <w:b/>
                <w:color w:val="000000"/>
                <w:sz w:val="24"/>
                <w:lang w:val="en-US" w:eastAsia="zh-CN"/>
              </w:rPr>
              <w:t>按期完成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spacing w:line="320" w:lineRule="exact"/>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森林蓄积量增长率稳定在4.</w:t>
            </w:r>
            <w:r>
              <w:rPr>
                <w:rFonts w:hint="eastAsia" w:ascii="仿宋_GB2312" w:hAnsi="仿宋_GB2312" w:eastAsia="仿宋_GB2312" w:cs="仿宋_GB2312"/>
                <w:color w:val="000000"/>
                <w:sz w:val="24"/>
                <w:lang w:val="en-US" w:eastAsia="zh-CN"/>
              </w:rPr>
              <w:t>0</w:t>
            </w:r>
            <w:r>
              <w:rPr>
                <w:rFonts w:hint="eastAsia" w:ascii="仿宋_GB2312" w:hAnsi="仿宋_GB2312" w:eastAsia="仿宋_GB2312" w:cs="仿宋_GB2312"/>
                <w:color w:val="000000"/>
                <w:sz w:val="24"/>
              </w:rPr>
              <w:t>%以上</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lang w:val="en-US" w:eastAsia="zh-CN"/>
              </w:rPr>
            </w:pPr>
            <w:r>
              <w:rPr>
                <w:rFonts w:hint="eastAsia" w:ascii="仿宋_GB2312" w:hAnsi="仿宋_GB2312" w:eastAsia="仿宋_GB2312" w:cs="仿宋_GB2312"/>
                <w:b/>
                <w:color w:val="000000"/>
                <w:sz w:val="24"/>
                <w:lang w:val="en-US" w:eastAsia="zh-CN"/>
              </w:rPr>
              <w:t>按期完成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spacing w:line="320" w:lineRule="exact"/>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森林火灾受害率控制在1‰以内</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lang w:val="en-US" w:eastAsia="zh-CN"/>
              </w:rPr>
            </w:pPr>
            <w:r>
              <w:rPr>
                <w:rFonts w:hint="eastAsia" w:ascii="仿宋_GB2312" w:hAnsi="仿宋_GB2312" w:eastAsia="仿宋_GB2312" w:cs="仿宋_GB2312"/>
                <w:b/>
                <w:color w:val="000000"/>
                <w:sz w:val="24"/>
                <w:lang w:val="en-US" w:eastAsia="zh-CN"/>
              </w:rPr>
              <w:t>无火灾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spacing w:line="320" w:lineRule="exact"/>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湿地修复率95%</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lang w:val="en-US" w:eastAsia="zh-CN"/>
              </w:rPr>
            </w:pPr>
            <w:r>
              <w:rPr>
                <w:rFonts w:hint="eastAsia" w:ascii="仿宋_GB2312" w:hAnsi="仿宋_GB2312" w:eastAsia="仿宋_GB2312" w:cs="仿宋_GB2312"/>
                <w:b/>
                <w:color w:val="000000"/>
                <w:sz w:val="24"/>
                <w:lang w:val="en-US" w:eastAsia="zh-CN"/>
              </w:rPr>
              <w:t>按期完成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spacing w:line="320" w:lineRule="exact"/>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造林</w:t>
            </w:r>
            <w:r>
              <w:rPr>
                <w:rFonts w:hint="eastAsia" w:ascii="仿宋_GB2312" w:hAnsi="仿宋_GB2312" w:eastAsia="仿宋_GB2312" w:cs="仿宋_GB2312"/>
                <w:color w:val="000000"/>
                <w:sz w:val="24"/>
                <w:lang w:val="en-US" w:eastAsia="zh-CN"/>
              </w:rPr>
              <w:t>1.2万</w:t>
            </w:r>
            <w:r>
              <w:rPr>
                <w:rFonts w:hint="eastAsia" w:ascii="仿宋_GB2312" w:hAnsi="仿宋_GB2312" w:eastAsia="仿宋_GB2312" w:cs="仿宋_GB2312"/>
                <w:color w:val="000000"/>
                <w:sz w:val="24"/>
              </w:rPr>
              <w:t>亩</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lang w:val="en-US" w:eastAsia="zh-CN"/>
              </w:rPr>
            </w:pPr>
            <w:r>
              <w:rPr>
                <w:rFonts w:hint="eastAsia" w:ascii="仿宋_GB2312" w:hAnsi="仿宋_GB2312" w:eastAsia="仿宋_GB2312" w:cs="仿宋_GB2312"/>
                <w:b/>
                <w:color w:val="000000"/>
                <w:sz w:val="24"/>
                <w:lang w:val="en-US" w:eastAsia="zh-CN"/>
              </w:rPr>
              <w:t>按期完成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义务植树121万株</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lang w:val="en-US" w:eastAsia="zh-CN"/>
              </w:rPr>
            </w:pPr>
            <w:r>
              <w:rPr>
                <w:rFonts w:hint="eastAsia" w:ascii="仿宋_GB2312" w:hAnsi="仿宋_GB2312" w:eastAsia="仿宋_GB2312" w:cs="仿宋_GB2312"/>
                <w:b/>
                <w:color w:val="000000"/>
                <w:sz w:val="24"/>
                <w:lang w:val="en-US" w:eastAsia="zh-CN"/>
              </w:rPr>
              <w:t>按期完成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实施5700.7公顷湿地的管理与维护，其中湿地面积4976.1公顷，保护保育区面积87.3公顷，恢复区260.4公顷</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color w:val="000000"/>
                <w:sz w:val="24"/>
                <w:lang w:val="en-US" w:eastAsia="zh-CN"/>
              </w:rPr>
              <w:t>按期完成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2021年1月-12月</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color w:val="000000"/>
                <w:sz w:val="24"/>
                <w:lang w:val="en-US" w:eastAsia="zh-CN"/>
              </w:rPr>
              <w:t>按时完成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开展稳定规范的湿地工作，达到国家湿地公园试点建设目标</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color w:val="000000"/>
                <w:sz w:val="24"/>
                <w:lang w:val="en-US" w:eastAsia="zh-CN"/>
              </w:rPr>
              <w:t>按期完成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运营成本得到有效控制</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lang w:val="en-US" w:eastAsia="zh-CN"/>
              </w:rPr>
            </w:pPr>
            <w:r>
              <w:rPr>
                <w:rFonts w:hint="eastAsia" w:ascii="仿宋_GB2312" w:hAnsi="仿宋_GB2312" w:eastAsia="仿宋_GB2312" w:cs="仿宋_GB2312"/>
                <w:b/>
                <w:color w:val="000000"/>
                <w:sz w:val="24"/>
                <w:lang w:val="en-US" w:eastAsia="zh-CN"/>
              </w:rPr>
              <w:t>按期完成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“三公”经费控制在基本支出的1%以下</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lang w:val="en-US" w:eastAsia="zh-CN"/>
              </w:rPr>
            </w:pPr>
            <w:r>
              <w:rPr>
                <w:rFonts w:hint="eastAsia" w:ascii="仿宋_GB2312" w:hAnsi="仿宋_GB2312" w:eastAsia="仿宋_GB2312" w:cs="仿宋_GB2312"/>
                <w:b/>
                <w:color w:val="000000"/>
                <w:sz w:val="24"/>
                <w:lang w:val="en-US" w:eastAsia="zh-CN"/>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提高森林覆盖率、国土绿化率。推进林业产业发展，帮助林农解决就业问题</w:t>
            </w:r>
            <w:r>
              <w:rPr>
                <w:rFonts w:hint="eastAsia" w:ascii="仿宋_GB2312" w:hAnsi="仿宋_GB2312" w:eastAsia="仿宋_GB2312" w:cs="仿宋_GB2312"/>
                <w:color w:val="000000"/>
                <w:sz w:val="24"/>
                <w:lang w:eastAsia="zh-CN"/>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color w:val="000000"/>
                <w:sz w:val="24"/>
              </w:rPr>
              <w:t>社会效益</w:t>
            </w:r>
            <w:r>
              <w:rPr>
                <w:rFonts w:hint="eastAsia" w:ascii="仿宋_GB2312" w:hAnsi="仿宋_GB2312" w:eastAsia="仿宋_GB2312" w:cs="仿宋_GB2312"/>
                <w:b/>
                <w:color w:val="000000"/>
                <w:sz w:val="24"/>
                <w:lang w:val="en-US" w:eastAsia="zh-CN"/>
              </w:rPr>
              <w:t>显著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提高林地生产力和林分质量。促进林业增效，促进林农增收</w:t>
            </w:r>
            <w:r>
              <w:rPr>
                <w:rFonts w:hint="eastAsia" w:ascii="仿宋_GB2312" w:hAnsi="仿宋_GB2312" w:eastAsia="仿宋_GB2312" w:cs="仿宋_GB2312"/>
                <w:color w:val="000000"/>
                <w:sz w:val="24"/>
                <w:lang w:eastAsia="zh-CN"/>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color w:val="000000"/>
                <w:sz w:val="24"/>
              </w:rPr>
              <w:t>经济效益</w:t>
            </w:r>
            <w:r>
              <w:rPr>
                <w:rFonts w:hint="eastAsia" w:ascii="仿宋_GB2312" w:hAnsi="仿宋_GB2312" w:eastAsia="仿宋_GB2312" w:cs="仿宋_GB2312"/>
                <w:b/>
                <w:color w:val="000000"/>
                <w:sz w:val="24"/>
                <w:lang w:val="en-US" w:eastAsia="zh-CN"/>
              </w:rPr>
              <w:t>显著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保护森林资源，促进林业可持续发展，改善生态环境，维护生态平衡</w:t>
            </w:r>
            <w:r>
              <w:rPr>
                <w:rFonts w:hint="eastAsia" w:ascii="仿宋_GB2312" w:hAnsi="仿宋_GB2312" w:eastAsia="仿宋_GB2312" w:cs="仿宋_GB2312"/>
                <w:color w:val="000000"/>
                <w:sz w:val="24"/>
                <w:lang w:eastAsia="zh-CN"/>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color w:val="000000"/>
                <w:sz w:val="24"/>
              </w:rPr>
              <w:t>生态效益</w:t>
            </w:r>
            <w:r>
              <w:rPr>
                <w:rFonts w:hint="eastAsia" w:ascii="仿宋_GB2312" w:hAnsi="仿宋_GB2312" w:eastAsia="仿宋_GB2312" w:cs="仿宋_GB2312"/>
                <w:b/>
                <w:color w:val="000000"/>
                <w:sz w:val="24"/>
                <w:lang w:val="en-US" w:eastAsia="zh-CN"/>
              </w:rPr>
              <w:t>显著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社会公众或服务对象满意度95%以上。</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color w:val="000000"/>
                <w:sz w:val="24"/>
                <w:lang w:val="en-US" w:eastAsia="zh-CN"/>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810" w:type="dxa"/>
            <w:gridSpan w:val="1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94分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810" w:type="dxa"/>
            <w:gridSpan w:val="1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优秀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熊建华</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副局长</w:t>
            </w:r>
          </w:p>
        </w:tc>
        <w:tc>
          <w:tcPr>
            <w:tcW w:w="1479" w:type="dxa"/>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华容县林业局</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方丽红</w:t>
            </w:r>
          </w:p>
        </w:tc>
        <w:tc>
          <w:tcPr>
            <w:tcW w:w="3561" w:type="dxa"/>
            <w:gridSpan w:val="6"/>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规划财务股股长</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华容县林业局</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李天乐</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规划财务股副股长</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华容县林业局</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李军球</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场长</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ascii="仿宋_GB2312" w:hAnsi="仿宋_GB2312" w:eastAsia="仿宋_GB2312" w:cs="仿宋_GB2312"/>
                <w:color w:val="000000"/>
                <w:sz w:val="24"/>
              </w:rPr>
              <w:t>塔市</w:t>
            </w:r>
            <w:r>
              <w:rPr>
                <w:rFonts w:hint="eastAsia" w:ascii="仿宋_GB2312" w:hAnsi="仿宋_GB2312" w:eastAsia="仿宋_GB2312" w:cs="仿宋_GB2312"/>
                <w:color w:val="000000"/>
                <w:sz w:val="24"/>
                <w:lang w:val="en-US" w:eastAsia="zh-CN"/>
              </w:rPr>
              <w:t>国有</w:t>
            </w:r>
            <w:r>
              <w:rPr>
                <w:rFonts w:ascii="仿宋_GB2312" w:hAnsi="仿宋_GB2312" w:eastAsia="仿宋_GB2312" w:cs="仿宋_GB2312"/>
                <w:color w:val="000000"/>
                <w:sz w:val="24"/>
              </w:rPr>
              <w:t>林场</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ascii="仿宋_GB2312" w:hAnsi="仿宋_GB2312" w:eastAsia="仿宋_GB2312" w:cs="仿宋_GB2312"/>
                <w:color w:val="000000"/>
                <w:sz w:val="24"/>
              </w:rPr>
              <w:t>吴珊</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计财股股长</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ascii="仿宋_GB2312" w:hAnsi="仿宋_GB2312" w:eastAsia="仿宋_GB2312" w:cs="仿宋_GB2312"/>
                <w:color w:val="000000"/>
                <w:sz w:val="24"/>
              </w:rPr>
              <w:t>塔市</w:t>
            </w:r>
            <w:r>
              <w:rPr>
                <w:rFonts w:hint="eastAsia" w:ascii="仿宋_GB2312" w:hAnsi="仿宋_GB2312" w:eastAsia="仿宋_GB2312" w:cs="仿宋_GB2312"/>
                <w:color w:val="000000"/>
                <w:sz w:val="24"/>
                <w:lang w:val="en-US" w:eastAsia="zh-CN"/>
              </w:rPr>
              <w:t>国有</w:t>
            </w:r>
            <w:r>
              <w:rPr>
                <w:rFonts w:ascii="仿宋_GB2312" w:hAnsi="仿宋_GB2312" w:eastAsia="仿宋_GB2312" w:cs="仿宋_GB2312"/>
                <w:color w:val="000000"/>
                <w:sz w:val="24"/>
              </w:rPr>
              <w:t>林场</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default" w:ascii="仿宋_GB2312" w:hAnsi="仿宋_GB2312" w:eastAsia="仿宋_GB2312" w:cs="仿宋_GB2312"/>
                <w:color w:val="000000"/>
                <w:sz w:val="24"/>
              </w:rPr>
              <w:t>李向华</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default" w:ascii="仿宋_GB2312" w:hAnsi="仿宋_GB2312" w:eastAsia="仿宋_GB2312" w:cs="仿宋_GB2312"/>
                <w:color w:val="000000"/>
                <w:sz w:val="24"/>
              </w:rPr>
              <w:t>副场长</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default" w:ascii="仿宋_GB2312" w:hAnsi="仿宋_GB2312" w:eastAsia="仿宋_GB2312" w:cs="仿宋_GB2312"/>
                <w:color w:val="000000"/>
                <w:sz w:val="24"/>
              </w:rPr>
              <w:t>胜峰</w:t>
            </w:r>
            <w:r>
              <w:rPr>
                <w:rFonts w:hint="eastAsia" w:ascii="仿宋_GB2312" w:hAnsi="仿宋_GB2312" w:eastAsia="仿宋_GB2312" w:cs="仿宋_GB2312"/>
                <w:color w:val="000000"/>
                <w:sz w:val="24"/>
                <w:lang w:val="en-US" w:eastAsia="zh-CN"/>
              </w:rPr>
              <w:t>国有</w:t>
            </w:r>
            <w:r>
              <w:rPr>
                <w:rFonts w:hint="default" w:ascii="仿宋_GB2312" w:hAnsi="仿宋_GB2312" w:eastAsia="仿宋_GB2312" w:cs="仿宋_GB2312"/>
                <w:color w:val="000000"/>
                <w:sz w:val="24"/>
              </w:rPr>
              <w:t>林场</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default" w:ascii="仿宋_GB2312" w:hAnsi="仿宋_GB2312" w:eastAsia="仿宋_GB2312" w:cs="仿宋_GB2312"/>
                <w:color w:val="000000"/>
                <w:sz w:val="24"/>
              </w:rPr>
              <w:t>李红</w:t>
            </w:r>
          </w:p>
        </w:tc>
        <w:tc>
          <w:tcPr>
            <w:tcW w:w="3561" w:type="dxa"/>
            <w:gridSpan w:val="6"/>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计财股股长</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default" w:ascii="仿宋_GB2312" w:hAnsi="仿宋_GB2312" w:eastAsia="仿宋_GB2312" w:cs="仿宋_GB2312"/>
                <w:color w:val="000000"/>
                <w:sz w:val="24"/>
              </w:rPr>
              <w:t>胜峰</w:t>
            </w:r>
            <w:r>
              <w:rPr>
                <w:rFonts w:hint="eastAsia" w:ascii="仿宋_GB2312" w:hAnsi="仿宋_GB2312" w:eastAsia="仿宋_GB2312" w:cs="仿宋_GB2312"/>
                <w:color w:val="000000"/>
                <w:sz w:val="24"/>
                <w:lang w:val="en-US" w:eastAsia="zh-CN"/>
              </w:rPr>
              <w:t>国有</w:t>
            </w:r>
            <w:r>
              <w:rPr>
                <w:rFonts w:hint="default" w:ascii="仿宋_GB2312" w:hAnsi="仿宋_GB2312" w:eastAsia="仿宋_GB2312" w:cs="仿宋_GB2312"/>
                <w:color w:val="000000"/>
                <w:sz w:val="24"/>
              </w:rPr>
              <w:t>林场</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陈斌</w:t>
            </w:r>
          </w:p>
        </w:tc>
        <w:tc>
          <w:tcPr>
            <w:tcW w:w="3561" w:type="dxa"/>
            <w:gridSpan w:val="6"/>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总支书记</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华容县湿地保护中心</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余晶晶</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规划财务股股长</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华容县湿地保护中心</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sz w:val="24"/>
                <w:szCs w:val="24"/>
              </w:rPr>
              <w:t>胡安民</w:t>
            </w:r>
          </w:p>
        </w:tc>
        <w:tc>
          <w:tcPr>
            <w:tcW w:w="3561" w:type="dxa"/>
            <w:gridSpan w:val="6"/>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sz w:val="24"/>
                <w:szCs w:val="24"/>
                <w:lang w:val="en-US" w:eastAsia="zh-CN"/>
              </w:rPr>
              <w:t>所长</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sz w:val="24"/>
                <w:szCs w:val="24"/>
              </w:rPr>
              <w:t>湖南华容东湖国家湿地公园管理所</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sz w:val="24"/>
                <w:szCs w:val="24"/>
              </w:rPr>
              <w:t>易湘华</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sz w:val="24"/>
                <w:szCs w:val="24"/>
              </w:rPr>
              <w:t>副所长</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sz w:val="24"/>
                <w:szCs w:val="24"/>
              </w:rPr>
              <w:t>湖南华容东湖国家湿地公园管理所</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94" w:hRule="atLeast"/>
          <w:jc w:val="center"/>
        </w:trPr>
        <w:tc>
          <w:tcPr>
            <w:tcW w:w="9800" w:type="dxa"/>
            <w:gridSpan w:val="17"/>
            <w:noWrap w:val="0"/>
            <w:vAlign w:val="center"/>
          </w:tcPr>
          <w:p>
            <w:pPr>
              <w:spacing w:line="320" w:lineRule="exact"/>
              <w:rPr>
                <w:rFonts w:hint="eastAsia" w:eastAsia="仿宋_GB2312"/>
                <w:sz w:val="24"/>
              </w:rPr>
            </w:pPr>
            <w:r>
              <w:rPr>
                <w:rFonts w:hint="eastAsia" w:eastAsia="仿宋_GB2312"/>
                <w:sz w:val="24"/>
              </w:rPr>
              <w:t>财政部门归口业务科室意见：</w:t>
            </w: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r>
              <w:rPr>
                <w:rFonts w:hint="eastAsia" w:eastAsia="仿宋_GB2312"/>
                <w:sz w:val="24"/>
              </w:rPr>
              <w:t xml:space="preserve">                                  财政部门归口业务科室负责人（签章）：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eastAsia="仿宋_GB2312"/>
                <w:sz w:val="24"/>
              </w:rPr>
              <w:t xml:space="preserve">                                                                 年    月   日</w:t>
            </w:r>
          </w:p>
        </w:tc>
      </w:tr>
    </w:tbl>
    <w:p>
      <w:pPr>
        <w:rPr>
          <w:rFonts w:hint="eastAsia" w:eastAsia="仿宋_GB2312" w:cs="仿宋_GB2312"/>
          <w:bCs/>
          <w:sz w:val="28"/>
          <w:szCs w:val="28"/>
        </w:rPr>
      </w:pPr>
      <w:r>
        <w:rPr>
          <w:rFonts w:hint="eastAsia" w:eastAsia="仿宋_GB2312" w:cs="仿宋_GB2312"/>
          <w:bCs/>
          <w:sz w:val="28"/>
          <w:szCs w:val="28"/>
        </w:rPr>
        <w:t>填报人（签名）：                          联系电话：</w:t>
      </w:r>
    </w:p>
    <w:tbl>
      <w:tblPr>
        <w:tblStyle w:val="7"/>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558" w:type="dxa"/>
            <w:noWrap w:val="0"/>
            <w:vAlign w:val="top"/>
          </w:tcPr>
          <w:p>
            <w:pPr>
              <w:jc w:val="center"/>
              <w:rPr>
                <w:rFonts w:hint="eastAsia" w:ascii="黑体" w:hAnsi="黑体" w:eastAsia="黑体" w:cs="黑体"/>
                <w:bCs/>
                <w:sz w:val="28"/>
                <w:szCs w:val="28"/>
              </w:rPr>
            </w:pPr>
            <w:r>
              <w:rPr>
                <w:rFonts w:hint="eastAsia" w:ascii="黑体" w:hAnsi="黑体" w:eastAsia="黑体" w:cs="黑体"/>
                <w:bCs/>
                <w:sz w:val="28"/>
                <w:szCs w:val="28"/>
              </w:rPr>
              <w:t>五、评价报告综述（文字部分）</w:t>
            </w:r>
          </w:p>
          <w:p>
            <w:pPr>
              <w:spacing w:line="440" w:lineRule="exact"/>
              <w:ind w:firstLine="640" w:firstLineChars="200"/>
              <w:rPr>
                <w:rFonts w:hint="eastAsia" w:eastAsia="仿宋_GB2312"/>
                <w:sz w:val="32"/>
                <w:szCs w:val="32"/>
              </w:rPr>
            </w:pP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一、部门（单位）概况</w:t>
            </w:r>
          </w:p>
          <w:p>
            <w:pPr>
              <w:spacing w:line="560" w:lineRule="exact"/>
              <w:ind w:firstLine="560" w:firstLineChars="200"/>
              <w:rPr>
                <w:rFonts w:hint="eastAsia" w:ascii="仿宋_GB2312" w:hAnsi="仿宋_GB2312" w:eastAsia="仿宋_GB2312" w:cs="仿宋_GB2312"/>
                <w:bCs/>
                <w:sz w:val="28"/>
                <w:szCs w:val="28"/>
                <w:lang w:eastAsia="zh-CN"/>
              </w:rPr>
            </w:pPr>
            <w:r>
              <w:rPr>
                <w:rFonts w:hint="eastAsia" w:ascii="仿宋_GB2312" w:hAnsi="仿宋_GB2312" w:eastAsia="仿宋_GB2312" w:cs="仿宋_GB2312"/>
                <w:bCs/>
                <w:sz w:val="28"/>
                <w:szCs w:val="28"/>
              </w:rPr>
              <w:t>（一）部门基本情况</w:t>
            </w:r>
            <w:r>
              <w:rPr>
                <w:rFonts w:hint="eastAsia" w:ascii="仿宋_GB2312" w:hAnsi="仿宋_GB2312" w:eastAsia="仿宋_GB2312" w:cs="仿宋_GB2312"/>
                <w:bCs/>
                <w:sz w:val="28"/>
                <w:szCs w:val="28"/>
                <w:lang w:eastAsia="zh-CN"/>
              </w:rPr>
              <w:t>：</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lang w:val="en-US" w:eastAsia="zh-CN"/>
              </w:rPr>
              <w:t>1.内设机构：内设办公室、造林绿化股（县绿化委员会办公室）、森林资源管理股、政策法规和改革发展股(县林业行政执法大队)、林长制工作股、森林防火股、野生动植物保护股、行政审批服务股、规划财务股、自然保护地管理股、县森林资源管理监测中心（县林业调查规划设计队）、林业技术推广站（林业科学研究所、办点办）、人事教育股（机关工会）级机关党支部（党建办）。</w:t>
            </w:r>
          </w:p>
          <w:p>
            <w:pPr>
              <w:numPr>
                <w:ilvl w:val="0"/>
                <w:numId w:val="0"/>
              </w:num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lang w:val="en-US" w:eastAsia="zh-CN"/>
              </w:rPr>
              <w:t>2.</w:t>
            </w:r>
            <w:r>
              <w:rPr>
                <w:rFonts w:hint="eastAsia" w:ascii="仿宋_GB2312" w:hAnsi="仿宋_GB2312" w:eastAsia="仿宋_GB2312" w:cs="仿宋_GB2312"/>
                <w:bCs/>
                <w:sz w:val="28"/>
                <w:szCs w:val="28"/>
              </w:rPr>
              <w:t>直属单位：辖县湿地保护中心、东湖国家湿地公园管理所、胜峰国有林场（与桃花山省级森林公园合署办公）、塔市国有林场和林业事务中心</w:t>
            </w:r>
            <w:r>
              <w:rPr>
                <w:rFonts w:hint="eastAsia" w:ascii="仿宋_GB2312" w:hAnsi="仿宋_GB2312" w:eastAsia="仿宋_GB2312" w:cs="仿宋_GB2312"/>
                <w:bCs/>
                <w:sz w:val="28"/>
                <w:szCs w:val="28"/>
                <w:lang w:val="en-US" w:eastAsia="zh-CN"/>
              </w:rPr>
              <w:t>（</w:t>
            </w:r>
            <w:r>
              <w:rPr>
                <w:rFonts w:hint="eastAsia" w:ascii="仿宋_GB2312" w:hAnsi="仿宋_GB2312" w:eastAsia="仿宋_GB2312" w:cs="仿宋_GB2312"/>
                <w:bCs/>
                <w:sz w:val="28"/>
                <w:szCs w:val="28"/>
                <w:lang w:val="en-US"/>
              </w:rPr>
              <w:t>木材检查站</w:t>
            </w:r>
            <w:r>
              <w:rPr>
                <w:rFonts w:hint="eastAsia" w:ascii="仿宋_GB2312" w:hAnsi="仿宋_GB2312" w:eastAsia="仿宋_GB2312" w:cs="仿宋_GB2312"/>
                <w:bCs/>
                <w:sz w:val="28"/>
                <w:szCs w:val="28"/>
                <w:lang w:val="en-US" w:eastAsia="zh-CN"/>
              </w:rPr>
              <w:t>于9月份转隶为林业事务中心并入林业局 ）</w:t>
            </w:r>
            <w:r>
              <w:rPr>
                <w:rFonts w:hint="eastAsia" w:ascii="仿宋_GB2312" w:hAnsi="仿宋_GB2312" w:eastAsia="仿宋_GB2312" w:cs="仿宋_GB2312"/>
                <w:bCs/>
                <w:sz w:val="28"/>
                <w:szCs w:val="28"/>
              </w:rPr>
              <w:t>5个二级单位。</w:t>
            </w:r>
          </w:p>
          <w:p>
            <w:pPr>
              <w:numPr>
                <w:ilvl w:val="0"/>
                <w:numId w:val="0"/>
              </w:numPr>
              <w:spacing w:line="560" w:lineRule="exact"/>
              <w:ind w:firstLine="560" w:firstLineChars="200"/>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（二）部门主要职责：</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1</w:t>
            </w:r>
            <w:r>
              <w:rPr>
                <w:rFonts w:hint="eastAsia" w:ascii="仿宋_GB2312" w:hAnsi="仿宋_GB2312" w:eastAsia="仿宋_GB2312" w:cs="仿宋_GB2312"/>
                <w:bCs/>
                <w:sz w:val="28"/>
                <w:szCs w:val="28"/>
                <w:lang w:eastAsia="zh-CN"/>
              </w:rPr>
              <w:t>.</w:t>
            </w:r>
            <w:r>
              <w:rPr>
                <w:rFonts w:hint="eastAsia" w:ascii="仿宋_GB2312" w:hAnsi="仿宋_GB2312" w:eastAsia="仿宋_GB2312" w:cs="仿宋_GB2312"/>
                <w:bCs/>
                <w:sz w:val="28"/>
                <w:szCs w:val="28"/>
              </w:rPr>
              <w:t>贯彻执行中央和省、市有关森林生态环境建设、森林资源保护和国土绿化的方针、政策、法律、法规。</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2</w:t>
            </w:r>
            <w:r>
              <w:rPr>
                <w:rFonts w:hint="eastAsia" w:ascii="仿宋_GB2312" w:hAnsi="仿宋_GB2312" w:eastAsia="仿宋_GB2312" w:cs="仿宋_GB2312"/>
                <w:bCs/>
                <w:sz w:val="28"/>
                <w:szCs w:val="28"/>
                <w:lang w:eastAsia="zh-CN"/>
              </w:rPr>
              <w:t>.</w:t>
            </w:r>
            <w:r>
              <w:rPr>
                <w:rFonts w:hint="eastAsia" w:ascii="仿宋_GB2312" w:hAnsi="仿宋_GB2312" w:eastAsia="仿宋_GB2312" w:cs="仿宋_GB2312"/>
                <w:bCs/>
                <w:sz w:val="28"/>
                <w:szCs w:val="28"/>
              </w:rPr>
              <w:t>研究和拟定全县林业发展战略、中长期发展规划并组织实施；组织实施全县天然林保护和退耕还林等国家重点工程；管理县级林业基金；监督全县林业资金的管理和使用。</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3</w:t>
            </w:r>
            <w:r>
              <w:rPr>
                <w:rFonts w:hint="eastAsia" w:ascii="仿宋_GB2312" w:hAnsi="仿宋_GB2312" w:eastAsia="仿宋_GB2312" w:cs="仿宋_GB2312"/>
                <w:bCs/>
                <w:sz w:val="28"/>
                <w:szCs w:val="28"/>
                <w:lang w:eastAsia="zh-CN"/>
              </w:rPr>
              <w:t>.</w:t>
            </w:r>
            <w:r>
              <w:rPr>
                <w:rFonts w:hint="eastAsia" w:ascii="仿宋_GB2312" w:hAnsi="仿宋_GB2312" w:eastAsia="仿宋_GB2312" w:cs="仿宋_GB2312"/>
                <w:bCs/>
                <w:sz w:val="28"/>
                <w:szCs w:val="28"/>
              </w:rPr>
              <w:t>组织开展全县植树造林、国土绿化和封山育林工作；组织、指导植树种草等生物措施防治水土流失工作；指导全县国有林场、国有苗圃、集体林场及基层林业机构的建设和管理；指导全县林木种子、种苗、花卉管理工作。</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4</w:t>
            </w:r>
            <w:r>
              <w:rPr>
                <w:rFonts w:hint="eastAsia" w:ascii="仿宋_GB2312" w:hAnsi="仿宋_GB2312" w:eastAsia="仿宋_GB2312" w:cs="仿宋_GB2312"/>
                <w:bCs/>
                <w:sz w:val="28"/>
                <w:szCs w:val="28"/>
                <w:lang w:eastAsia="zh-CN"/>
              </w:rPr>
              <w:t>.</w:t>
            </w:r>
            <w:r>
              <w:rPr>
                <w:rFonts w:hint="eastAsia" w:ascii="仿宋_GB2312" w:hAnsi="仿宋_GB2312" w:eastAsia="仿宋_GB2312" w:cs="仿宋_GB2312"/>
                <w:bCs/>
                <w:sz w:val="28"/>
                <w:szCs w:val="28"/>
              </w:rPr>
              <w:t>组织指导全县森林资源的管理；组织全县森林资源调查、动态监测和统计，审核并监督森林资源的使用；组织编制森林采伐限额，经省、市政府审核批准后监督执行；监督林木、竹林的凭证采伐与运输；组织、指导林地、林权管理并依法对应由国家和省、市批准的林地征用、占用进行初审。</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5</w:t>
            </w:r>
            <w:r>
              <w:rPr>
                <w:rFonts w:hint="eastAsia" w:ascii="仿宋_GB2312" w:hAnsi="仿宋_GB2312" w:eastAsia="仿宋_GB2312" w:cs="仿宋_GB2312"/>
                <w:bCs/>
                <w:sz w:val="28"/>
                <w:szCs w:val="28"/>
                <w:lang w:eastAsia="zh-CN"/>
              </w:rPr>
              <w:t>.</w:t>
            </w:r>
            <w:r>
              <w:rPr>
                <w:rFonts w:hint="eastAsia" w:ascii="仿宋_GB2312" w:hAnsi="仿宋_GB2312" w:eastAsia="仿宋_GB2312" w:cs="仿宋_GB2312"/>
                <w:bCs/>
                <w:sz w:val="28"/>
                <w:szCs w:val="28"/>
              </w:rPr>
              <w:t>组织、指导全县野生动植物资源的保护和合理开发利用；指导森林和野生动植物类型的建设和管理。</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6</w:t>
            </w:r>
            <w:r>
              <w:rPr>
                <w:rFonts w:hint="eastAsia" w:ascii="仿宋_GB2312" w:hAnsi="仿宋_GB2312" w:eastAsia="仿宋_GB2312" w:cs="仿宋_GB2312"/>
                <w:bCs/>
                <w:sz w:val="28"/>
                <w:szCs w:val="28"/>
                <w:lang w:eastAsia="zh-CN"/>
              </w:rPr>
              <w:t>.</w:t>
            </w:r>
            <w:r>
              <w:rPr>
                <w:rFonts w:hint="eastAsia" w:ascii="仿宋_GB2312" w:hAnsi="仿宋_GB2312" w:eastAsia="仿宋_GB2312" w:cs="仿宋_GB2312"/>
                <w:bCs/>
                <w:sz w:val="28"/>
                <w:szCs w:val="28"/>
              </w:rPr>
              <w:t>组织、协调、指导、监督全县森林防火工作，发布森林火灾信息；指导管理全县森林公安工作；对破坏森林资源和国家重点保护野生动植物资源的大案、要案查处工作进行指导、协调与监督；组织、指导全县森林病虫害、鼠害的防治、检疫、监测、预报。</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7</w:t>
            </w:r>
            <w:r>
              <w:rPr>
                <w:rFonts w:hint="eastAsia" w:ascii="仿宋_GB2312" w:hAnsi="仿宋_GB2312" w:eastAsia="仿宋_GB2312" w:cs="仿宋_GB2312"/>
                <w:bCs/>
                <w:sz w:val="28"/>
                <w:szCs w:val="28"/>
                <w:lang w:eastAsia="zh-CN"/>
              </w:rPr>
              <w:t>.</w:t>
            </w:r>
            <w:r>
              <w:rPr>
                <w:rFonts w:hint="eastAsia" w:ascii="仿宋_GB2312" w:hAnsi="仿宋_GB2312" w:eastAsia="仿宋_GB2312" w:cs="仿宋_GB2312"/>
                <w:bCs/>
                <w:sz w:val="28"/>
                <w:szCs w:val="28"/>
              </w:rPr>
              <w:t>研究并提出林业产业化经营的方针政策、实施规划；研究并提出全县林业发展的经济调节意见；监管国有林业资产；审核申报重点林业建设项目；指导管理全县林业基本建设。</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8</w:t>
            </w:r>
            <w:r>
              <w:rPr>
                <w:rFonts w:hint="eastAsia" w:ascii="仿宋_GB2312" w:hAnsi="仿宋_GB2312" w:eastAsia="仿宋_GB2312" w:cs="仿宋_GB2312"/>
                <w:bCs/>
                <w:sz w:val="28"/>
                <w:szCs w:val="28"/>
                <w:lang w:eastAsia="zh-CN"/>
              </w:rPr>
              <w:t>.</w:t>
            </w:r>
            <w:r>
              <w:rPr>
                <w:rFonts w:hint="eastAsia" w:ascii="仿宋_GB2312" w:hAnsi="仿宋_GB2312" w:eastAsia="仿宋_GB2312" w:cs="仿宋_GB2312"/>
                <w:bCs/>
                <w:sz w:val="28"/>
                <w:szCs w:val="28"/>
              </w:rPr>
              <w:t>指导各类商品林和生态林的培育。</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9</w:t>
            </w:r>
            <w:r>
              <w:rPr>
                <w:rFonts w:hint="eastAsia" w:ascii="仿宋_GB2312" w:hAnsi="仿宋_GB2312" w:eastAsia="仿宋_GB2312" w:cs="仿宋_GB2312"/>
                <w:bCs/>
                <w:sz w:val="28"/>
                <w:szCs w:val="28"/>
                <w:lang w:eastAsia="zh-CN"/>
              </w:rPr>
              <w:t>.</w:t>
            </w:r>
            <w:r>
              <w:rPr>
                <w:rFonts w:hint="eastAsia" w:ascii="仿宋_GB2312" w:hAnsi="仿宋_GB2312" w:eastAsia="仿宋_GB2312" w:cs="仿宋_GB2312"/>
                <w:bCs/>
                <w:sz w:val="28"/>
                <w:szCs w:val="28"/>
              </w:rPr>
              <w:t>组织指导林业科技、教育和外事工作；指导全县林业队伍的建设；制定林业科技发展规划，组织重点科研项目攻关和科技成果的推广应用；统筹规划全县林业专业人才培训。</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10</w:t>
            </w:r>
            <w:r>
              <w:rPr>
                <w:rFonts w:hint="eastAsia" w:ascii="仿宋_GB2312" w:hAnsi="仿宋_GB2312" w:eastAsia="仿宋_GB2312" w:cs="仿宋_GB2312"/>
                <w:bCs/>
                <w:sz w:val="28"/>
                <w:szCs w:val="28"/>
                <w:lang w:eastAsia="zh-CN"/>
              </w:rPr>
              <w:t>.</w:t>
            </w:r>
            <w:r>
              <w:rPr>
                <w:rFonts w:hint="eastAsia" w:ascii="仿宋_GB2312" w:hAnsi="仿宋_GB2312" w:eastAsia="仿宋_GB2312" w:cs="仿宋_GB2312"/>
                <w:bCs/>
                <w:sz w:val="28"/>
                <w:szCs w:val="28"/>
              </w:rPr>
              <w:t>负责管理局机关及直属单位的党群工作和纪检、监察工作并配合有关部门负责其审计工作，指导林业行业的精神文明建设。</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11</w:t>
            </w:r>
            <w:r>
              <w:rPr>
                <w:rFonts w:hint="eastAsia" w:ascii="仿宋_GB2312" w:hAnsi="仿宋_GB2312" w:eastAsia="仿宋_GB2312" w:cs="仿宋_GB2312"/>
                <w:bCs/>
                <w:sz w:val="28"/>
                <w:szCs w:val="28"/>
                <w:lang w:eastAsia="zh-CN"/>
              </w:rPr>
              <w:t>.</w:t>
            </w:r>
            <w:r>
              <w:rPr>
                <w:rFonts w:hint="eastAsia" w:ascii="仿宋_GB2312" w:hAnsi="仿宋_GB2312" w:eastAsia="仿宋_GB2312" w:cs="仿宋_GB2312"/>
                <w:bCs/>
                <w:sz w:val="28"/>
                <w:szCs w:val="28"/>
              </w:rPr>
              <w:t>承办县委、县政府和上级主管部门交办的其他事项</w:t>
            </w:r>
            <w:r>
              <w:rPr>
                <w:rFonts w:hint="eastAsia" w:ascii="仿宋_GB2312" w:hAnsi="仿宋_GB2312" w:eastAsia="仿宋_GB2312" w:cs="仿宋_GB2312"/>
                <w:bCs/>
                <w:sz w:val="28"/>
                <w:szCs w:val="28"/>
                <w:lang w:eastAsia="zh-CN"/>
              </w:rPr>
              <w:t>。</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二、部门（单位）整体支出管理及使用情况</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（一）基本支出</w:t>
            </w:r>
          </w:p>
          <w:p>
            <w:pPr>
              <w:spacing w:line="560" w:lineRule="exact"/>
              <w:ind w:firstLine="560" w:firstLineChars="200"/>
              <w:rPr>
                <w:rFonts w:hint="default"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rPr>
              <w:t>1</w:t>
            </w:r>
            <w:r>
              <w:rPr>
                <w:rFonts w:hint="eastAsia" w:ascii="仿宋_GB2312" w:hAnsi="仿宋_GB2312" w:eastAsia="仿宋_GB2312" w:cs="仿宋_GB2312"/>
                <w:bCs/>
                <w:sz w:val="28"/>
                <w:szCs w:val="28"/>
                <w:lang w:eastAsia="zh-CN"/>
              </w:rPr>
              <w:t>.</w:t>
            </w:r>
            <w:r>
              <w:rPr>
                <w:rFonts w:hint="eastAsia" w:ascii="仿宋_GB2312" w:hAnsi="仿宋_GB2312" w:eastAsia="仿宋_GB2312" w:cs="仿宋_GB2312"/>
                <w:bCs/>
                <w:sz w:val="28"/>
                <w:szCs w:val="28"/>
              </w:rPr>
              <w:t>收入情况：全年收入</w:t>
            </w:r>
            <w:r>
              <w:rPr>
                <w:rFonts w:hint="eastAsia" w:ascii="仿宋_GB2312" w:hAnsi="仿宋_GB2312" w:eastAsia="仿宋_GB2312" w:cs="仿宋_GB2312"/>
                <w:bCs/>
                <w:sz w:val="28"/>
                <w:szCs w:val="28"/>
                <w:lang w:val="en-US" w:eastAsia="zh-CN"/>
              </w:rPr>
              <w:t>3935.77</w:t>
            </w:r>
            <w:r>
              <w:rPr>
                <w:rFonts w:hint="eastAsia" w:ascii="仿宋_GB2312" w:hAnsi="仿宋_GB2312" w:eastAsia="仿宋_GB2312" w:cs="仿宋_GB2312"/>
                <w:bCs/>
                <w:sz w:val="28"/>
                <w:szCs w:val="28"/>
              </w:rPr>
              <w:t>万元，其中：公共财政拨款</w:t>
            </w:r>
            <w:r>
              <w:rPr>
                <w:rFonts w:hint="eastAsia" w:ascii="仿宋_GB2312" w:hAnsi="仿宋_GB2312" w:eastAsia="仿宋_GB2312" w:cs="仿宋_GB2312"/>
                <w:bCs/>
                <w:sz w:val="28"/>
                <w:szCs w:val="28"/>
                <w:lang w:val="en-US" w:eastAsia="zh-CN"/>
              </w:rPr>
              <w:t>3311.48</w:t>
            </w:r>
            <w:r>
              <w:rPr>
                <w:rFonts w:hint="eastAsia" w:ascii="仿宋_GB2312" w:hAnsi="仿宋_GB2312" w:eastAsia="仿宋_GB2312" w:cs="仿宋_GB2312"/>
                <w:bCs/>
                <w:sz w:val="28"/>
                <w:szCs w:val="28"/>
              </w:rPr>
              <w:t>万元</w:t>
            </w:r>
            <w:r>
              <w:rPr>
                <w:rFonts w:hint="eastAsia" w:ascii="仿宋_GB2312" w:hAnsi="仿宋_GB2312" w:eastAsia="仿宋_GB2312" w:cs="仿宋_GB2312"/>
                <w:bCs/>
                <w:sz w:val="28"/>
                <w:szCs w:val="28"/>
                <w:lang w:val="en-US" w:eastAsia="zh-CN"/>
              </w:rPr>
              <w:t>政府基金拨款411.2万，其他收入213.09万。</w:t>
            </w:r>
          </w:p>
          <w:p>
            <w:pPr>
              <w:spacing w:line="560" w:lineRule="exact"/>
              <w:ind w:firstLine="560" w:firstLineChars="200"/>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rPr>
              <w:t>2</w:t>
            </w:r>
            <w:r>
              <w:rPr>
                <w:rFonts w:hint="eastAsia" w:ascii="仿宋_GB2312" w:hAnsi="仿宋_GB2312" w:eastAsia="仿宋_GB2312" w:cs="仿宋_GB2312"/>
                <w:bCs/>
                <w:sz w:val="28"/>
                <w:szCs w:val="28"/>
                <w:lang w:eastAsia="zh-CN"/>
              </w:rPr>
              <w:t>.</w:t>
            </w:r>
            <w:r>
              <w:rPr>
                <w:rFonts w:hint="eastAsia" w:ascii="仿宋_GB2312" w:hAnsi="仿宋_GB2312" w:eastAsia="仿宋_GB2312" w:cs="仿宋_GB2312"/>
                <w:bCs/>
                <w:sz w:val="28"/>
                <w:szCs w:val="28"/>
              </w:rPr>
              <w:t>支出情况:全年支出</w:t>
            </w:r>
            <w:r>
              <w:rPr>
                <w:rFonts w:hint="eastAsia" w:ascii="仿宋_GB2312" w:hAnsi="仿宋_GB2312" w:eastAsia="仿宋_GB2312" w:cs="仿宋_GB2312"/>
                <w:bCs/>
                <w:sz w:val="28"/>
                <w:szCs w:val="28"/>
                <w:lang w:val="en-US" w:eastAsia="zh-CN"/>
              </w:rPr>
              <w:t xml:space="preserve"> 3935.77 </w:t>
            </w:r>
            <w:r>
              <w:rPr>
                <w:rFonts w:hint="eastAsia" w:ascii="仿宋_GB2312" w:hAnsi="仿宋_GB2312" w:eastAsia="仿宋_GB2312" w:cs="仿宋_GB2312"/>
                <w:bCs/>
                <w:sz w:val="28"/>
                <w:szCs w:val="28"/>
              </w:rPr>
              <w:t>万元，其中：基本支出</w:t>
            </w:r>
            <w:r>
              <w:rPr>
                <w:rFonts w:hint="eastAsia" w:ascii="仿宋_GB2312" w:hAnsi="仿宋_GB2312" w:eastAsia="仿宋_GB2312" w:cs="仿宋_GB2312"/>
                <w:bCs/>
                <w:sz w:val="28"/>
                <w:szCs w:val="28"/>
                <w:lang w:val="en-US" w:eastAsia="zh-CN"/>
              </w:rPr>
              <w:t>1902.72</w:t>
            </w:r>
            <w:r>
              <w:rPr>
                <w:rFonts w:hint="eastAsia" w:ascii="仿宋_GB2312" w:hAnsi="仿宋_GB2312" w:eastAsia="仿宋_GB2312" w:cs="仿宋_GB2312"/>
                <w:bCs/>
                <w:sz w:val="28"/>
                <w:szCs w:val="28"/>
              </w:rPr>
              <w:t>万元（人员支出</w:t>
            </w:r>
            <w:r>
              <w:rPr>
                <w:rFonts w:hint="eastAsia" w:ascii="仿宋_GB2312" w:hAnsi="仿宋_GB2312" w:eastAsia="仿宋_GB2312" w:cs="仿宋_GB2312"/>
                <w:bCs/>
                <w:sz w:val="28"/>
                <w:szCs w:val="28"/>
                <w:lang w:val="en-US" w:eastAsia="zh-CN"/>
              </w:rPr>
              <w:t>1600.72</w:t>
            </w:r>
            <w:r>
              <w:rPr>
                <w:rFonts w:hint="eastAsia" w:ascii="仿宋_GB2312" w:hAnsi="仿宋_GB2312" w:eastAsia="仿宋_GB2312" w:cs="仿宋_GB2312"/>
                <w:bCs/>
                <w:sz w:val="28"/>
                <w:szCs w:val="28"/>
              </w:rPr>
              <w:t>万元，公用支出</w:t>
            </w:r>
            <w:r>
              <w:rPr>
                <w:rFonts w:hint="eastAsia" w:ascii="仿宋_GB2312" w:hAnsi="仿宋_GB2312" w:eastAsia="仿宋_GB2312" w:cs="仿宋_GB2312"/>
                <w:bCs/>
                <w:sz w:val="28"/>
                <w:szCs w:val="28"/>
                <w:lang w:val="en-US" w:eastAsia="zh-CN"/>
              </w:rPr>
              <w:t>302</w:t>
            </w:r>
            <w:r>
              <w:rPr>
                <w:rFonts w:hint="eastAsia" w:ascii="仿宋_GB2312" w:hAnsi="仿宋_GB2312" w:eastAsia="仿宋_GB2312" w:cs="仿宋_GB2312"/>
                <w:bCs/>
                <w:sz w:val="28"/>
                <w:szCs w:val="28"/>
              </w:rPr>
              <w:t>万元），项目支出</w:t>
            </w:r>
            <w:r>
              <w:rPr>
                <w:rFonts w:hint="eastAsia" w:ascii="仿宋_GB2312" w:hAnsi="仿宋_GB2312" w:eastAsia="仿宋_GB2312" w:cs="仿宋_GB2312"/>
                <w:bCs/>
                <w:sz w:val="28"/>
                <w:szCs w:val="28"/>
                <w:lang w:val="en-US" w:eastAsia="zh-CN"/>
              </w:rPr>
              <w:t>2033.05</w:t>
            </w:r>
            <w:r>
              <w:rPr>
                <w:rFonts w:hint="eastAsia" w:ascii="仿宋_GB2312" w:hAnsi="仿宋_GB2312" w:eastAsia="仿宋_GB2312" w:cs="仿宋_GB2312"/>
                <w:bCs/>
                <w:sz w:val="28"/>
                <w:szCs w:val="28"/>
              </w:rPr>
              <w:t>万元。本年结余</w:t>
            </w:r>
            <w:r>
              <w:rPr>
                <w:rFonts w:hint="eastAsia" w:ascii="仿宋_GB2312" w:hAnsi="仿宋_GB2312" w:eastAsia="仿宋_GB2312" w:cs="仿宋_GB2312"/>
                <w:bCs/>
                <w:sz w:val="28"/>
                <w:szCs w:val="28"/>
                <w:lang w:val="en-US" w:eastAsia="zh-CN"/>
              </w:rPr>
              <w:t>无</w:t>
            </w:r>
          </w:p>
          <w:p>
            <w:pPr>
              <w:spacing w:line="560" w:lineRule="exact"/>
              <w:ind w:firstLine="560" w:firstLineChars="200"/>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（二）部门整体支出管理及使用情况</w:t>
            </w:r>
          </w:p>
          <w:p>
            <w:pPr>
              <w:spacing w:line="560" w:lineRule="exact"/>
              <w:ind w:firstLine="560" w:firstLineChars="200"/>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2021年林业部门基本支出为1902.72万元，主要包括人员工资、医疗保险、住房公积金和日常公用定额标准等费用。</w:t>
            </w:r>
          </w:p>
          <w:p>
            <w:pPr>
              <w:spacing w:line="560" w:lineRule="exact"/>
              <w:ind w:firstLine="560" w:firstLineChars="200"/>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2021年林业部门认真贯彻落实厉行节约、严控“三公”经费、降低一般运行经费、加强项目支出管理等方面取得了一定的成绩。先后出台了本单位财务管理、公务接待、车辆使用和会议培训等制度，实行“三公”经费预算和公示制度，有效地控制了“三公”经费支出。三公经费实际使用11.98万元，其中公务接待费8.62万元，公务用车运维费3.36万元，没有因公出国费用。实际支出没有超出预算规模、范围和标准，没有挤占、摊派、乱收费和转移“三公”经费支出的行为，所有“三公”经费支出合法、合规。</w:t>
            </w:r>
          </w:p>
          <w:p>
            <w:pPr>
              <w:spacing w:line="560" w:lineRule="exact"/>
              <w:ind w:firstLine="560" w:firstLineChars="200"/>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1.严格控制公务接待。林业部门公务接待工作按照务实节俭、杜绝浪费的原则进行管理和规范。公务接待明确标准和限额。要求出具接待函、用餐申报单、发票和菜单明细方可报销。每季度公开接待费用支出情况，实行动态管理。2021年接待费8.62万元。</w:t>
            </w:r>
          </w:p>
          <w:p>
            <w:pPr>
              <w:spacing w:line="560" w:lineRule="exact"/>
              <w:ind w:firstLine="560" w:firstLineChars="200"/>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2.2021年公务用车运行费用：3.36。</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lang w:val="en-US" w:eastAsia="zh-CN"/>
              </w:rPr>
              <w:t>3.没有出国经费。</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（二）专项支出</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1</w:t>
            </w:r>
            <w:r>
              <w:rPr>
                <w:rFonts w:hint="eastAsia" w:ascii="仿宋_GB2312" w:hAnsi="仿宋_GB2312" w:eastAsia="仿宋_GB2312" w:cs="仿宋_GB2312"/>
                <w:bCs/>
                <w:sz w:val="28"/>
                <w:szCs w:val="28"/>
                <w:lang w:eastAsia="zh-CN"/>
              </w:rPr>
              <w:t>.</w:t>
            </w:r>
            <w:r>
              <w:rPr>
                <w:rFonts w:hint="eastAsia" w:ascii="仿宋_GB2312" w:hAnsi="仿宋_GB2312" w:eastAsia="仿宋_GB2312" w:cs="仿宋_GB2312"/>
                <w:bCs/>
                <w:sz w:val="28"/>
                <w:szCs w:val="28"/>
              </w:rPr>
              <w:t>专项资金安排落实、总投入等情况分析</w:t>
            </w:r>
          </w:p>
          <w:p>
            <w:pPr>
              <w:spacing w:line="560" w:lineRule="exact"/>
              <w:ind w:firstLine="560" w:firstLineChars="200"/>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2021</w:t>
            </w:r>
            <w:r>
              <w:rPr>
                <w:rFonts w:hint="eastAsia" w:ascii="仿宋_GB2312" w:hAnsi="仿宋_GB2312" w:eastAsia="仿宋_GB2312" w:cs="仿宋_GB2312"/>
                <w:bCs/>
                <w:sz w:val="28"/>
                <w:szCs w:val="28"/>
              </w:rPr>
              <w:t>年林业专项</w:t>
            </w:r>
            <w:r>
              <w:rPr>
                <w:rFonts w:hint="eastAsia" w:ascii="仿宋_GB2312" w:hAnsi="仿宋_GB2312" w:eastAsia="仿宋_GB2312" w:cs="仿宋_GB2312"/>
                <w:bCs/>
                <w:sz w:val="28"/>
                <w:szCs w:val="28"/>
                <w:lang w:val="en-US" w:eastAsia="zh-CN"/>
              </w:rPr>
              <w:t>资金</w:t>
            </w:r>
            <w:r>
              <w:rPr>
                <w:rFonts w:hint="eastAsia" w:ascii="仿宋_GB2312" w:hAnsi="仿宋_GB2312" w:eastAsia="仿宋_GB2312" w:cs="仿宋_GB2312"/>
                <w:bCs/>
                <w:sz w:val="28"/>
                <w:szCs w:val="28"/>
              </w:rPr>
              <w:t>实际投入</w:t>
            </w:r>
            <w:r>
              <w:rPr>
                <w:rFonts w:hint="eastAsia" w:ascii="仿宋_GB2312" w:hAnsi="仿宋_GB2312" w:eastAsia="仿宋_GB2312" w:cs="仿宋_GB2312"/>
                <w:bCs/>
                <w:sz w:val="28"/>
                <w:szCs w:val="28"/>
                <w:lang w:val="en-US" w:eastAsia="zh-CN"/>
              </w:rPr>
              <w:t>2033.05 万元，总</w:t>
            </w:r>
            <w:r>
              <w:rPr>
                <w:rFonts w:hint="eastAsia" w:ascii="仿宋_GB2312" w:hAnsi="仿宋_GB2312" w:eastAsia="仿宋_GB2312" w:cs="仿宋_GB2312"/>
                <w:bCs/>
                <w:sz w:val="28"/>
                <w:szCs w:val="28"/>
              </w:rPr>
              <w:t>投入包括</w:t>
            </w:r>
            <w:r>
              <w:rPr>
                <w:rFonts w:hint="eastAsia" w:ascii="仿宋_GB2312" w:hAnsi="仿宋_GB2312" w:eastAsia="仿宋_GB2312" w:cs="仿宋_GB2312"/>
                <w:bCs/>
                <w:sz w:val="28"/>
                <w:szCs w:val="28"/>
                <w:lang w:eastAsia="zh-CN"/>
              </w:rPr>
              <w:t>：</w:t>
            </w:r>
            <w:r>
              <w:rPr>
                <w:rFonts w:hint="eastAsia" w:ascii="仿宋_GB2312" w:hAnsi="仿宋_GB2312" w:eastAsia="仿宋_GB2312" w:cs="仿宋_GB2312"/>
                <w:bCs/>
                <w:sz w:val="28"/>
                <w:szCs w:val="28"/>
                <w:lang w:val="en-US" w:eastAsia="zh-CN"/>
              </w:rPr>
              <w:t>造林补助项目、</w:t>
            </w:r>
            <w:bookmarkStart w:id="5" w:name="OLE_LINK26"/>
            <w:r>
              <w:rPr>
                <w:rFonts w:hint="eastAsia" w:ascii="仿宋_GB2312" w:hAnsi="仿宋_GB2312" w:eastAsia="仿宋_GB2312" w:cs="仿宋_GB2312"/>
                <w:bCs/>
                <w:sz w:val="28"/>
                <w:szCs w:val="28"/>
                <w:lang w:val="en-US" w:eastAsia="zh-CN"/>
              </w:rPr>
              <w:t>森林生态效益补偿项目</w:t>
            </w:r>
            <w:bookmarkEnd w:id="5"/>
            <w:r>
              <w:rPr>
                <w:rFonts w:hint="eastAsia" w:ascii="仿宋_GB2312" w:hAnsi="仿宋_GB2312" w:eastAsia="仿宋_GB2312" w:cs="仿宋_GB2312"/>
                <w:bCs/>
                <w:sz w:val="28"/>
                <w:szCs w:val="28"/>
                <w:lang w:val="en-US" w:eastAsia="zh-CN"/>
              </w:rPr>
              <w:t>、天然林保护管护项目、有害生物防治项目、森林抚育、林业项目等</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2</w:t>
            </w:r>
            <w:r>
              <w:rPr>
                <w:rFonts w:hint="eastAsia" w:ascii="仿宋_GB2312" w:hAnsi="仿宋_GB2312" w:eastAsia="仿宋_GB2312" w:cs="仿宋_GB2312"/>
                <w:bCs/>
                <w:sz w:val="28"/>
                <w:szCs w:val="28"/>
                <w:lang w:eastAsia="zh-CN"/>
              </w:rPr>
              <w:t>.</w:t>
            </w:r>
            <w:r>
              <w:rPr>
                <w:rFonts w:hint="eastAsia" w:ascii="仿宋_GB2312" w:hAnsi="仿宋_GB2312" w:eastAsia="仿宋_GB2312" w:cs="仿宋_GB2312"/>
                <w:bCs/>
                <w:sz w:val="28"/>
                <w:szCs w:val="28"/>
              </w:rPr>
              <w:t>专项资金（主要是指财政资金）实际使用情况分析</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项目资金（主要是指财政资金）全部用于项目建设，使用率100%。惠农项目（</w:t>
            </w:r>
            <w:r>
              <w:rPr>
                <w:rFonts w:hint="eastAsia" w:ascii="仿宋_GB2312" w:hAnsi="仿宋_GB2312" w:eastAsia="仿宋_GB2312" w:cs="仿宋_GB2312"/>
                <w:bCs/>
                <w:sz w:val="28"/>
                <w:szCs w:val="28"/>
                <w:lang w:val="en-US" w:eastAsia="zh-CN"/>
              </w:rPr>
              <w:t>造林补助</w:t>
            </w:r>
            <w:r>
              <w:rPr>
                <w:rFonts w:hint="eastAsia" w:ascii="仿宋_GB2312" w:hAnsi="仿宋_GB2312" w:eastAsia="仿宋_GB2312" w:cs="仿宋_GB2312"/>
                <w:bCs/>
                <w:sz w:val="28"/>
                <w:szCs w:val="28"/>
              </w:rPr>
              <w:t>、</w:t>
            </w:r>
            <w:r>
              <w:rPr>
                <w:rFonts w:hint="eastAsia" w:ascii="仿宋_GB2312" w:hAnsi="仿宋_GB2312" w:eastAsia="仿宋_GB2312" w:cs="仿宋_GB2312"/>
                <w:bCs/>
                <w:sz w:val="28"/>
                <w:szCs w:val="28"/>
                <w:lang w:val="en-US" w:eastAsia="zh-CN"/>
              </w:rPr>
              <w:t>森林生态效益</w:t>
            </w:r>
            <w:r>
              <w:rPr>
                <w:rFonts w:hint="eastAsia" w:ascii="仿宋_GB2312" w:hAnsi="仿宋_GB2312" w:eastAsia="仿宋_GB2312" w:cs="仿宋_GB2312"/>
                <w:bCs/>
                <w:sz w:val="28"/>
                <w:szCs w:val="28"/>
              </w:rPr>
              <w:t>、</w:t>
            </w:r>
            <w:r>
              <w:rPr>
                <w:rFonts w:hint="eastAsia" w:ascii="仿宋_GB2312" w:hAnsi="仿宋_GB2312" w:eastAsia="仿宋_GB2312" w:cs="仿宋_GB2312"/>
                <w:bCs/>
                <w:sz w:val="28"/>
                <w:szCs w:val="28"/>
                <w:lang w:val="en-US" w:eastAsia="zh-CN"/>
              </w:rPr>
              <w:t>森林抚育</w:t>
            </w:r>
            <w:r>
              <w:rPr>
                <w:rFonts w:hint="eastAsia" w:ascii="仿宋_GB2312" w:hAnsi="仿宋_GB2312" w:eastAsia="仿宋_GB2312" w:cs="仿宋_GB2312"/>
                <w:bCs/>
                <w:sz w:val="28"/>
                <w:szCs w:val="28"/>
              </w:rPr>
              <w:t>、）资金均通过财政“一卡通”方式将补助资金发放到项目单位和农户；其他专项资金由县财政局直接将资金拨付给相关项目实施单位。</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3</w:t>
            </w:r>
            <w:r>
              <w:rPr>
                <w:rFonts w:hint="eastAsia" w:ascii="仿宋_GB2312" w:hAnsi="仿宋_GB2312" w:eastAsia="仿宋_GB2312" w:cs="仿宋_GB2312"/>
                <w:bCs/>
                <w:sz w:val="28"/>
                <w:szCs w:val="28"/>
                <w:lang w:eastAsia="zh-CN"/>
              </w:rPr>
              <w:t>.</w:t>
            </w:r>
            <w:r>
              <w:rPr>
                <w:rFonts w:hint="eastAsia" w:ascii="仿宋_GB2312" w:hAnsi="仿宋_GB2312" w:eastAsia="仿宋_GB2312" w:cs="仿宋_GB2312"/>
                <w:bCs/>
                <w:sz w:val="28"/>
                <w:szCs w:val="28"/>
              </w:rPr>
              <w:t>专项资金管理情况分析</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严格按照项目资金管理规定管理资金，专款专用，资金使用与管理及时率100%、到位率100%、使用合格率100%。严格执行财经纪律，建立资金管理和控制体系，主动接受财政、审计部门审计、监督，杜绝了挪用、串用、截留、挤占等现象，保证了项目顺利实施。</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三、部门（单位）专项组织实施情况</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（一）专项组织情况分析</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20</w:t>
            </w:r>
            <w:r>
              <w:rPr>
                <w:rFonts w:hint="eastAsia" w:ascii="仿宋_GB2312" w:hAnsi="仿宋_GB2312" w:eastAsia="仿宋_GB2312" w:cs="仿宋_GB2312"/>
                <w:bCs/>
                <w:sz w:val="28"/>
                <w:szCs w:val="28"/>
                <w:lang w:val="en-US" w:eastAsia="zh-CN"/>
              </w:rPr>
              <w:t>21</w:t>
            </w:r>
            <w:r>
              <w:rPr>
                <w:rFonts w:hint="eastAsia" w:ascii="仿宋_GB2312" w:hAnsi="仿宋_GB2312" w:eastAsia="仿宋_GB2312" w:cs="仿宋_GB2312"/>
                <w:bCs/>
                <w:sz w:val="28"/>
                <w:szCs w:val="28"/>
              </w:rPr>
              <w:t>年，本部门有</w:t>
            </w:r>
            <w:r>
              <w:rPr>
                <w:rFonts w:hint="eastAsia" w:ascii="仿宋_GB2312" w:hAnsi="仿宋_GB2312" w:eastAsia="仿宋_GB2312" w:cs="仿宋_GB2312"/>
                <w:bCs/>
                <w:sz w:val="28"/>
                <w:szCs w:val="28"/>
                <w:lang w:val="en-US" w:eastAsia="zh-CN"/>
              </w:rPr>
              <w:t>造林补助项目、森林生态效益补偿项目、天然林保护管护项目、有害生物防治项目、森林抚育、林业项目</w:t>
            </w:r>
            <w:r>
              <w:rPr>
                <w:rFonts w:hint="eastAsia" w:ascii="仿宋_GB2312" w:hAnsi="仿宋_GB2312" w:eastAsia="仿宋_GB2312" w:cs="仿宋_GB2312"/>
                <w:bCs/>
                <w:sz w:val="28"/>
                <w:szCs w:val="28"/>
              </w:rPr>
              <w:t>等个专项，为保证各个专项顺利实施，本部门制定了组织实施方案，按资金来源分门别类建立了档案和台账，档案内容齐全，从专项资金下达、项目建设、政府采购、专项资金使用管理都指定专人负责。</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（二）专项管理情况分析</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完善林业专项资金管理，从源头入手，落实责任，完善制度，合理使用，加强监管，确保林业项目资金的管理使用效率。一是加强领导，增强责任制意识。落实管理责任，成立项目实施领导小组，建立项目管理体系。二是加强资金管理制度建设。结合本部门的实际,制订出各项规章制度，将各项经济活动划分到具体工作岗位, 按照岗位确定任务、职责和权限，贯彻执行相关财务制度,加强制度执行的监督，使林业专项资金管理有章可循。三是加强资金的支出管理。坚持“专项核算、专人管理、专款专用”的原则，严禁挤占、挪用专项资金。</w:t>
            </w:r>
          </w:p>
          <w:p>
            <w:pPr>
              <w:spacing w:line="560" w:lineRule="exact"/>
              <w:ind w:firstLine="560" w:firstLineChars="200"/>
              <w:rPr>
                <w:rFonts w:hint="eastAsia" w:ascii="仿宋_GB2312" w:hAnsi="仿宋_GB2312" w:eastAsia="仿宋_GB2312" w:cs="仿宋_GB2312"/>
                <w:bCs/>
                <w:sz w:val="28"/>
                <w:szCs w:val="28"/>
              </w:rPr>
            </w:pPr>
          </w:p>
          <w:p>
            <w:pPr>
              <w:numPr>
                <w:ilvl w:val="0"/>
                <w:numId w:val="1"/>
              </w:num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部门（单位）整体支出绩效情况</w:t>
            </w:r>
          </w:p>
          <w:p>
            <w:pPr>
              <w:numPr>
                <w:ilvl w:val="0"/>
                <w:numId w:val="0"/>
              </w:numPr>
              <w:spacing w:line="560" w:lineRule="exact"/>
              <w:ind w:firstLine="600" w:firstLineChars="200"/>
              <w:rPr>
                <w:rFonts w:hint="eastAsia" w:ascii="仿宋" w:hAnsi="仿宋" w:eastAsia="仿宋" w:cs="仿宋"/>
                <w:bCs/>
                <w:sz w:val="30"/>
                <w:szCs w:val="30"/>
              </w:rPr>
            </w:pPr>
            <w:r>
              <w:rPr>
                <w:rFonts w:hint="eastAsia" w:ascii="仿宋" w:hAnsi="仿宋" w:eastAsia="仿宋" w:cs="仿宋"/>
                <w:bCs/>
                <w:sz w:val="30"/>
                <w:szCs w:val="30"/>
                <w:lang w:eastAsia="zh-CN"/>
              </w:rPr>
              <w:t>20</w:t>
            </w:r>
            <w:r>
              <w:rPr>
                <w:rFonts w:hint="eastAsia" w:ascii="仿宋" w:hAnsi="仿宋" w:eastAsia="仿宋" w:cs="仿宋"/>
                <w:bCs/>
                <w:sz w:val="30"/>
                <w:szCs w:val="30"/>
                <w:lang w:val="en-US" w:eastAsia="zh-CN"/>
              </w:rPr>
              <w:t>21</w:t>
            </w:r>
            <w:r>
              <w:rPr>
                <w:rFonts w:hint="eastAsia" w:ascii="仿宋" w:hAnsi="仿宋" w:eastAsia="仿宋" w:cs="仿宋"/>
                <w:bCs/>
                <w:sz w:val="30"/>
                <w:szCs w:val="30"/>
              </w:rPr>
              <w:t>年，根据年初工作规划和重点工作，围绕县委、县政府的工作部署，积极履行职责，强化管理，较好地完成了年度工作目标，同时加强预算收支的管理，建立健全内部管理制度，严格内部管理流程，部门整体支出管理得到了提升。</w:t>
            </w:r>
            <w:r>
              <w:rPr>
                <w:rFonts w:hint="eastAsia" w:ascii="仿宋" w:hAnsi="仿宋" w:eastAsia="仿宋" w:cs="仿宋"/>
                <w:bCs/>
                <w:sz w:val="30"/>
                <w:szCs w:val="30"/>
                <w:lang w:eastAsia="zh-CN"/>
              </w:rPr>
              <w:t>20</w:t>
            </w:r>
            <w:r>
              <w:rPr>
                <w:rFonts w:hint="eastAsia" w:ascii="仿宋" w:hAnsi="仿宋" w:eastAsia="仿宋" w:cs="仿宋"/>
                <w:bCs/>
                <w:sz w:val="30"/>
                <w:szCs w:val="30"/>
                <w:lang w:val="en-US" w:eastAsia="zh-CN"/>
              </w:rPr>
              <w:t>21</w:t>
            </w:r>
            <w:r>
              <w:rPr>
                <w:rFonts w:hint="eastAsia" w:ascii="仿宋" w:hAnsi="仿宋" w:eastAsia="仿宋" w:cs="仿宋"/>
                <w:bCs/>
                <w:sz w:val="30"/>
                <w:szCs w:val="30"/>
              </w:rPr>
              <w:t>年度部门整体支出绩效情况如下：</w:t>
            </w:r>
          </w:p>
          <w:p>
            <w:pPr>
              <w:numPr>
                <w:ilvl w:val="0"/>
                <w:numId w:val="0"/>
              </w:numPr>
              <w:spacing w:line="560" w:lineRule="exact"/>
              <w:ind w:firstLine="600" w:firstLineChars="200"/>
              <w:rPr>
                <w:rFonts w:hint="eastAsia" w:ascii="仿宋" w:hAnsi="仿宋" w:eastAsia="仿宋" w:cs="仿宋"/>
                <w:bCs/>
                <w:sz w:val="30"/>
                <w:szCs w:val="30"/>
              </w:rPr>
            </w:pPr>
            <w:r>
              <w:rPr>
                <w:rFonts w:hint="eastAsia" w:ascii="仿宋" w:hAnsi="仿宋" w:eastAsia="仿宋" w:cs="仿宋"/>
                <w:bCs/>
                <w:sz w:val="30"/>
                <w:szCs w:val="30"/>
              </w:rPr>
              <w:t>1.资金使用效益高。表现在:一是保障了职工工资,津补贴的及时足额发放,没有出现拖欠职工工资、离退休费用等现象；二是保障了单位的正常运转,各项工作开展顺利,林业各项指标得到了增长,林农收入得到了提高；三是财政供养人员控制较好,；四是资金使用无虚列支出及随意使用现象,无大额现金支付现象。</w:t>
            </w:r>
          </w:p>
          <w:p>
            <w:pPr>
              <w:numPr>
                <w:ilvl w:val="0"/>
                <w:numId w:val="0"/>
              </w:numPr>
              <w:spacing w:line="560" w:lineRule="exact"/>
              <w:ind w:firstLine="600" w:firstLineChars="200"/>
              <w:rPr>
                <w:rFonts w:hint="eastAsia" w:ascii="仿宋" w:hAnsi="仿宋" w:eastAsia="仿宋" w:cs="仿宋"/>
                <w:bCs/>
                <w:sz w:val="30"/>
                <w:szCs w:val="30"/>
              </w:rPr>
            </w:pPr>
            <w:r>
              <w:rPr>
                <w:rFonts w:hint="eastAsia" w:ascii="仿宋" w:hAnsi="仿宋" w:eastAsia="仿宋" w:cs="仿宋"/>
                <w:bCs/>
                <w:sz w:val="30"/>
                <w:szCs w:val="30"/>
              </w:rPr>
              <w:t>2.预算执行方面，支出总额控制在预算总额以内，其他专项工程建设资金按时拨付资金，较好的完成了当年任务目标，财政拨款支出总体控制较好。</w:t>
            </w:r>
          </w:p>
          <w:p>
            <w:pPr>
              <w:numPr>
                <w:ilvl w:val="0"/>
                <w:numId w:val="0"/>
              </w:numPr>
              <w:spacing w:line="560" w:lineRule="exact"/>
              <w:ind w:firstLine="600" w:firstLineChars="200"/>
              <w:rPr>
                <w:rFonts w:hint="eastAsia" w:ascii="黑体" w:hAnsi="黑体" w:eastAsia="黑体" w:cs="黑体"/>
                <w:bCs/>
                <w:sz w:val="28"/>
                <w:szCs w:val="28"/>
              </w:rPr>
            </w:pPr>
            <w:r>
              <w:rPr>
                <w:rFonts w:hint="eastAsia" w:ascii="仿宋" w:hAnsi="仿宋" w:eastAsia="仿宋" w:cs="仿宋"/>
                <w:bCs/>
                <w:sz w:val="30"/>
                <w:szCs w:val="30"/>
              </w:rPr>
              <w:t>3.预算管理方面，林业部门制定了切实有效的内部财务、车辆、资产内部管理制度，执行总体较为有效。按照部门整体支出绩效评价指标体系对照打分得出结果为</w:t>
            </w:r>
            <w:r>
              <w:rPr>
                <w:rFonts w:hint="eastAsia" w:ascii="仿宋" w:hAnsi="仿宋" w:eastAsia="仿宋" w:cs="仿宋"/>
                <w:bCs/>
                <w:sz w:val="30"/>
                <w:szCs w:val="30"/>
                <w:lang w:val="en-US" w:eastAsia="zh-CN"/>
              </w:rPr>
              <w:t>94</w:t>
            </w:r>
            <w:r>
              <w:rPr>
                <w:rFonts w:hint="eastAsia" w:ascii="仿宋" w:hAnsi="仿宋" w:eastAsia="仿宋" w:cs="仿宋"/>
                <w:bCs/>
                <w:sz w:val="30"/>
                <w:szCs w:val="30"/>
              </w:rPr>
              <w:t>分，等级为优秀。</w:t>
            </w:r>
          </w:p>
          <w:p>
            <w:pPr>
              <w:numPr>
                <w:ilvl w:val="0"/>
                <w:numId w:val="1"/>
              </w:numPr>
              <w:spacing w:line="560" w:lineRule="exact"/>
              <w:ind w:left="0" w:leftChars="0" w:firstLine="560" w:firstLineChars="200"/>
              <w:rPr>
                <w:rFonts w:hint="eastAsia" w:ascii="黑体" w:hAnsi="黑体" w:eastAsia="黑体" w:cs="黑体"/>
                <w:bCs/>
                <w:sz w:val="28"/>
                <w:szCs w:val="28"/>
              </w:rPr>
            </w:pPr>
            <w:r>
              <w:rPr>
                <w:rFonts w:hint="eastAsia" w:ascii="黑体" w:hAnsi="黑体" w:eastAsia="黑体" w:cs="黑体"/>
                <w:bCs/>
                <w:sz w:val="28"/>
                <w:szCs w:val="28"/>
              </w:rPr>
              <w:t>存在的主要问题</w:t>
            </w:r>
          </w:p>
          <w:p>
            <w:pPr>
              <w:numPr>
                <w:ilvl w:val="0"/>
                <w:numId w:val="0"/>
              </w:numPr>
              <w:spacing w:line="560" w:lineRule="exact"/>
              <w:ind w:firstLine="560" w:firstLineChars="200"/>
              <w:rPr>
                <w:rFonts w:hint="eastAsia" w:ascii="仿宋" w:hAnsi="仿宋" w:eastAsia="仿宋" w:cs="仿宋"/>
                <w:bCs/>
                <w:sz w:val="30"/>
                <w:szCs w:val="30"/>
                <w:lang w:val="en-US" w:eastAsia="zh-CN"/>
              </w:rPr>
            </w:pPr>
            <w:r>
              <w:rPr>
                <w:rFonts w:hint="eastAsia" w:ascii="黑体" w:hAnsi="黑体" w:eastAsia="黑体" w:cs="黑体"/>
                <w:bCs/>
                <w:sz w:val="28"/>
                <w:szCs w:val="28"/>
                <w:lang w:val="en-US" w:eastAsia="zh-CN"/>
              </w:rPr>
              <w:t xml:space="preserve"> </w:t>
            </w:r>
            <w:r>
              <w:rPr>
                <w:rFonts w:hint="eastAsia" w:ascii="仿宋" w:hAnsi="仿宋" w:eastAsia="仿宋" w:cs="仿宋"/>
                <w:bCs/>
                <w:sz w:val="30"/>
                <w:szCs w:val="30"/>
                <w:lang w:val="en-US" w:eastAsia="zh-CN"/>
              </w:rPr>
              <w:t>本部门在编制部门年度预算时，虽然根据本单位职能职责和年度工作计划，但在2021年部门预算执行过程中，仍然存在以下问题。</w:t>
            </w:r>
          </w:p>
          <w:p>
            <w:pPr>
              <w:numPr>
                <w:ilvl w:val="0"/>
                <w:numId w:val="0"/>
              </w:numPr>
              <w:spacing w:line="560" w:lineRule="exact"/>
              <w:ind w:firstLine="600" w:firstLineChars="200"/>
              <w:rPr>
                <w:rFonts w:hint="eastAsia" w:ascii="黑体" w:hAnsi="黑体" w:eastAsia="黑体" w:cs="黑体"/>
                <w:bCs/>
                <w:sz w:val="28"/>
                <w:szCs w:val="28"/>
                <w:lang w:val="en-US" w:eastAsia="zh-CN"/>
              </w:rPr>
            </w:pPr>
            <w:r>
              <w:rPr>
                <w:rFonts w:hint="eastAsia" w:ascii="仿宋" w:hAnsi="仿宋" w:eastAsia="仿宋" w:cs="仿宋"/>
                <w:bCs/>
                <w:sz w:val="30"/>
                <w:szCs w:val="30"/>
                <w:lang w:val="en-US" w:eastAsia="zh-CN"/>
              </w:rPr>
              <w:t>由于上级交办林业调查监测任务的突发性，一些无法预计和列入年初预算的项目支出，需要在年度中间进行预算追加和调整。</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六、改进措施和有关建议</w:t>
            </w:r>
          </w:p>
          <w:p>
            <w:pPr>
              <w:ind w:firstLine="600" w:firstLineChars="200"/>
              <w:rPr>
                <w:rFonts w:hint="eastAsia" w:ascii="仿宋" w:hAnsi="仿宋" w:eastAsia="仿宋" w:cs="仿宋"/>
                <w:bCs/>
                <w:sz w:val="30"/>
                <w:szCs w:val="30"/>
              </w:rPr>
            </w:pPr>
            <w:r>
              <w:rPr>
                <w:rFonts w:hint="eastAsia" w:ascii="仿宋" w:hAnsi="仿宋" w:eastAsia="仿宋" w:cs="仿宋"/>
                <w:bCs/>
                <w:sz w:val="30"/>
                <w:szCs w:val="30"/>
                <w:lang w:val="en-US" w:eastAsia="zh-CN"/>
              </w:rPr>
              <w:t>1.</w:t>
            </w:r>
            <w:r>
              <w:rPr>
                <w:rFonts w:hint="eastAsia" w:ascii="仿宋" w:hAnsi="仿宋" w:eastAsia="仿宋" w:cs="仿宋"/>
                <w:bCs/>
                <w:sz w:val="30"/>
                <w:szCs w:val="30"/>
              </w:rPr>
              <w:t>是按照预算规定的项目和用途严格财务审核，经费支出严格按预算规定项目的财务支出内容进行财务核算，在预算金额内严格控制费用的支出。</w:t>
            </w:r>
          </w:p>
          <w:p>
            <w:pPr>
              <w:ind w:firstLine="600" w:firstLineChars="200"/>
              <w:rPr>
                <w:rFonts w:hint="eastAsia" w:ascii="仿宋" w:hAnsi="仿宋" w:eastAsia="仿宋" w:cs="仿宋"/>
                <w:bCs/>
                <w:sz w:val="30"/>
                <w:szCs w:val="30"/>
              </w:rPr>
            </w:pPr>
            <w:r>
              <w:rPr>
                <w:rFonts w:hint="eastAsia" w:ascii="仿宋" w:hAnsi="仿宋" w:eastAsia="仿宋" w:cs="仿宋"/>
                <w:bCs/>
                <w:sz w:val="30"/>
                <w:szCs w:val="30"/>
                <w:lang w:val="en-US" w:eastAsia="zh-CN"/>
              </w:rPr>
              <w:t>2.</w:t>
            </w:r>
            <w:r>
              <w:rPr>
                <w:rFonts w:hint="eastAsia" w:ascii="仿宋" w:hAnsi="仿宋" w:eastAsia="仿宋" w:cs="仿宋"/>
                <w:bCs/>
                <w:sz w:val="30"/>
                <w:szCs w:val="30"/>
              </w:rPr>
              <w:t>是严格控制“三公经费”支出，杜绝挪用和挤占其他预算资金；进一步细化“三公经费”管理，压缩“三公经费”支出。</w:t>
            </w:r>
          </w:p>
          <w:p>
            <w:pPr>
              <w:ind w:firstLine="600" w:firstLineChars="200"/>
              <w:rPr>
                <w:rFonts w:hint="eastAsia" w:ascii="仿宋" w:hAnsi="仿宋" w:eastAsia="仿宋" w:cs="仿宋"/>
                <w:bCs/>
                <w:sz w:val="30"/>
                <w:szCs w:val="30"/>
                <w:lang w:val="en-US" w:eastAsia="zh-CN"/>
              </w:rPr>
            </w:pPr>
            <w:r>
              <w:rPr>
                <w:rFonts w:hint="eastAsia" w:ascii="仿宋" w:hAnsi="仿宋" w:eastAsia="仿宋" w:cs="仿宋"/>
                <w:bCs/>
                <w:sz w:val="30"/>
                <w:szCs w:val="30"/>
                <w:lang w:val="en-US" w:eastAsia="zh-CN"/>
              </w:rPr>
              <w:t>3.</w:t>
            </w:r>
            <w:r>
              <w:rPr>
                <w:rFonts w:hint="eastAsia" w:ascii="仿宋" w:hAnsi="仿宋" w:eastAsia="仿宋" w:cs="仿宋"/>
                <w:bCs/>
                <w:sz w:val="30"/>
                <w:szCs w:val="30"/>
              </w:rPr>
              <w:t>是加强项目资金的使用管理，充分发挥财政专项资金的使用效益。同时，强化项目资金的监督，主动接受相关职能部门的检查和审计监督，并加强项目建设指导和检查验收。</w:t>
            </w:r>
            <w:r>
              <w:rPr>
                <w:rFonts w:hint="eastAsia" w:ascii="仿宋" w:hAnsi="仿宋" w:eastAsia="仿宋" w:cs="仿宋"/>
                <w:bCs/>
                <w:sz w:val="30"/>
                <w:szCs w:val="30"/>
                <w:lang w:val="en-US" w:eastAsia="zh-CN"/>
              </w:rPr>
              <w:t xml:space="preserve">       </w:t>
            </w:r>
          </w:p>
          <w:p>
            <w:pPr>
              <w:rPr>
                <w:rFonts w:hint="eastAsia" w:ascii="仿宋" w:hAnsi="仿宋" w:eastAsia="仿宋" w:cs="仿宋"/>
                <w:bCs/>
                <w:sz w:val="30"/>
                <w:szCs w:val="30"/>
                <w:lang w:val="en-US" w:eastAsia="zh-CN"/>
              </w:rPr>
            </w:pPr>
            <w:r>
              <w:rPr>
                <w:rFonts w:hint="eastAsia" w:ascii="仿宋" w:hAnsi="仿宋" w:eastAsia="仿宋" w:cs="仿宋"/>
                <w:bCs/>
                <w:sz w:val="30"/>
                <w:szCs w:val="30"/>
                <w:lang w:val="en-US" w:eastAsia="zh-CN"/>
              </w:rPr>
              <w:t xml:space="preserve">                                   </w:t>
            </w:r>
          </w:p>
          <w:p>
            <w:pPr>
              <w:rPr>
                <w:rFonts w:hint="default" w:ascii="仿宋" w:hAnsi="仿宋" w:eastAsia="仿宋" w:cs="仿宋"/>
                <w:bCs/>
                <w:sz w:val="30"/>
                <w:szCs w:val="30"/>
                <w:lang w:val="en-US" w:eastAsia="zh-CN"/>
              </w:rPr>
            </w:pPr>
            <w:r>
              <w:rPr>
                <w:rFonts w:hint="eastAsia" w:ascii="仿宋" w:hAnsi="仿宋" w:eastAsia="仿宋" w:cs="仿宋"/>
                <w:bCs/>
                <w:sz w:val="30"/>
                <w:szCs w:val="30"/>
                <w:lang w:val="en-US" w:eastAsia="zh-CN"/>
              </w:rPr>
              <w:t xml:space="preserve">                                     2022年6月8日</w:t>
            </w:r>
          </w:p>
          <w:p>
            <w:pPr>
              <w:rPr>
                <w:rFonts w:eastAsia="楷体_GB2312"/>
                <w:bCs/>
                <w:sz w:val="28"/>
                <w:szCs w:val="28"/>
              </w:rPr>
            </w:pPr>
          </w:p>
        </w:tc>
      </w:tr>
    </w:tbl>
    <w:p>
      <w:pPr>
        <w:spacing w:line="348" w:lineRule="auto"/>
        <w:rPr>
          <w:rFonts w:eastAsia="楷体_GB2312"/>
          <w:bCs/>
          <w:sz w:val="28"/>
          <w:szCs w:val="28"/>
        </w:rPr>
      </w:pPr>
    </w:p>
    <w:p>
      <w:pPr>
        <w:rPr>
          <w:rFonts w:hint="eastAsia" w:ascii="黑体" w:hAnsi="黑体" w:eastAsia="黑体"/>
          <w:sz w:val="32"/>
          <w:szCs w:val="32"/>
        </w:rPr>
      </w:pPr>
      <w:bookmarkStart w:id="6" w:name="_GoBack"/>
      <w:bookmarkEnd w:id="6"/>
      <w:r>
        <w:rPr>
          <w:rFonts w:hint="eastAsia" w:ascii="黑体" w:hAnsi="黑体" w:eastAsia="黑体"/>
          <w:sz w:val="32"/>
          <w:szCs w:val="32"/>
        </w:rPr>
        <w:t>附件3-1</w:t>
      </w:r>
    </w:p>
    <w:p>
      <w:pPr>
        <w:jc w:val="center"/>
        <w:rPr>
          <w:rFonts w:hint="eastAsia" w:ascii="方正小标宋简体" w:eastAsia="方正小标宋简体"/>
          <w:sz w:val="38"/>
          <w:szCs w:val="38"/>
        </w:rPr>
      </w:pPr>
      <w:r>
        <w:rPr>
          <w:rFonts w:hint="eastAsia" w:ascii="方正小标宋简体" w:eastAsia="方正小标宋简体"/>
          <w:sz w:val="38"/>
          <w:szCs w:val="38"/>
        </w:rPr>
        <w:t>部门整体支出绩效评价评分表（参考样表）</w:t>
      </w:r>
    </w:p>
    <w:tbl>
      <w:tblPr>
        <w:tblStyle w:val="7"/>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投  入</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预算配置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重点支出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预算执行</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0</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4"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6</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17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预算管理</w:t>
            </w:r>
          </w:p>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（15分）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①已制定或具有预算资金管理办法，内部财务管理制度、会计核算制度等管理制度，1分；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②相关管理制度合法、合规、完整，1分；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资金使用</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①支出符合国家财经法规和财务管理制度规定以及有关专项资金管理办法的规定；</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②资金拨付有完整的审批程序和手续；</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③项目支出按规定经过评估论证；</w:t>
            </w:r>
          </w:p>
          <w:p>
            <w:pPr>
              <w:widowControl/>
              <w:spacing w:line="240" w:lineRule="exact"/>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rPr>
              <w:t>④支出符合部门预算批复的用途；</w:t>
            </w:r>
          </w:p>
          <w:p>
            <w:pPr>
              <w:widowControl/>
              <w:spacing w:line="240" w:lineRule="exact"/>
              <w:jc w:val="left"/>
              <w:rPr>
                <w:rFonts w:hint="eastAsia" w:ascii="仿宋_GB2312" w:hAnsi="宋体" w:eastAsia="仿宋_GB2312" w:cs="宋体"/>
                <w:spacing w:val="-6"/>
                <w:kern w:val="0"/>
                <w:sz w:val="18"/>
                <w:szCs w:val="18"/>
                <w:lang w:eastAsia="zh-CN"/>
              </w:rPr>
            </w:pPr>
            <w:r>
              <w:rPr>
                <w:rFonts w:hint="eastAsia" w:ascii="仿宋_GB2312" w:hAnsi="宋体" w:eastAsia="仿宋_GB2312" w:cs="宋体"/>
                <w:spacing w:val="-6"/>
                <w:kern w:val="0"/>
                <w:sz w:val="18"/>
                <w:szCs w:val="18"/>
              </w:rPr>
              <w:t>⑤资金使用无截留、挤占、挪用、虚列支出等情况。</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245"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①按规定内容公开预决算信息，1分；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②按规定时限公开预决算信息，0.5分；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③基础数据信息和会计信息资料真实，0.5分；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④基础数据信息和会计信息资料完整，0.5分；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政府采购执行率等于100%的，得3分；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公务卡刷卡率达</w:t>
            </w:r>
            <w:r>
              <w:rPr>
                <w:rFonts w:hint="eastAsia" w:ascii="仿宋_GB2312" w:hAnsi="宋体" w:eastAsia="仿宋_GB2312" w:cs="宋体"/>
                <w:kern w:val="0"/>
                <w:sz w:val="18"/>
                <w:szCs w:val="18"/>
                <w:lang w:val="en-US" w:eastAsia="zh-CN"/>
              </w:rPr>
              <w:t>7</w:t>
            </w:r>
            <w:r>
              <w:rPr>
                <w:rFonts w:hint="eastAsia" w:ascii="仿宋_GB2312" w:hAnsi="宋体" w:eastAsia="仿宋_GB2312" w:cs="宋体"/>
                <w:kern w:val="0"/>
                <w:sz w:val="18"/>
                <w:szCs w:val="18"/>
              </w:rPr>
              <w:t>0％以上的，得3分。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①已制定或具有资产管理制度，且相关资产管理制度合法、合规、完整，2分；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bl>
    <w:p/>
    <w:tbl>
      <w:tblPr>
        <w:tblStyle w:val="7"/>
        <w:tblW w:w="9937" w:type="dxa"/>
        <w:jc w:val="center"/>
        <w:tblLayout w:type="fixed"/>
        <w:tblCellMar>
          <w:top w:w="0" w:type="dxa"/>
          <w:left w:w="108" w:type="dxa"/>
          <w:bottom w:w="0" w:type="dxa"/>
          <w:right w:w="108" w:type="dxa"/>
        </w:tblCellMar>
      </w:tblPr>
      <w:tblGrid>
        <w:gridCol w:w="980"/>
        <w:gridCol w:w="943"/>
        <w:gridCol w:w="1395"/>
        <w:gridCol w:w="4190"/>
        <w:gridCol w:w="621"/>
        <w:gridCol w:w="723"/>
        <w:gridCol w:w="1085"/>
      </w:tblGrid>
      <w:tr>
        <w:tblPrEx>
          <w:tblCellMar>
            <w:top w:w="0" w:type="dxa"/>
            <w:left w:w="108" w:type="dxa"/>
            <w:bottom w:w="0" w:type="dxa"/>
            <w:right w:w="108" w:type="dxa"/>
          </w:tblCellMar>
        </w:tblPrEx>
        <w:trPr>
          <w:trHeight w:val="678" w:hRule="atLeast"/>
          <w:jc w:val="center"/>
        </w:trPr>
        <w:tc>
          <w:tcPr>
            <w:tcW w:w="98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43"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CellMar>
            <w:top w:w="0" w:type="dxa"/>
            <w:left w:w="108" w:type="dxa"/>
            <w:bottom w:w="0" w:type="dxa"/>
            <w:right w:w="108" w:type="dxa"/>
          </w:tblCellMar>
        </w:tblPrEx>
        <w:trPr>
          <w:trHeight w:val="2216" w:hRule="atLeast"/>
          <w:jc w:val="center"/>
        </w:trPr>
        <w:tc>
          <w:tcPr>
            <w:tcW w:w="98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安全性</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①资产保存完整；</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②资产配置合理；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 xml:space="preserve">③资产处置规范； </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④资产账务管理合规，帐实相符；</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⑤资产有偿使用及处置收入及时足额上缴；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以上情况每出现一例不符合有关要求的扣1分，扣完为止。</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5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固定资产</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利用率</w:t>
            </w:r>
          </w:p>
        </w:tc>
        <w:tc>
          <w:tcPr>
            <w:tcW w:w="4190"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  出（25分</w:t>
            </w:r>
            <w:r>
              <w:rPr>
                <w:rFonts w:hint="eastAsia" w:ascii="仿宋_GB2312" w:hAnsi="宋体" w:eastAsia="仿宋_GB2312" w:cs="宋体"/>
                <w:kern w:val="0"/>
                <w:sz w:val="18"/>
                <w:szCs w:val="18"/>
                <w:lang w:eastAsia="zh-CN"/>
              </w:rPr>
              <w:t>）</w:t>
            </w:r>
          </w:p>
        </w:tc>
        <w:tc>
          <w:tcPr>
            <w:tcW w:w="943"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职责履行</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（25分）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eastAsia="zh-CN"/>
              </w:rPr>
              <w:t>实施“三高四新”战略</w:t>
            </w:r>
            <w:r>
              <w:rPr>
                <w:rFonts w:hint="eastAsia" w:ascii="仿宋_GB2312" w:hAnsi="宋体" w:eastAsia="仿宋_GB2312" w:cs="宋体"/>
                <w:kern w:val="0"/>
                <w:sz w:val="18"/>
                <w:szCs w:val="18"/>
              </w:rPr>
              <w:t>目标任务完成情况</w:t>
            </w:r>
          </w:p>
        </w:tc>
        <w:tc>
          <w:tcPr>
            <w:tcW w:w="419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围绕部门和单位职责、年度重点工作任务，衡量评价部门和单位整体及核心业务实施效果</w:t>
            </w:r>
          </w:p>
          <w:p>
            <w:pPr>
              <w:widowControl/>
              <w:spacing w:line="240" w:lineRule="exact"/>
              <w:jc w:val="left"/>
              <w:rPr>
                <w:rFonts w:hint="eastAsia" w:ascii="仿宋_GB2312" w:hAnsi="宋体" w:eastAsia="仿宋_GB2312" w:cs="宋体"/>
                <w:kern w:val="0"/>
                <w:sz w:val="18"/>
                <w:szCs w:val="18"/>
                <w:lang w:eastAsia="zh-CN"/>
              </w:rPr>
            </w:pP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部门单位应根据部门实际进行调整，并将其细化成相应的个性化指标。。</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8</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6</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3"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8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效  果</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943"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履职效益</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9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51" w:hRule="atLeast"/>
          <w:jc w:val="center"/>
        </w:trPr>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9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43"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419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b/>
                <w:bCs/>
                <w:kern w:val="0"/>
                <w:sz w:val="18"/>
                <w:szCs w:val="18"/>
                <w:lang w:val="en-US" w:eastAsia="zh-CN"/>
              </w:rPr>
            </w:pPr>
            <w:r>
              <w:rPr>
                <w:rFonts w:hint="eastAsia" w:ascii="仿宋_GB2312" w:hAnsi="宋体" w:eastAsia="仿宋_GB2312" w:cs="宋体"/>
                <w:b/>
                <w:bCs/>
                <w:kern w:val="0"/>
                <w:sz w:val="18"/>
                <w:szCs w:val="18"/>
                <w:lang w:val="en-US" w:eastAsia="zh-CN"/>
              </w:rPr>
              <w:t>94</w:t>
            </w: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156" w:beforeLines="50"/>
        <w:contextualSpacing/>
        <w:rPr>
          <w:rFonts w:hint="eastAsia" w:ascii="仿宋_GB2312" w:hAnsi="宋体" w:eastAsia="仿宋_GB2312" w:cs="宋体"/>
          <w:kern w:val="0"/>
          <w:szCs w:val="21"/>
          <w:lang w:eastAsia="zh-CN"/>
        </w:rPr>
      </w:pPr>
      <w:r>
        <w:rPr>
          <w:rFonts w:hint="eastAsia" w:ascii="仿宋_GB2312" w:hAnsi="宋体" w:eastAsia="仿宋_GB2312" w:cs="宋体"/>
          <w:kern w:val="0"/>
          <w:szCs w:val="21"/>
        </w:rPr>
        <w:t>备注：部门（单位）</w:t>
      </w:r>
      <w:r>
        <w:rPr>
          <w:rFonts w:hint="eastAsia" w:ascii="仿宋_GB2312" w:hAnsi="宋体" w:eastAsia="仿宋_GB2312" w:cs="宋体"/>
          <w:kern w:val="0"/>
          <w:szCs w:val="21"/>
          <w:lang w:eastAsia="zh-CN"/>
        </w:rPr>
        <w:t>可</w:t>
      </w:r>
      <w:r>
        <w:rPr>
          <w:rFonts w:hint="eastAsia" w:ascii="仿宋_GB2312" w:hAnsi="宋体" w:eastAsia="仿宋_GB2312" w:cs="宋体"/>
          <w:kern w:val="0"/>
          <w:szCs w:val="21"/>
        </w:rPr>
        <w:t>根据本部门实际情况</w:t>
      </w:r>
      <w:r>
        <w:rPr>
          <w:rFonts w:hint="eastAsia" w:ascii="仿宋_GB2312" w:hAnsi="宋体" w:eastAsia="仿宋_GB2312" w:cs="宋体"/>
          <w:kern w:val="0"/>
          <w:szCs w:val="21"/>
          <w:lang w:eastAsia="zh-CN"/>
        </w:rPr>
        <w:t>，对评价指标体系</w:t>
      </w:r>
      <w:r>
        <w:rPr>
          <w:rFonts w:hint="eastAsia" w:ascii="仿宋_GB2312" w:eastAsia="仿宋_GB2312"/>
        </w:rPr>
        <w:t>进一步完善、量化、细化个性指标，形成本</w:t>
      </w:r>
      <w:r>
        <w:rPr>
          <w:rFonts w:hint="eastAsia" w:ascii="仿宋_GB2312" w:eastAsia="仿宋_GB2312"/>
          <w:lang w:eastAsia="zh-CN"/>
        </w:rPr>
        <w:t>部门</w:t>
      </w:r>
      <w:r>
        <w:rPr>
          <w:rFonts w:hint="eastAsia" w:ascii="仿宋_GB2312" w:eastAsia="仿宋_GB2312"/>
        </w:rPr>
        <w:t>的指标体系</w:t>
      </w:r>
      <w:r>
        <w:rPr>
          <w:rFonts w:hint="eastAsia" w:ascii="仿宋_GB2312" w:eastAsia="仿宋_GB2312"/>
          <w:lang w:eastAsia="zh-CN"/>
        </w:rPr>
        <w:t>。</w:t>
      </w:r>
    </w:p>
    <w:p>
      <w:pPr>
        <w:rPr>
          <w:rFonts w:hint="eastAsia" w:ascii="黑体" w:hAnsi="黑体" w:eastAsia="黑体" w:cs="黑体"/>
          <w:bCs/>
          <w:sz w:val="32"/>
          <w:szCs w:val="32"/>
        </w:rPr>
      </w:pPr>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9"/>
        <w:sz w:val="24"/>
        <w:szCs w:val="24"/>
      </w:rPr>
    </w:pPr>
    <w:r>
      <w:rPr>
        <w:rStyle w:val="9"/>
        <w:rFonts w:hint="eastAsia"/>
        <w:sz w:val="24"/>
        <w:szCs w:val="24"/>
      </w:rPr>
      <w:t xml:space="preserve">— </w:t>
    </w:r>
    <w:r>
      <w:rPr>
        <w:sz w:val="24"/>
        <w:szCs w:val="24"/>
      </w:rPr>
      <w:fldChar w:fldCharType="begin"/>
    </w:r>
    <w:r>
      <w:rPr>
        <w:rStyle w:val="9"/>
        <w:sz w:val="24"/>
        <w:szCs w:val="24"/>
      </w:rPr>
      <w:instrText xml:space="preserve">PAGE  </w:instrText>
    </w:r>
    <w:r>
      <w:rPr>
        <w:sz w:val="24"/>
        <w:szCs w:val="24"/>
      </w:rPr>
      <w:fldChar w:fldCharType="separate"/>
    </w:r>
    <w:r>
      <w:rPr>
        <w:rStyle w:val="9"/>
        <w:sz w:val="24"/>
        <w:szCs w:val="24"/>
      </w:rPr>
      <w:t>1</w:t>
    </w:r>
    <w:r>
      <w:rPr>
        <w:sz w:val="24"/>
        <w:szCs w:val="24"/>
      </w:rPr>
      <w:fldChar w:fldCharType="end"/>
    </w:r>
    <w:r>
      <w:rPr>
        <w:rStyle w:val="9"/>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9"/>
        <w:sz w:val="24"/>
        <w:szCs w:val="24"/>
      </w:rPr>
    </w:pPr>
    <w:r>
      <w:rPr>
        <w:rStyle w:val="9"/>
        <w:rFonts w:hint="eastAsia"/>
        <w:sz w:val="24"/>
        <w:szCs w:val="24"/>
      </w:rPr>
      <w:t xml:space="preserve">— </w:t>
    </w:r>
    <w:r>
      <w:rPr>
        <w:sz w:val="24"/>
        <w:szCs w:val="24"/>
      </w:rPr>
      <w:fldChar w:fldCharType="begin"/>
    </w:r>
    <w:r>
      <w:rPr>
        <w:rStyle w:val="9"/>
        <w:sz w:val="24"/>
        <w:szCs w:val="24"/>
      </w:rPr>
      <w:instrText xml:space="preserve">PAGE  </w:instrText>
    </w:r>
    <w:r>
      <w:rPr>
        <w:sz w:val="24"/>
        <w:szCs w:val="24"/>
      </w:rPr>
      <w:fldChar w:fldCharType="separate"/>
    </w:r>
    <w:r>
      <w:rPr>
        <w:rStyle w:val="9"/>
        <w:sz w:val="24"/>
        <w:szCs w:val="24"/>
      </w:rPr>
      <w:t>18</w:t>
    </w:r>
    <w:r>
      <w:rPr>
        <w:sz w:val="24"/>
        <w:szCs w:val="24"/>
      </w:rPr>
      <w:fldChar w:fldCharType="end"/>
    </w:r>
    <w:r>
      <w:rPr>
        <w:rStyle w:val="9"/>
        <w:rFonts w:hint="eastAsia"/>
        <w:sz w:val="24"/>
        <w:szCs w:val="24"/>
      </w:rPr>
      <w:t xml:space="preserve"> —</w:t>
    </w:r>
  </w:p>
  <w:p>
    <w:pPr>
      <w:pStyle w:val="4"/>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9"/>
      </w:rPr>
    </w:pPr>
    <w:r>
      <w:fldChar w:fldCharType="begin"/>
    </w:r>
    <w:r>
      <w:rPr>
        <w:rStyle w:val="9"/>
      </w:rPr>
      <w:instrText xml:space="preserve">PAGE  </w:instrText>
    </w:r>
    <w:r>
      <w:fldChar w:fldCharType="end"/>
    </w:r>
  </w:p>
  <w:p>
    <w:pPr>
      <w:pStyle w:val="4"/>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75ECB1"/>
    <w:multiLevelType w:val="singleLevel"/>
    <w:tmpl w:val="1A75ECB1"/>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QzZjc5NTllMGFiYmY5NmVhMTllZTJlYTQ3YTVjMjgifQ=="/>
  </w:docVars>
  <w:rsids>
    <w:rsidRoot w:val="2CE55C20"/>
    <w:rsid w:val="007B2063"/>
    <w:rsid w:val="01650741"/>
    <w:rsid w:val="01FD74ED"/>
    <w:rsid w:val="02B535F2"/>
    <w:rsid w:val="032F3354"/>
    <w:rsid w:val="0538606C"/>
    <w:rsid w:val="08310DB4"/>
    <w:rsid w:val="083749E7"/>
    <w:rsid w:val="08AA60BB"/>
    <w:rsid w:val="0A003683"/>
    <w:rsid w:val="0A272436"/>
    <w:rsid w:val="0A894D0C"/>
    <w:rsid w:val="0AE52B8B"/>
    <w:rsid w:val="0B18780E"/>
    <w:rsid w:val="0B1A7A33"/>
    <w:rsid w:val="0B451A51"/>
    <w:rsid w:val="0C197387"/>
    <w:rsid w:val="0C525E21"/>
    <w:rsid w:val="0CB679B8"/>
    <w:rsid w:val="0CCC5B88"/>
    <w:rsid w:val="0D1721DB"/>
    <w:rsid w:val="0DE528CD"/>
    <w:rsid w:val="0E350BD0"/>
    <w:rsid w:val="0F7F5E2F"/>
    <w:rsid w:val="0FB51B93"/>
    <w:rsid w:val="0FCA46A0"/>
    <w:rsid w:val="118376DE"/>
    <w:rsid w:val="12D46340"/>
    <w:rsid w:val="12FD12C8"/>
    <w:rsid w:val="1336279F"/>
    <w:rsid w:val="1342088E"/>
    <w:rsid w:val="1378098F"/>
    <w:rsid w:val="14FC6F4B"/>
    <w:rsid w:val="159616B9"/>
    <w:rsid w:val="15B84D43"/>
    <w:rsid w:val="16F45621"/>
    <w:rsid w:val="173B23F9"/>
    <w:rsid w:val="17D7464C"/>
    <w:rsid w:val="180D1592"/>
    <w:rsid w:val="18725427"/>
    <w:rsid w:val="196D42A6"/>
    <w:rsid w:val="1A06674B"/>
    <w:rsid w:val="1AE612BB"/>
    <w:rsid w:val="1AEB44A5"/>
    <w:rsid w:val="1B1D341D"/>
    <w:rsid w:val="1CAA500D"/>
    <w:rsid w:val="1EBF6F13"/>
    <w:rsid w:val="20992761"/>
    <w:rsid w:val="210631FE"/>
    <w:rsid w:val="211A33D8"/>
    <w:rsid w:val="21934256"/>
    <w:rsid w:val="22146537"/>
    <w:rsid w:val="230A23DB"/>
    <w:rsid w:val="23FE6EBA"/>
    <w:rsid w:val="25140089"/>
    <w:rsid w:val="254E2FC7"/>
    <w:rsid w:val="25B607B7"/>
    <w:rsid w:val="263C173A"/>
    <w:rsid w:val="28864144"/>
    <w:rsid w:val="289D055E"/>
    <w:rsid w:val="293109DC"/>
    <w:rsid w:val="29666DA0"/>
    <w:rsid w:val="2AB90C59"/>
    <w:rsid w:val="2AE55BD9"/>
    <w:rsid w:val="2AFF3AE2"/>
    <w:rsid w:val="2B0A5954"/>
    <w:rsid w:val="2B433566"/>
    <w:rsid w:val="2B607198"/>
    <w:rsid w:val="2BFD02A7"/>
    <w:rsid w:val="2C1A0799"/>
    <w:rsid w:val="2C9F197B"/>
    <w:rsid w:val="2CA33441"/>
    <w:rsid w:val="2CE55C20"/>
    <w:rsid w:val="2D653F34"/>
    <w:rsid w:val="2E0E3FD2"/>
    <w:rsid w:val="2E350179"/>
    <w:rsid w:val="2F175D93"/>
    <w:rsid w:val="2F287302"/>
    <w:rsid w:val="2F4A0820"/>
    <w:rsid w:val="2F4B37C3"/>
    <w:rsid w:val="2FCE128E"/>
    <w:rsid w:val="303671D2"/>
    <w:rsid w:val="30426D13"/>
    <w:rsid w:val="324D056B"/>
    <w:rsid w:val="328960C0"/>
    <w:rsid w:val="336B5493"/>
    <w:rsid w:val="354C51EF"/>
    <w:rsid w:val="35BF0511"/>
    <w:rsid w:val="35CC2729"/>
    <w:rsid w:val="360D4F09"/>
    <w:rsid w:val="363400D3"/>
    <w:rsid w:val="36656C60"/>
    <w:rsid w:val="37176EA6"/>
    <w:rsid w:val="371A51B7"/>
    <w:rsid w:val="375C4285"/>
    <w:rsid w:val="38487234"/>
    <w:rsid w:val="385A1960"/>
    <w:rsid w:val="38AA6364"/>
    <w:rsid w:val="39DA1AF1"/>
    <w:rsid w:val="3A43255A"/>
    <w:rsid w:val="3AFB168D"/>
    <w:rsid w:val="3B120C91"/>
    <w:rsid w:val="3C857D5E"/>
    <w:rsid w:val="3D6201A1"/>
    <w:rsid w:val="3E694AF1"/>
    <w:rsid w:val="3EC46785"/>
    <w:rsid w:val="3F8A6044"/>
    <w:rsid w:val="40132595"/>
    <w:rsid w:val="407276A5"/>
    <w:rsid w:val="43441C2C"/>
    <w:rsid w:val="43A702D9"/>
    <w:rsid w:val="44592EA4"/>
    <w:rsid w:val="46734118"/>
    <w:rsid w:val="477245B4"/>
    <w:rsid w:val="49617FA5"/>
    <w:rsid w:val="4A9C4BFF"/>
    <w:rsid w:val="4AB75664"/>
    <w:rsid w:val="4AFA7890"/>
    <w:rsid w:val="4BF627E3"/>
    <w:rsid w:val="4C32120E"/>
    <w:rsid w:val="4CBD5DED"/>
    <w:rsid w:val="4CC55853"/>
    <w:rsid w:val="4D171D42"/>
    <w:rsid w:val="4D343D56"/>
    <w:rsid w:val="4D6241DB"/>
    <w:rsid w:val="4D6E53A1"/>
    <w:rsid w:val="4DA8764B"/>
    <w:rsid w:val="4E4F0BB0"/>
    <w:rsid w:val="4F85082B"/>
    <w:rsid w:val="4F8A1063"/>
    <w:rsid w:val="4FB54647"/>
    <w:rsid w:val="4FF544E3"/>
    <w:rsid w:val="5022041B"/>
    <w:rsid w:val="50274909"/>
    <w:rsid w:val="510408D7"/>
    <w:rsid w:val="53193E54"/>
    <w:rsid w:val="533901D5"/>
    <w:rsid w:val="53410C6D"/>
    <w:rsid w:val="553F2F4B"/>
    <w:rsid w:val="55F21FE8"/>
    <w:rsid w:val="56A85B6E"/>
    <w:rsid w:val="56C07652"/>
    <w:rsid w:val="576F57AE"/>
    <w:rsid w:val="579103A2"/>
    <w:rsid w:val="57C01203"/>
    <w:rsid w:val="58411598"/>
    <w:rsid w:val="58F42BB2"/>
    <w:rsid w:val="59B00FE7"/>
    <w:rsid w:val="59D80962"/>
    <w:rsid w:val="5A285FA4"/>
    <w:rsid w:val="5A2C2D28"/>
    <w:rsid w:val="5B055691"/>
    <w:rsid w:val="5BE95901"/>
    <w:rsid w:val="5CD673FC"/>
    <w:rsid w:val="5CDA3581"/>
    <w:rsid w:val="5D5141D6"/>
    <w:rsid w:val="5DC96A53"/>
    <w:rsid w:val="5DFA1B0B"/>
    <w:rsid w:val="5E7127B0"/>
    <w:rsid w:val="5EB804E8"/>
    <w:rsid w:val="5F19728C"/>
    <w:rsid w:val="60024A2B"/>
    <w:rsid w:val="60317EDF"/>
    <w:rsid w:val="60AD5268"/>
    <w:rsid w:val="61934956"/>
    <w:rsid w:val="61AB5CF6"/>
    <w:rsid w:val="639B0113"/>
    <w:rsid w:val="63E25D90"/>
    <w:rsid w:val="644819F6"/>
    <w:rsid w:val="647516E1"/>
    <w:rsid w:val="64AE7109"/>
    <w:rsid w:val="64B40FF1"/>
    <w:rsid w:val="658A5FF3"/>
    <w:rsid w:val="65DD4B98"/>
    <w:rsid w:val="673D2151"/>
    <w:rsid w:val="67721DD8"/>
    <w:rsid w:val="695E0E5B"/>
    <w:rsid w:val="69820760"/>
    <w:rsid w:val="69FA137F"/>
    <w:rsid w:val="6A0A15CD"/>
    <w:rsid w:val="6B0A6AE2"/>
    <w:rsid w:val="6D452F22"/>
    <w:rsid w:val="6DC2077F"/>
    <w:rsid w:val="6DE07183"/>
    <w:rsid w:val="6DF352BD"/>
    <w:rsid w:val="6E686012"/>
    <w:rsid w:val="6E6A64CC"/>
    <w:rsid w:val="6F9327F0"/>
    <w:rsid w:val="6FF20CDE"/>
    <w:rsid w:val="705E3E6D"/>
    <w:rsid w:val="706E6838"/>
    <w:rsid w:val="710329F2"/>
    <w:rsid w:val="71C1048A"/>
    <w:rsid w:val="724E2523"/>
    <w:rsid w:val="72F73DA1"/>
    <w:rsid w:val="7396188C"/>
    <w:rsid w:val="73F35F5B"/>
    <w:rsid w:val="748077B5"/>
    <w:rsid w:val="74EE23CF"/>
    <w:rsid w:val="760009A8"/>
    <w:rsid w:val="76E17C58"/>
    <w:rsid w:val="77F562A9"/>
    <w:rsid w:val="785D6E83"/>
    <w:rsid w:val="78B8335E"/>
    <w:rsid w:val="79290110"/>
    <w:rsid w:val="794C0595"/>
    <w:rsid w:val="79C04582"/>
    <w:rsid w:val="7ABC0F2D"/>
    <w:rsid w:val="7AF8661C"/>
    <w:rsid w:val="7D0D6041"/>
    <w:rsid w:val="7D1F0DA2"/>
    <w:rsid w:val="7EA32F7C"/>
    <w:rsid w:val="7EA9330A"/>
    <w:rsid w:val="7FB534A3"/>
    <w:rsid w:val="7FE622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widowControl/>
      <w:spacing w:before="100" w:beforeAutospacing="1" w:after="100" w:afterAutospacing="1"/>
      <w:jc w:val="left"/>
    </w:pPr>
    <w:rPr>
      <w:rFonts w:ascii="宋体" w:hAnsi="宋体" w:cs="宋体"/>
      <w:kern w:val="0"/>
      <w:sz w:val="24"/>
    </w:rPr>
  </w:style>
  <w:style w:type="paragraph" w:styleId="3">
    <w:name w:val="Body Text Indent 2"/>
    <w:basedOn w:val="1"/>
    <w:unhideWhenUsed/>
    <w:qFormat/>
    <w:uiPriority w:val="0"/>
    <w:pPr>
      <w:ind w:firstLine="588" w:firstLineChars="200"/>
    </w:pPr>
    <w:rPr>
      <w:rFonts w:ascii="仿宋_GB2312" w:hAnsi="Calibri" w:eastAsia="仿宋_GB2312"/>
      <w:sz w:val="32"/>
    </w:rPr>
  </w:style>
  <w:style w:type="paragraph" w:styleId="4">
    <w:name w:val="footer"/>
    <w:basedOn w:val="1"/>
    <w:qFormat/>
    <w:uiPriority w:val="0"/>
    <w:pPr>
      <w:tabs>
        <w:tab w:val="center" w:pos="4153"/>
        <w:tab w:val="right" w:pos="8306"/>
      </w:tabs>
      <w:snapToGrid w:val="0"/>
      <w:jc w:val="left"/>
    </w:pPr>
    <w:rPr>
      <w:kern w:val="0"/>
      <w:sz w:val="18"/>
      <w:szCs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character" w:styleId="9">
    <w:name w:val="page number"/>
    <w:qFormat/>
    <w:uiPriority w:val="0"/>
  </w:style>
  <w:style w:type="character" w:styleId="10">
    <w:name w:val="FollowedHyperlink"/>
    <w:basedOn w:val="8"/>
    <w:uiPriority w:val="0"/>
    <w:rPr>
      <w:color w:val="800080"/>
      <w:u w:val="none"/>
    </w:rPr>
  </w:style>
  <w:style w:type="character" w:styleId="11">
    <w:name w:val="Emphasis"/>
    <w:basedOn w:val="8"/>
    <w:qFormat/>
    <w:uiPriority w:val="0"/>
  </w:style>
  <w:style w:type="character" w:styleId="12">
    <w:name w:val="Hyperlink"/>
    <w:basedOn w:val="8"/>
    <w:uiPriority w:val="0"/>
    <w:rPr>
      <w:color w:val="0000FF"/>
      <w:u w:val="none"/>
    </w:rPr>
  </w:style>
  <w:style w:type="character" w:customStyle="1" w:styleId="13">
    <w:name w:val="标题 3 Char Char"/>
    <w:qFormat/>
    <w:uiPriority w:val="0"/>
    <w:rPr>
      <w:rFonts w:eastAsia="楷体_GB2312"/>
      <w:b/>
      <w:kern w:val="2"/>
      <w:sz w:val="32"/>
      <w:szCs w:val="24"/>
      <w:lang w:val="en-US" w:eastAsia="zh-CN" w:bidi="ar-SA"/>
    </w:rPr>
  </w:style>
  <w:style w:type="character" w:customStyle="1" w:styleId="14">
    <w:name w:val="s32"/>
    <w:basedOn w:val="8"/>
    <w:qFormat/>
    <w:uiPriority w:val="0"/>
    <w:rPr>
      <w:shd w:val="clear" w:fill="FDE200"/>
    </w:rPr>
  </w:style>
  <w:style w:type="character" w:customStyle="1" w:styleId="15">
    <w:name w:val="active3"/>
    <w:basedOn w:val="8"/>
    <w:qFormat/>
    <w:uiPriority w:val="0"/>
    <w:rPr>
      <w:color w:val="FFFFFF"/>
      <w:shd w:val="clear" w:fill="2EC5F2"/>
    </w:rPr>
  </w:style>
  <w:style w:type="character" w:customStyle="1" w:styleId="16">
    <w:name w:val="active4"/>
    <w:basedOn w:val="8"/>
    <w:uiPriority w:val="0"/>
    <w:rPr>
      <w:b/>
      <w:color w:val="FFFFFF"/>
      <w:shd w:val="clear" w:fill="40B6DA"/>
    </w:rPr>
  </w:style>
  <w:style w:type="character" w:customStyle="1" w:styleId="17">
    <w:name w:val="active5"/>
    <w:basedOn w:val="8"/>
    <w:uiPriority w:val="0"/>
    <w:rPr>
      <w:shd w:val="clear" w:fill="FFFFFF"/>
    </w:rPr>
  </w:style>
  <w:style w:type="character" w:customStyle="1" w:styleId="18">
    <w:name w:val="active6"/>
    <w:basedOn w:val="8"/>
    <w:uiPriority w:val="0"/>
    <w:rPr>
      <w:b/>
      <w:color w:val="FFFFFF"/>
      <w:shd w:val="clear" w:fill="40B6DA"/>
    </w:rPr>
  </w:style>
  <w:style w:type="character" w:customStyle="1" w:styleId="19">
    <w:name w:val="active7"/>
    <w:basedOn w:val="8"/>
    <w:uiPriority w:val="0"/>
    <w:rPr>
      <w:b/>
      <w:color w:val="FFFFFF"/>
      <w:shd w:val="clear" w:fill="40B6D9"/>
    </w:rPr>
  </w:style>
  <w:style w:type="character" w:customStyle="1" w:styleId="20">
    <w:name w:val="active8"/>
    <w:basedOn w:val="8"/>
    <w:uiPriority w:val="0"/>
    <w:rPr>
      <w:color w:val="FFFFFF"/>
      <w:shd w:val="clear" w:fill="40B6D9"/>
    </w:rPr>
  </w:style>
  <w:style w:type="character" w:customStyle="1" w:styleId="21">
    <w:name w:val="active9"/>
    <w:basedOn w:val="8"/>
    <w:qFormat/>
    <w:uiPriority w:val="0"/>
    <w:rPr>
      <w:color w:val="FFFFFF"/>
      <w:shd w:val="clear" w:fill="40B6D9"/>
    </w:rPr>
  </w:style>
  <w:style w:type="character" w:customStyle="1" w:styleId="22">
    <w:name w:val="active10"/>
    <w:basedOn w:val="8"/>
    <w:uiPriority w:val="0"/>
    <w:rPr>
      <w:color w:val="FFFFFF"/>
      <w:shd w:val="clear" w:fill="FFB400"/>
    </w:rPr>
  </w:style>
  <w:style w:type="character" w:customStyle="1" w:styleId="23">
    <w:name w:val="active11"/>
    <w:basedOn w:val="8"/>
    <w:uiPriority w:val="0"/>
    <w:rPr>
      <w:b/>
      <w:color w:val="FFFFFF"/>
      <w:shd w:val="clear" w:fill="40B6D9"/>
    </w:rPr>
  </w:style>
  <w:style w:type="character" w:customStyle="1" w:styleId="24">
    <w:name w:val="hover18"/>
    <w:basedOn w:val="8"/>
    <w:uiPriority w:val="0"/>
    <w:rPr>
      <w:color w:val="40B6D9"/>
    </w:rPr>
  </w:style>
  <w:style w:type="character" w:customStyle="1" w:styleId="25">
    <w:name w:val="hover19"/>
    <w:basedOn w:val="8"/>
    <w:uiPriority w:val="0"/>
    <w:rPr>
      <w:color w:val="000000"/>
      <w:shd w:val="clear" w:fill="FFFFFF"/>
    </w:rPr>
  </w:style>
  <w:style w:type="character" w:customStyle="1" w:styleId="26">
    <w:name w:val="hover20"/>
    <w:basedOn w:val="8"/>
    <w:uiPriority w:val="0"/>
    <w:rPr>
      <w:shd w:val="clear" w:fill="19A9E5"/>
    </w:rPr>
  </w:style>
  <w:style w:type="character" w:customStyle="1" w:styleId="27">
    <w:name w:val="s5"/>
    <w:basedOn w:val="8"/>
    <w:uiPriority w:val="0"/>
    <w:rPr>
      <w:shd w:val="clear" w:fill="838383"/>
    </w:rPr>
  </w:style>
  <w:style w:type="character" w:customStyle="1" w:styleId="28">
    <w:name w:val="last"/>
    <w:basedOn w:val="8"/>
    <w:qFormat/>
    <w:uiPriority w:val="0"/>
    <w:rPr>
      <w:shd w:val="clear" w:fill="EAEAEA"/>
    </w:rPr>
  </w:style>
  <w:style w:type="character" w:customStyle="1" w:styleId="29">
    <w:name w:val="s12"/>
    <w:basedOn w:val="8"/>
    <w:uiPriority w:val="0"/>
    <w:rPr>
      <w:shd w:val="clear" w:fill="EE8204"/>
    </w:rPr>
  </w:style>
  <w:style w:type="character" w:customStyle="1" w:styleId="30">
    <w:name w:val="wx-space"/>
    <w:basedOn w:val="8"/>
    <w:uiPriority w:val="0"/>
  </w:style>
  <w:style w:type="character" w:customStyle="1" w:styleId="31">
    <w:name w:val="wx-space1"/>
    <w:basedOn w:val="8"/>
    <w:uiPriority w:val="0"/>
  </w:style>
  <w:style w:type="character" w:customStyle="1" w:styleId="32">
    <w:name w:val="s22"/>
    <w:basedOn w:val="8"/>
    <w:uiPriority w:val="0"/>
    <w:rPr>
      <w:shd w:val="clear" w:fill="FFB300"/>
    </w:rPr>
  </w:style>
  <w:style w:type="character" w:customStyle="1" w:styleId="33">
    <w:name w:val="s42"/>
    <w:basedOn w:val="8"/>
    <w:qFormat/>
    <w:uiPriority w:val="0"/>
    <w:rPr>
      <w:shd w:val="clear" w:fill="808080"/>
    </w:rPr>
  </w:style>
  <w:style w:type="character" w:customStyle="1" w:styleId="34">
    <w:name w:val="ylld-arrow"/>
    <w:basedOn w:val="8"/>
    <w:uiPriority w:val="0"/>
    <w:rPr>
      <w:b/>
      <w:color w:val="FFFFFF"/>
    </w:rPr>
  </w:style>
  <w:style w:type="character" w:customStyle="1" w:styleId="35">
    <w:name w:val="bsharetext"/>
    <w:basedOn w:val="8"/>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32</Pages>
  <Words>12471</Words>
  <Characters>13580</Characters>
  <Lines>0</Lines>
  <Paragraphs>0</Paragraphs>
  <TotalTime>9</TotalTime>
  <ScaleCrop>false</ScaleCrop>
  <LinksUpToDate>false</LinksUpToDate>
  <CharactersWithSpaces>15388</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戴</cp:lastModifiedBy>
  <cp:lastPrinted>2022-06-14T01:41:00Z</cp:lastPrinted>
  <dcterms:modified xsi:type="dcterms:W3CDTF">2022-10-12T01:59:52Z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377A56B318954603893BD5B869B7BB42</vt:lpwstr>
  </property>
</Properties>
</file>