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w:t>
      </w:r>
      <w:r>
        <w:rPr>
          <w:rFonts w:hint="eastAsia" w:eastAsia="仿宋_GB2312"/>
          <w:sz w:val="32"/>
          <w:szCs w:val="32"/>
          <w:u w:val="single"/>
          <w:lang w:val="en-US" w:eastAsia="zh-CN"/>
        </w:rPr>
        <w:t>注滋口</w:t>
      </w:r>
      <w:r>
        <w:rPr>
          <w:rFonts w:hint="eastAsia" w:eastAsia="仿宋_GB2312"/>
          <w:sz w:val="32"/>
          <w:szCs w:val="32"/>
          <w:u w:val="single"/>
          <w:lang w:eastAsia="zh-CN"/>
        </w:rPr>
        <w:t>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陈雅丽</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firstLine="0" w:firstLineChars="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努力夯实会计基础工作</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全面落实惠农补贴政策</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扎实推进专项资金监管</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仿宋_GB2312" w:hAnsi="仿宋_GB2312" w:eastAsia="仿宋_GB2312" w:cs="仿宋_GB2312"/>
                <w:b/>
                <w:bCs/>
                <w:i w:val="0"/>
                <w:iCs w:val="0"/>
                <w:sz w:val="32"/>
                <w:szCs w:val="32"/>
                <w:lang w:val="en-US" w:eastAsia="zh-CN"/>
              </w:rPr>
            </w:pPr>
            <w:r>
              <w:rPr>
                <w:rFonts w:hint="eastAsia" w:ascii="Times New Roman" w:hAnsi="Times New Roman" w:eastAsia="仿宋_GB2312" w:cs="Times New Roman"/>
                <w:kern w:val="2"/>
                <w:sz w:val="32"/>
                <w:szCs w:val="32"/>
                <w:lang w:val="en-US" w:eastAsia="zh-CN" w:bidi="ar-SA"/>
              </w:rPr>
              <w:t>统一规范财务支出管理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一、以厘清岗位职责为起点，加强组织机构标准化建设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财政所加强领导，职能配置不断优化。目前，注滋口镇财政所在编人数7人，人员配备合理，具体安排为：陈良华：所长，负责全面工作，对全所的中心工作和阶段性工作及时作出具体部署和安排，对各岗位的主要工作实施领导、检查和监督；刘建芳：副所长，分管资金监管、全所后勤工作；谢永庆：副所长，负责下村办点工作、一事一议工作；陈雅丽：结算员，负责财政预算收支结算、档案管理、专项资金管理、票据管理等工作；戴沛君：负责系统管理、惠农补贴发放等工作；白希晨：负责乡镇政府机关会计核算、公有资产管理、站所会计等工作；刘思阳：负责村账乡代理工作。财政所岗位设置科学合理，干部职责明确，履职充分，实现了全镇财政各个方面、各个环节的无缝对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lang w:val="en-US" w:eastAsia="zh-CN"/>
              </w:rPr>
              <w:t>86.00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58.74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27.25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58.74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27.25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三公经费</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固定资产</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pStyle w:val="6"/>
              <w:numPr>
                <w:ilvl w:val="0"/>
                <w:numId w:val="0"/>
              </w:numP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1、及时发放惠农补贴资金到户到人；</w:t>
            </w:r>
          </w:p>
          <w:p>
            <w:pPr>
              <w:pStyle w:val="6"/>
              <w:numPr>
                <w:ilvl w:val="0"/>
                <w:numId w:val="0"/>
              </w:numP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2、加强专项资金管理完成一事一议项目；</w:t>
            </w:r>
          </w:p>
          <w:p>
            <w:pPr>
              <w:numPr>
                <w:ilvl w:val="0"/>
                <w:numId w:val="0"/>
              </w:numPr>
              <w:ind w:leftChars="0"/>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3、垃圾资源绿</w:t>
            </w:r>
            <w:bookmarkStart w:id="0" w:name="_GoBack"/>
            <w:bookmarkEnd w:id="0"/>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色化处理项目；</w:t>
            </w:r>
          </w:p>
          <w:p>
            <w:pPr>
              <w:numPr>
                <w:ilvl w:val="0"/>
                <w:numId w:val="0"/>
              </w:numPr>
              <w:ind w:leftChars="0"/>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4、按上级文件要求安排乡村振兴资金；</w:t>
            </w:r>
          </w:p>
          <w:p>
            <w:pPr>
              <w:numPr>
                <w:ilvl w:val="0"/>
                <w:numId w:val="0"/>
              </w:numPr>
              <w:ind w:leftChars="0"/>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5、按实际空心房项目拨付资金；</w:t>
            </w:r>
          </w:p>
          <w:p>
            <w:pPr>
              <w:numPr>
                <w:ilvl w:val="0"/>
                <w:numId w:val="0"/>
              </w:numPr>
              <w:ind w:leftChars="0"/>
              <w:rPr>
                <w:rFonts w:hint="default"/>
                <w:lang w:val="en-US" w:eastAsia="zh-CN"/>
              </w:rPr>
            </w:pPr>
          </w:p>
        </w:tc>
        <w:tc>
          <w:tcPr>
            <w:tcW w:w="4585" w:type="dxa"/>
            <w:gridSpan w:val="9"/>
            <w:noWrap w:val="0"/>
            <w:vAlign w:val="center"/>
          </w:tcPr>
          <w:p>
            <w:pPr>
              <w:numPr>
                <w:ilvl w:val="0"/>
                <w:numId w:val="0"/>
              </w:numPr>
              <w:autoSpaceDN w:val="0"/>
              <w:spacing w:line="320" w:lineRule="exact"/>
              <w:jc w:val="center"/>
              <w:textAlignment w:val="center"/>
              <w:rPr>
                <w:rFonts w:hint="eastAsia" w:ascii="Times New Roman" w:hAnsi="Times New Roman" w:cs="Times New Roman"/>
                <w:lang w:val="en-US" w:eastAsia="zh-CN"/>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及时发放惠农补贴资金到户到人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安排乡村振兴资金</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财政所加强专项资金管理，注滋口镇共完成19个一事一议项目，涉及资金125万元；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jc w:val="left"/>
              <w:rPr>
                <w:rFonts w:hint="eastAsia" w:ascii="仿宋" w:hAnsi="仿宋" w:eastAsia="仿宋" w:cs="仿宋"/>
                <w:color w:val="000000"/>
                <w:sz w:val="24"/>
              </w:rPr>
            </w:pPr>
            <w:r>
              <w:rPr>
                <w:rFonts w:hint="eastAsia" w:ascii="仿宋" w:hAnsi="仿宋" w:eastAsia="仿宋" w:cs="仿宋"/>
                <w:color w:val="000000"/>
                <w:sz w:val="24"/>
                <w:lang w:val="en-US" w:eastAsia="zh-CN"/>
              </w:rPr>
              <w:t>财政所发放惠农补贴资金</w:t>
            </w: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val="en-US" w:eastAsia="zh-CN"/>
              </w:rPr>
              <w:t>注滋口</w:t>
            </w:r>
            <w:r>
              <w:rPr>
                <w:rFonts w:hint="eastAsia" w:ascii="方正小标宋简体" w:hAnsi="仿宋" w:eastAsia="方正小标宋简体" w:cs="????"/>
                <w:bCs/>
                <w:sz w:val="36"/>
                <w:szCs w:val="36"/>
                <w:lang w:eastAsia="zh-CN"/>
              </w:rPr>
              <w:t>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w:t>
            </w:r>
            <w:r>
              <w:rPr>
                <w:rFonts w:hint="eastAsia" w:ascii="仿宋" w:hAnsi="仿宋" w:eastAsia="仿宋" w:cs="仿宋"/>
                <w:sz w:val="32"/>
                <w:szCs w:val="32"/>
                <w:lang w:val="en-US" w:eastAsia="zh-CN"/>
              </w:rPr>
              <w:t>注滋口</w:t>
            </w:r>
            <w:r>
              <w:rPr>
                <w:rFonts w:hint="eastAsia" w:ascii="仿宋" w:hAnsi="仿宋" w:eastAsia="仿宋" w:cs="仿宋"/>
                <w:sz w:val="32"/>
                <w:szCs w:val="32"/>
                <w:lang w:eastAsia="zh-CN"/>
              </w:rPr>
              <w:t>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w:t>
            </w:r>
            <w:r>
              <w:rPr>
                <w:rFonts w:hint="eastAsia" w:ascii="仿宋" w:hAnsi="仿宋" w:eastAsia="仿宋" w:cs="仿宋"/>
                <w:color w:val="000000" w:themeColor="text1"/>
                <w:sz w:val="32"/>
                <w:szCs w:val="32"/>
                <w14:textFill>
                  <w14:solidFill>
                    <w14:schemeClr w14:val="tx1"/>
                  </w14:solidFill>
                </w14:textFill>
              </w:rPr>
              <w:t>制</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名（其中：行政编制</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名，事业全额编制</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名</w:t>
            </w:r>
            <w:r>
              <w:rPr>
                <w:rFonts w:hint="eastAsia" w:ascii="仿宋" w:hAnsi="仿宋" w:eastAsia="仿宋" w:cs="仿宋"/>
                <w:sz w:val="32"/>
                <w:szCs w:val="32"/>
              </w:rPr>
              <w:t>），实有在职干部、职工</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eastAsia" w:ascii="仿宋_GB2312" w:hAnsi="仿宋_GB2312" w:eastAsia="仿宋" w:cs="仿宋_GB2312"/>
                <w:bCs/>
                <w:sz w:val="28"/>
                <w:szCs w:val="28"/>
                <w:lang w:eastAsia="zh-CN"/>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持平</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55.44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27.25</w:t>
            </w:r>
            <w:r>
              <w:rPr>
                <w:rFonts w:hint="eastAsia" w:ascii="仿宋" w:hAnsi="仿宋" w:eastAsia="仿宋" w:cs="仿宋"/>
                <w:sz w:val="32"/>
                <w:szCs w:val="32"/>
              </w:rPr>
              <w:t>万元，资金主要用于：</w:t>
            </w:r>
            <w:r>
              <w:rPr>
                <w:rFonts w:hint="eastAsia" w:ascii="仿宋" w:hAnsi="仿宋" w:eastAsia="仿宋" w:cs="仿宋"/>
                <w:sz w:val="32"/>
                <w:szCs w:val="32"/>
                <w:lang w:eastAsia="zh-CN"/>
              </w:rPr>
              <w:t>人员经费和机关的公用经费支出。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55.44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27.25</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w:t>
            </w:r>
            <w:r>
              <w:rPr>
                <w:rFonts w:hint="eastAsia" w:ascii="仿宋" w:hAnsi="仿宋" w:eastAsia="仿宋" w:cs="仿宋"/>
                <w:sz w:val="32"/>
                <w:szCs w:val="32"/>
                <w:lang w:val="en-US" w:eastAsia="zh-CN"/>
              </w:rPr>
              <w:t>注滋口</w:t>
            </w:r>
            <w:r>
              <w:rPr>
                <w:rFonts w:hint="eastAsia" w:ascii="仿宋" w:hAnsi="仿宋" w:eastAsia="仿宋" w:cs="仿宋"/>
                <w:sz w:val="32"/>
                <w:szCs w:val="32"/>
                <w:lang w:eastAsia="zh-CN"/>
              </w:rPr>
              <w:t>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0.45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0.45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val="en-US" w:eastAsia="zh-CN"/>
              </w:rPr>
              <w:t>华容县注滋口镇财政所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color w:val="000000" w:themeColor="text1"/>
                <w:sz w:val="32"/>
                <w:szCs w:val="32"/>
                <w:lang w:val="en-US" w:eastAsia="zh-CN"/>
                <w14:textFill>
                  <w14:solidFill>
                    <w14:schemeClr w14:val="tx1"/>
                  </w14:solidFill>
                </w14:textFill>
              </w:rPr>
              <w:t>121</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pStyle w:val="6"/>
              <w:rPr>
                <w:rFonts w:hint="default"/>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 w:hAnsi="仿宋" w:eastAsia="仿宋" w:cs="仿宋"/>
                <w:kern w:val="2"/>
                <w:sz w:val="32"/>
                <w:szCs w:val="32"/>
                <w:lang w:val="en-US" w:eastAsia="zh-CN" w:bidi="ar-SA"/>
              </w:rPr>
              <w:t>华容县注滋口镇财政所无项目支出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w:t>
            </w:r>
            <w:r>
              <w:rPr>
                <w:rFonts w:hint="eastAsia" w:ascii="仿宋" w:hAnsi="仿宋" w:eastAsia="仿宋" w:cs="仿宋"/>
                <w:color w:val="auto"/>
                <w:kern w:val="2"/>
                <w:sz w:val="32"/>
                <w:szCs w:val="32"/>
                <w:shd w:val="clear" w:color="auto" w:fill="FFFFFF"/>
              </w:rPr>
              <w:t>40</w:t>
            </w:r>
            <w:r>
              <w:rPr>
                <w:rFonts w:hint="eastAsia" w:ascii="仿宋" w:hAnsi="仿宋" w:eastAsia="仿宋" w:cs="仿宋"/>
                <w:color w:val="000000"/>
                <w:kern w:val="2"/>
                <w:sz w:val="32"/>
                <w:szCs w:val="32"/>
                <w:shd w:val="clear" w:color="auto" w:fill="FFFFFF"/>
              </w:rPr>
              <w:t>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_GB2312" w:hAnsi="仿宋_GB2312" w:eastAsia="仿宋_GB2312" w:cs="仿宋_GB2312"/>
                <w:b/>
                <w:bCs/>
                <w:i w:val="0"/>
                <w:iCs w:val="0"/>
                <w:sz w:val="32"/>
                <w:szCs w:val="32"/>
                <w:lang w:val="en-US" w:eastAsia="zh-CN"/>
              </w:rPr>
            </w:pPr>
            <w:r>
              <w:rPr>
                <w:rFonts w:hint="eastAsia"/>
                <w:lang w:val="en-US" w:eastAsia="zh-CN"/>
              </w:rPr>
              <w:t xml:space="preserve">   一</w:t>
            </w:r>
            <w:r>
              <w:rPr>
                <w:rFonts w:hint="eastAsia" w:ascii="仿宋_GB2312" w:hAnsi="仿宋_GB2312" w:eastAsia="仿宋_GB2312" w:cs="仿宋_GB2312"/>
                <w:b/>
                <w:bCs/>
                <w:i w:val="0"/>
                <w:iCs w:val="0"/>
                <w:sz w:val="32"/>
                <w:szCs w:val="32"/>
                <w:lang w:val="en-US" w:eastAsia="zh-CN"/>
              </w:rPr>
              <w:t>、以构建财政管理运行机制为重点，深化工作流程规范化建设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1、管理制度健全。</w:t>
            </w:r>
            <w:r>
              <w:rPr>
                <w:rFonts w:hint="eastAsia" w:ascii="仿宋_GB2312" w:hAnsi="仿宋_GB2312" w:eastAsia="仿宋_GB2312" w:cs="仿宋_GB2312"/>
                <w:i w:val="0"/>
                <w:iCs w:val="0"/>
                <w:sz w:val="32"/>
                <w:szCs w:val="32"/>
                <w:lang w:val="en-US" w:eastAsia="zh-CN"/>
              </w:rPr>
              <w:t>财政所根据法律法规要求和上级政策文件要求，完善了岗位责任制度、预算管理制度、专项资金管理制度、村级和机关财务管理制度、政府采购管理制度、固定资产管理制度、现金管理和票据管理制度等基础管理制度，促进了各项工作的落实，保障了乡镇工作的安全运转，做到了“职责明确、制度健全、操作规范、运转高效”。同时，将财政工作纳入目标管理考核体系，有效促进了规范化管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2、预算执行到位。一是坚持预算编制从部门中来再到部门中去的编制模式。</w:t>
            </w:r>
            <w:r>
              <w:rPr>
                <w:rFonts w:hint="eastAsia" w:ascii="仿宋_GB2312" w:hAnsi="仿宋_GB2312" w:eastAsia="仿宋_GB2312" w:cs="仿宋_GB2312"/>
                <w:i w:val="0"/>
                <w:iCs w:val="0"/>
                <w:sz w:val="32"/>
                <w:szCs w:val="32"/>
                <w:lang w:val="en-US" w:eastAsia="zh-CN"/>
              </w:rPr>
              <w:t>年初，各机关站所根据工作计划和上年度经费使用情况如实填写预算表，由财政所进行汇总，通过乡镇党委书记、财政负责人、财政所长、各主管领导进行商讨后确定部门年初预算，这种从部门中来再到部门中去的编制模式，为有效执行预算奠定了坚实的基础。</w:t>
            </w:r>
            <w:r>
              <w:rPr>
                <w:rFonts w:hint="eastAsia" w:ascii="仿宋_GB2312" w:hAnsi="仿宋_GB2312" w:eastAsia="仿宋_GB2312" w:cs="仿宋_GB2312"/>
                <w:b/>
                <w:bCs/>
                <w:i w:val="0"/>
                <w:iCs w:val="0"/>
                <w:sz w:val="32"/>
                <w:szCs w:val="32"/>
                <w:lang w:val="en-US" w:eastAsia="zh-CN"/>
              </w:rPr>
              <w:t>二是坚持按月按比例执行预算的工作流程。</w:t>
            </w:r>
            <w:r>
              <w:rPr>
                <w:rFonts w:hint="eastAsia" w:ascii="仿宋_GB2312" w:hAnsi="仿宋_GB2312" w:eastAsia="仿宋_GB2312" w:cs="仿宋_GB2312"/>
                <w:i w:val="0"/>
                <w:iCs w:val="0"/>
                <w:sz w:val="32"/>
                <w:szCs w:val="32"/>
                <w:lang w:val="en-US" w:eastAsia="zh-CN"/>
              </w:rPr>
              <w:t>每月在使用资金前如实填写“月度资金用款计划申请表”，经分管负责人和所长审核后上报，财政所严格按照财政局下达的预算指标合理安排和使用资金。同时，每月按时完成工资直发的修改、审核等申报工作，优先三保资金（保工资、保民生、保运转）的拨付工作，保障了机关站所有序运行。</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三、以人才队伍建设和宣传文化为抓手，强化财政工作科学化建设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宋体"/>
                <w:lang w:val="en-US" w:eastAsia="zh-CN"/>
              </w:rPr>
            </w:pPr>
            <w:r>
              <w:rPr>
                <w:rFonts w:hint="eastAsia" w:ascii="仿宋_GB2312" w:hAnsi="仿宋_GB2312" w:eastAsia="仿宋_GB2312" w:cs="仿宋_GB2312"/>
                <w:i w:val="0"/>
                <w:iCs w:val="0"/>
                <w:sz w:val="32"/>
                <w:szCs w:val="32"/>
                <w:lang w:val="en-US" w:eastAsia="zh-CN"/>
              </w:rPr>
              <w:t>财政所积极开展各种业务知识学习和警示教育活动，坚持每月进行政策和专业知识集中培训，组织所内职工认真学习政府会计基本准则，鼓励职工积极参加县财政局举办的财税知识、政策知识竞赛及赛账等活动，激励干部职工向先进学习，完善工作举措，提高综合素养。同时，优化宣传窗口，加强财政工作报道，通过对村级财务管理、惠农政策的宣传，有力推进安全财政建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156" w:beforeLines="50" w:line="760" w:lineRule="exact"/>
        <w:ind w:firstLine="420" w:firstLineChars="150"/>
        <w:rPr>
          <w:rFonts w:hint="eastAsia" w:eastAsia="仿宋_GB2312"/>
          <w:sz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5E7063F"/>
    <w:multiLevelType w:val="singleLevel"/>
    <w:tmpl w:val="45E7063F"/>
    <w:lvl w:ilvl="0" w:tentative="0">
      <w:start w:val="1"/>
      <w:numFmt w:val="decimal"/>
      <w:suff w:val="nothing"/>
      <w:lvlText w:val="%1、"/>
      <w:lvlJc w:val="left"/>
    </w:lvl>
  </w:abstractNum>
  <w:abstractNum w:abstractNumId="2">
    <w:nsid w:val="4632953B"/>
    <w:multiLevelType w:val="singleLevel"/>
    <w:tmpl w:val="4632953B"/>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xYWNkZWIyMDc3ZWU0OTliNzRmMTZlMDg0NTFlZDUifQ=="/>
  </w:docVars>
  <w:rsids>
    <w:rsidRoot w:val="2CE55C20"/>
    <w:rsid w:val="007B2063"/>
    <w:rsid w:val="009252E1"/>
    <w:rsid w:val="083749E7"/>
    <w:rsid w:val="0CB679B8"/>
    <w:rsid w:val="0D7534D7"/>
    <w:rsid w:val="0DE528CD"/>
    <w:rsid w:val="10054735"/>
    <w:rsid w:val="1336279F"/>
    <w:rsid w:val="16100880"/>
    <w:rsid w:val="18725427"/>
    <w:rsid w:val="19235F91"/>
    <w:rsid w:val="1A294AF4"/>
    <w:rsid w:val="254E2FC7"/>
    <w:rsid w:val="25B607B7"/>
    <w:rsid w:val="263C173A"/>
    <w:rsid w:val="289D055E"/>
    <w:rsid w:val="2A62674D"/>
    <w:rsid w:val="2A770606"/>
    <w:rsid w:val="2BE53992"/>
    <w:rsid w:val="2C9F197B"/>
    <w:rsid w:val="2CA33441"/>
    <w:rsid w:val="2CE55C20"/>
    <w:rsid w:val="2F287302"/>
    <w:rsid w:val="30426D13"/>
    <w:rsid w:val="31830423"/>
    <w:rsid w:val="34A86256"/>
    <w:rsid w:val="3A43255A"/>
    <w:rsid w:val="3D6201A1"/>
    <w:rsid w:val="3D7C2118"/>
    <w:rsid w:val="3EC46785"/>
    <w:rsid w:val="3F8A6044"/>
    <w:rsid w:val="40425B94"/>
    <w:rsid w:val="42C208CA"/>
    <w:rsid w:val="43A702D9"/>
    <w:rsid w:val="440E02F9"/>
    <w:rsid w:val="44592EA4"/>
    <w:rsid w:val="447C2952"/>
    <w:rsid w:val="477245B4"/>
    <w:rsid w:val="49617FA5"/>
    <w:rsid w:val="4BAD6FBB"/>
    <w:rsid w:val="4D171D42"/>
    <w:rsid w:val="4E4F0BB0"/>
    <w:rsid w:val="4EE10AEE"/>
    <w:rsid w:val="5BE95901"/>
    <w:rsid w:val="5E031417"/>
    <w:rsid w:val="5F662405"/>
    <w:rsid w:val="64A3472B"/>
    <w:rsid w:val="6A0A15CD"/>
    <w:rsid w:val="6D452F22"/>
    <w:rsid w:val="6DC85BA0"/>
    <w:rsid w:val="6DF352BD"/>
    <w:rsid w:val="705E3E6D"/>
    <w:rsid w:val="71C1048A"/>
    <w:rsid w:val="7396188C"/>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eastAsia="黑体"/>
      <w:sz w:val="44"/>
      <w:szCs w:val="4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6624</Words>
  <Characters>6948</Characters>
  <Lines>0</Lines>
  <Paragraphs>0</Paragraphs>
  <TotalTime>1</TotalTime>
  <ScaleCrop>false</ScaleCrop>
  <LinksUpToDate>false</LinksUpToDate>
  <CharactersWithSpaces>7497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2022-10-17T01:07:56Z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