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bookmarkStart w:id="0" w:name="_GoBack"/>
      <w:bookmarkEnd w:id="0"/>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中国共产党华容县委员会政法委员会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114001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6</w:t>
      </w:r>
      <w:r>
        <w:rPr>
          <w:rFonts w:hint="eastAsia" w:eastAsia="仿宋_GB2312"/>
          <w:sz w:val="32"/>
        </w:rPr>
        <w:t>月</w:t>
      </w:r>
      <w:r>
        <w:rPr>
          <w:rFonts w:hint="eastAsia" w:eastAsia="仿宋_GB2312"/>
          <w:sz w:val="32"/>
          <w:lang w:val="en-US" w:eastAsia="zh-CN"/>
        </w:rPr>
        <w:t>7</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张超媛</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15197069087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4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（一）</w:t>
            </w:r>
            <w:r>
              <w:rPr>
                <w:rFonts w:hint="eastAsia" w:ascii="仿宋_GB2312" w:hAnsi="仿宋_GB2312" w:eastAsia="仿宋_GB2312" w:cs="仿宋_GB2312"/>
                <w:color w:val="000000"/>
                <w:sz w:val="24"/>
                <w:lang w:val="en-US" w:eastAsia="zh-CN"/>
              </w:rPr>
              <w:t>深入贯彻习近平新时代中国特色社会主义思想，深入贯彻党的路线方针政策和决策部署，统一政法各部门思想和行动，坚持党对政法工作的绝对领导，坚决维护党中央权威和集中统一领导。</w:t>
            </w:r>
          </w:p>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（二）</w:t>
            </w:r>
            <w:r>
              <w:rPr>
                <w:rFonts w:hint="eastAsia" w:ascii="仿宋_GB2312" w:hAnsi="仿宋_GB2312" w:eastAsia="仿宋_GB2312" w:cs="仿宋_GB2312"/>
                <w:color w:val="000000"/>
                <w:sz w:val="24"/>
                <w:lang w:val="en-US" w:eastAsia="zh-CN"/>
              </w:rPr>
              <w:t>深入贯彻党中央决定和省委、市委、县委决策，对全县政法工作研究提出全局性部署，推进平安华容、法治华容建设，加强过硬队伍建设，深化智能化建设，坚决维护国家政治安全、确保社会大局稳定、促进社会公平正义、保障人民安居乐业。</w:t>
            </w:r>
          </w:p>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（三）</w:t>
            </w:r>
            <w:r>
              <w:rPr>
                <w:rFonts w:hint="eastAsia" w:ascii="仿宋_GB2312" w:hAnsi="仿宋_GB2312" w:eastAsia="仿宋_GB2312" w:cs="仿宋_GB2312"/>
                <w:color w:val="000000"/>
                <w:sz w:val="24"/>
                <w:lang w:val="en-US" w:eastAsia="zh-CN"/>
              </w:rPr>
              <w:t>了解掌握和分析研判政法工作情况动态，分析社会稳定形势，创新完善多部门参与的维稳工作机制，协调推动预防、化解影响稳定的社会矛盾和风险，协调应对和处置重大突发事件。</w:t>
            </w:r>
          </w:p>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（四）</w:t>
            </w:r>
            <w:r>
              <w:rPr>
                <w:rFonts w:hint="eastAsia" w:ascii="仿宋_GB2312" w:hAnsi="仿宋_GB2312" w:eastAsia="仿宋_GB2312" w:cs="仿宋_GB2312"/>
                <w:color w:val="000000"/>
                <w:sz w:val="24"/>
                <w:lang w:val="en-US" w:eastAsia="zh-CN"/>
              </w:rPr>
              <w:t>加强对政法工作的督查，统筹协调社会治安综合治理、维护社会稳定、反邪教有关法律法规政策的实施工作。</w:t>
            </w:r>
          </w:p>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eastAsia="zh-CN"/>
              </w:rPr>
              <w:t>（五）</w:t>
            </w:r>
            <w:r>
              <w:rPr>
                <w:rFonts w:hint="eastAsia" w:ascii="仿宋_GB2312" w:hAnsi="仿宋_GB2312" w:eastAsia="仿宋_GB2312" w:cs="仿宋_GB2312"/>
                <w:color w:val="000000"/>
                <w:sz w:val="24"/>
              </w:rPr>
              <w:t>组织</w:t>
            </w:r>
            <w:r>
              <w:rPr>
                <w:rFonts w:hint="eastAsia" w:ascii="仿宋_GB2312" w:hAnsi="仿宋_GB2312" w:eastAsia="仿宋_GB2312" w:cs="仿宋_GB2312"/>
                <w:color w:val="000000"/>
                <w:sz w:val="24"/>
                <w:lang w:val="en-US" w:eastAsia="zh-CN"/>
              </w:rPr>
              <w:t>开展政法领域的调差研究，研究拟订政法工作的重要措施，及时向县委提出建议。</w:t>
            </w:r>
          </w:p>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（六）</w:t>
            </w:r>
            <w:r>
              <w:rPr>
                <w:rFonts w:hint="eastAsia" w:ascii="仿宋_GB2312" w:hAnsi="仿宋_GB2312" w:eastAsia="仿宋_GB2312" w:cs="仿宋_GB2312"/>
                <w:color w:val="000000"/>
                <w:sz w:val="24"/>
                <w:lang w:val="en-US" w:eastAsia="zh-CN"/>
              </w:rPr>
              <w:t>掌握分析政法舆情动态，指导协调政法部门媒体网络宣传工作，指导政法部门做好涉及政法工作的重大宣传工作。</w:t>
            </w:r>
          </w:p>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lang w:val="en-US" w:eastAsia="zh-CN"/>
              </w:rPr>
              <w:t>监督和支持政法各部门依法行使职权，指导和协调政法各部门密切配合，研究和协调重大、疑难案件，推进严格执法、公正司法。</w:t>
            </w:r>
          </w:p>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eastAsia="zh-CN"/>
              </w:rPr>
              <w:t>（八）</w:t>
            </w:r>
            <w:r>
              <w:rPr>
                <w:rFonts w:hint="eastAsia" w:ascii="仿宋_GB2312" w:hAnsi="仿宋_GB2312" w:eastAsia="仿宋_GB2312" w:cs="仿宋_GB2312"/>
                <w:color w:val="000000"/>
                <w:sz w:val="24"/>
                <w:lang w:val="en-US" w:eastAsia="zh-CN"/>
              </w:rPr>
              <w:t>组织研究政法改革中带有方向性、倾向性和普遍性的重大问题，深化政法改革。</w:t>
            </w:r>
          </w:p>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（九）</w:t>
            </w:r>
            <w:r>
              <w:rPr>
                <w:rFonts w:hint="eastAsia" w:ascii="仿宋_GB2312" w:hAnsi="仿宋_GB2312" w:eastAsia="仿宋_GB2312" w:cs="仿宋_GB2312"/>
                <w:color w:val="000000"/>
                <w:sz w:val="24"/>
                <w:lang w:val="en-US" w:eastAsia="zh-CN"/>
              </w:rPr>
              <w:t>指导推动政法系统党的建设和政法队伍建设。</w:t>
            </w:r>
          </w:p>
          <w:p>
            <w:pPr>
              <w:keepNext w:val="0"/>
              <w:keepLines w:val="0"/>
              <w:pageBreakBefore w:val="0"/>
              <w:widowControl w:val="0"/>
              <w:kinsoku/>
              <w:wordWrap/>
              <w:overflowPunct/>
              <w:topLinePunct w:val="0"/>
              <w:autoSpaceDE/>
              <w:autoSpaceDN w:val="0"/>
              <w:bidi w:val="0"/>
              <w:adjustRightInd/>
              <w:snapToGrid/>
              <w:spacing w:line="320" w:lineRule="exact"/>
              <w:ind w:firstLine="480" w:firstLineChars="200"/>
              <w:jc w:val="left"/>
              <w:textAlignment w:val="center"/>
              <w:rPr>
                <w:rFonts w:hint="default"/>
                <w:lang w:val="en-US" w:eastAsia="zh-CN"/>
              </w:rPr>
            </w:pPr>
            <w:r>
              <w:rPr>
                <w:rFonts w:hint="eastAsia" w:ascii="仿宋_GB2312" w:hAnsi="仿宋_GB2312" w:eastAsia="仿宋_GB2312" w:cs="仿宋_GB2312"/>
                <w:color w:val="000000"/>
                <w:sz w:val="24"/>
                <w:lang w:val="en-US" w:eastAsia="zh-CN"/>
              </w:rPr>
              <w:t>（十）完成县委交办的其他事项。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8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防范风险，维护社会稳定</w:t>
            </w:r>
          </w:p>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夯实基础，创建平安华容</w:t>
            </w:r>
          </w:p>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val="en-US" w:eastAsia="zh-CN"/>
              </w:rPr>
              <w:t>担当作为，政法领域改革</w:t>
            </w:r>
          </w:p>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任务4：服务大局，保障高质量发展</w:t>
            </w:r>
          </w:p>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任务5：从严治警，政法队伍建设</w:t>
            </w:r>
          </w:p>
          <w:p>
            <w:pPr>
              <w:autoSpaceDN w:val="0"/>
              <w:spacing w:line="320" w:lineRule="exact"/>
              <w:jc w:val="both"/>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坚持以市域社会治理创新为指引，全面开展“六无”村（社区）创建，坚持把防范化解社会风险贯彻始终，定期分析研判治安形势，提高预判能力，做实应急预案，用好用活矛盾纠纷化解“一中心六平台”，着力打造一批可看可学可复制的社会治理现代化创新示范样板。</w:t>
            </w:r>
          </w:p>
          <w:p>
            <w:pPr>
              <w:pStyle w:val="2"/>
              <w:rPr>
                <w:rFonts w:hint="default"/>
                <w:lang w:val="en-US"/>
              </w:rPr>
            </w:pPr>
            <w:r>
              <w:rPr>
                <w:rFonts w:hint="eastAsia" w:ascii="仿宋_GB2312" w:hAnsi="仿宋_GB2312" w:eastAsia="仿宋_GB2312" w:cs="仿宋_GB2312"/>
                <w:color w:val="000000"/>
                <w:sz w:val="24"/>
                <w:lang w:val="en-US" w:eastAsia="zh-CN"/>
              </w:rPr>
              <w:t>2021年我县再次被评为全省平安建设先进县。继续保持全省平安县称号。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2"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2"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7"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795.93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795.93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795.93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795.93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795.93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551.73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416.49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135.24</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244.2</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795.93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551.73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416.49</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135.24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244.2</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3"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116.84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116.84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116.84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116.84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防范风险，维护社会稳定</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夯实基础，创建平安华容</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担当作为，政法领域改革</w:t>
            </w:r>
          </w:p>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4：服务大局，保障高质量发展</w:t>
            </w:r>
          </w:p>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5：从严治警，政法队伍建设</w:t>
            </w:r>
          </w:p>
        </w:tc>
        <w:tc>
          <w:tcPr>
            <w:tcW w:w="4585" w:type="dxa"/>
            <w:gridSpan w:val="9"/>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目标1：圆满完成全国两会、建党百年大庆、全省党代会等重大节点安保维稳任务。落实意识形态工作责任制，强化重点人员服务管理，全面完成邪教人员转化率阶段性目标。</w:t>
            </w:r>
          </w:p>
          <w:p>
            <w:pPr>
              <w:autoSpaceDN w:val="0"/>
              <w:spacing w:line="320" w:lineRule="exact"/>
              <w:ind w:firstLine="480" w:firstLineChars="20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目标2：持续推进矛盾纠纷多元化解，成立并实质运行道路交通事故调处中心，深化“十大平安”创建，扎实开展“六无”创建。</w:t>
            </w:r>
          </w:p>
          <w:p>
            <w:pPr>
              <w:pStyle w:val="2"/>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目标3：贯彻落实政法体制改革任务要求，加强执法司法办案监督，完成行政复议体制机制改革，完成党委政法委统一业务平台建设，建成使用党委政法委统一视频会议系统、工作专线、电子政务内网3条专线。</w:t>
            </w:r>
          </w:p>
          <w:p>
            <w:pPr>
              <w:pStyle w:val="2"/>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目标4：加强社会矛盾风险源头防范，加强企业和投资者合法权益保护。</w:t>
            </w:r>
          </w:p>
          <w:p>
            <w:pPr>
              <w:pStyle w:val="2"/>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kern w:val="2"/>
                <w:sz w:val="24"/>
                <w:szCs w:val="24"/>
                <w:lang w:val="en-US" w:eastAsia="zh-CN" w:bidi="ar-SA"/>
              </w:rPr>
              <w:t>目标5：将党史教育贯彻政法队伍整顿全过程，建立完善工作机制。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6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完成行政复议机制改革，成立县人民政府行政复议办公室。县森林公安正式转隶。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82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将“雪亮工程”纳入重点民生实事项目督办，完成投资上千万元，提前超额完成年度目标任务。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坚持依法行政，审查规范性文件多件，政府性合同及其他文件若干件，涉及金额上亿元。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7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kern w:val="2"/>
                <w:sz w:val="24"/>
                <w:szCs w:val="24"/>
                <w:lang w:val="en-US" w:eastAsia="zh-CN" w:bidi="ar-SA"/>
              </w:rPr>
              <w:t>持续推进矛盾纠纷多元化解，成立并实质运行道路交通事故调处中心，5个多月调解事故纠纷案件成功率92%。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3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将党史教育贯彻政法队伍教育整顿全过程，期间对政法干警全覆盖开展谈心谈话，排查整改顽瘴痼疾问题，建立完善工作机制，我县政法队伍 教育整顿成效位居全省前列。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5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kern w:val="2"/>
                <w:sz w:val="24"/>
                <w:szCs w:val="24"/>
                <w:lang w:val="en-US" w:eastAsia="zh-CN" w:bidi="ar-SA"/>
              </w:rPr>
              <w:t>完成党委政法委统一业务平台建设，建成使用党委政法委统一视频会议系统、工作专线、电子政务内网3条专线。</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8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万庾镇派出所新建等基础建设项目全部完工并投入使用，基层队所庭室标准化建设“三年行动”圆满收官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80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加强社会矛盾风险源头防范，组织对华容煤炭铁水联运储配基地码头一期工程等多个项目开展社会稳定风险评估。</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加强企业和投资者合法权益保护，围绕“服务、治理、打击、化解”四个方面，协调处理涉企矛盾纠纷若干起，查处损害经济发展环境类案件若干起。</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扎实开展长江、洞庭湖生态环境保护专项检察活动，积极助推东湖水质治理，起诉破坏生态环境资源犯罪若干人。</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深化“十大平安”创建，对见义勇为先进个人进行表彰奖励，高质量抓好公众安全感测评攻坚，群众安全感满意度显著提升。</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扎实开展“六无”创建，充分发挥村规民约、居民公约的自律规范作用，群众自治活力得到有效激发，推动形成章华镇北街社区“长工辨是非”等基层自治示范点31个。</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王</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刚</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分管</w:t>
            </w:r>
            <w:r>
              <w:rPr>
                <w:rFonts w:hint="eastAsia" w:ascii="仿宋_GB2312" w:hAnsi="仿宋_GB2312" w:eastAsia="仿宋_GB2312" w:cs="仿宋_GB2312"/>
                <w:color w:val="000000"/>
                <w:sz w:val="24"/>
                <w:lang w:val="en-US" w:eastAsia="zh-CN"/>
              </w:rPr>
              <w:t>财务负责人</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贺德宏</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政工</w:t>
            </w:r>
            <w:r>
              <w:rPr>
                <w:rFonts w:hint="eastAsia" w:ascii="仿宋_GB2312" w:hAnsi="仿宋_GB2312" w:eastAsia="仿宋_GB2312" w:cs="仿宋_GB2312"/>
                <w:color w:val="000000"/>
                <w:sz w:val="24"/>
                <w:lang w:eastAsia="zh-CN"/>
              </w:rPr>
              <w:t>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谭  锋</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维稳指导室主任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张国文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财务室主任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张超媛</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15197069087</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一、部门（单位）概况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县编办核定县委政法委机关行政编制</w:t>
            </w:r>
            <w:r>
              <w:rPr>
                <w:rFonts w:hint="eastAsia" w:ascii="仿宋_GB2312" w:hAnsi="仿宋_GB2312" w:eastAsia="仿宋_GB2312" w:cs="仿宋_GB2312"/>
                <w:bCs/>
                <w:sz w:val="28"/>
                <w:szCs w:val="28"/>
                <w:lang w:val="en-US" w:eastAsia="zh-CN"/>
              </w:rPr>
              <w:t>12</w:t>
            </w:r>
            <w:r>
              <w:rPr>
                <w:rFonts w:hint="eastAsia" w:ascii="仿宋_GB2312" w:hAnsi="仿宋_GB2312" w:eastAsia="仿宋_GB2312" w:cs="仿宋_GB2312"/>
                <w:bCs/>
                <w:sz w:val="28"/>
                <w:szCs w:val="28"/>
              </w:rPr>
              <w:t>名，设书记1名（县委常委兼任），副书记4名，政工室主任1名。目前我委现有工作人员</w:t>
            </w:r>
            <w:r>
              <w:rPr>
                <w:rFonts w:hint="eastAsia" w:ascii="仿宋_GB2312" w:hAnsi="仿宋_GB2312" w:eastAsia="仿宋_GB2312" w:cs="仿宋_GB2312"/>
                <w:bCs/>
                <w:sz w:val="28"/>
                <w:szCs w:val="28"/>
                <w:lang w:val="en-US" w:eastAsia="zh-CN"/>
              </w:rPr>
              <w:t>24</w:t>
            </w:r>
            <w:r>
              <w:rPr>
                <w:rFonts w:hint="eastAsia" w:ascii="仿宋_GB2312" w:hAnsi="仿宋_GB2312" w:eastAsia="仿宋_GB2312" w:cs="仿宋_GB2312"/>
                <w:bCs/>
                <w:sz w:val="28"/>
                <w:szCs w:val="28"/>
              </w:rPr>
              <w:t>人，其中行政编</w:t>
            </w:r>
            <w:r>
              <w:rPr>
                <w:rFonts w:hint="eastAsia" w:ascii="仿宋_GB2312" w:hAnsi="仿宋_GB2312" w:eastAsia="仿宋_GB2312" w:cs="仿宋_GB2312"/>
                <w:bCs/>
                <w:sz w:val="28"/>
                <w:szCs w:val="28"/>
                <w:lang w:val="en-US" w:eastAsia="zh-CN"/>
              </w:rPr>
              <w:t>15</w:t>
            </w:r>
            <w:r>
              <w:rPr>
                <w:rFonts w:hint="eastAsia" w:ascii="仿宋_GB2312" w:hAnsi="仿宋_GB2312" w:eastAsia="仿宋_GB2312" w:cs="仿宋_GB2312"/>
                <w:bCs/>
                <w:sz w:val="28"/>
                <w:szCs w:val="28"/>
              </w:rPr>
              <w:t>人、工勤编制2人、长期合同工2人，社会治理网格化服务中心事业编工作人员</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名。机关内设政工室、办公室、维稳指导室、执法监督室、综治督导室、政治安全室、基层社会治理室。社会治理网格化服务中心</w:t>
            </w:r>
            <w:r>
              <w:rPr>
                <w:rFonts w:hint="eastAsia" w:ascii="仿宋_GB2312" w:hAnsi="仿宋_GB2312" w:eastAsia="仿宋_GB2312" w:cs="仿宋_GB2312"/>
                <w:bCs/>
                <w:sz w:val="28"/>
                <w:szCs w:val="28"/>
                <w:lang w:eastAsia="zh-CN"/>
              </w:rPr>
              <w:t>为</w:t>
            </w:r>
            <w:r>
              <w:rPr>
                <w:rFonts w:hint="eastAsia" w:ascii="仿宋_GB2312" w:hAnsi="仿宋_GB2312" w:eastAsia="仿宋_GB2312" w:cs="仿宋_GB2312"/>
                <w:bCs/>
                <w:sz w:val="28"/>
                <w:szCs w:val="28"/>
              </w:rPr>
              <w:t>下设独立副科级二级机构</w:t>
            </w:r>
            <w:r>
              <w:rPr>
                <w:rFonts w:hint="eastAsia" w:ascii="仿宋_GB2312" w:hAnsi="仿宋_GB2312" w:eastAsia="仿宋_GB2312" w:cs="仿宋_GB2312"/>
                <w:bCs/>
                <w:sz w:val="28"/>
                <w:szCs w:val="28"/>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1.深入贯彻习近平新时代中国特色社会主义思想，深入贯彻党的路线方针政策和决策部署，统一政法各部门思想和行动，坚持党对政法工作的绝对领导，坚决维护党中央权威和集中统一领导。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深入贯彻党中央决定和省委、市委、县委决策，对全县政法工作研究提出全局性部署，推进平安华容、法治华容建设，加强过硬队伍建设，深化智能化建设，坚决维护国家政治安全、确保社会大局稳定、促进社会公平正义、保障人民安居乐业。</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3.了解掌握和分析研判政法工作情况动态，分析社会稳定形势，创新完善多部门参与的维稳工作机制，协调推动预防、化解影响稳定的社会矛盾和风险，协调应对和处置重大突发事件。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4.加强对政法工作的督查，统筹协调社会治安综合治理、维护社会稳定、反邪教有关法律法规政策的实施工作。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组织</w:t>
            </w:r>
            <w:r>
              <w:rPr>
                <w:rFonts w:hint="eastAsia" w:ascii="仿宋_GB2312" w:hAnsi="仿宋_GB2312" w:eastAsia="仿宋_GB2312" w:cs="仿宋_GB2312"/>
                <w:bCs/>
                <w:sz w:val="28"/>
                <w:szCs w:val="28"/>
                <w:lang w:val="en-US" w:eastAsia="zh-CN"/>
              </w:rPr>
              <w:t>开展政法领域的调差研究，研究拟订政法工作的重要措施，及时向县委提出建议。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6.掌握分析政法舆情动态，指导协调政法部门媒体网络宣传工作，指导政法部门做好涉及政法工作的重大宣传工作。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7.监督和支持政法各部门依法行使职权，指导和协调政法各部门密切配合，研究和协调重大、疑难案件，推进严格执法、公正司法。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eastAsia="zh-CN"/>
              </w:rPr>
              <w:t>8.组织研究政法改革中带有方向性、倾向性和普遍性的重大问题，深化政法改革。</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9.指导推动政法系统党的建设和政法队伍建设。</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10.完成县委交办的其他事项。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（1）收入情况：全年收入</w:t>
            </w:r>
            <w:r>
              <w:rPr>
                <w:rFonts w:hint="eastAsia" w:ascii="仿宋_GB2312" w:hAnsi="仿宋_GB2312" w:eastAsia="仿宋_GB2312" w:cs="仿宋_GB2312"/>
                <w:bCs/>
                <w:sz w:val="28"/>
                <w:szCs w:val="28"/>
                <w:lang w:val="en-US" w:eastAsia="zh-CN"/>
              </w:rPr>
              <w:t>795.93</w:t>
            </w:r>
            <w:r>
              <w:rPr>
                <w:rFonts w:hint="eastAsia" w:ascii="仿宋_GB2312" w:hAnsi="仿宋_GB2312" w:eastAsia="仿宋_GB2312" w:cs="仿宋_GB2312"/>
                <w:bCs/>
                <w:sz w:val="28"/>
                <w:szCs w:val="28"/>
              </w:rPr>
              <w:t>万元，财政拨款收入</w:t>
            </w:r>
            <w:r>
              <w:rPr>
                <w:rFonts w:hint="eastAsia" w:ascii="仿宋_GB2312" w:hAnsi="仿宋_GB2312" w:eastAsia="仿宋_GB2312" w:cs="仿宋_GB2312"/>
                <w:bCs/>
                <w:sz w:val="28"/>
                <w:szCs w:val="28"/>
                <w:lang w:val="en-US" w:eastAsia="zh-CN"/>
              </w:rPr>
              <w:t>795.93</w:t>
            </w:r>
            <w:r>
              <w:rPr>
                <w:rFonts w:hint="eastAsia" w:ascii="仿宋_GB2312" w:hAnsi="仿宋_GB2312" w:eastAsia="仿宋_GB2312" w:cs="仿宋_GB2312"/>
                <w:bCs/>
                <w:sz w:val="28"/>
                <w:szCs w:val="28"/>
              </w:rPr>
              <w:t>万元。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（2）支出情况:支出</w:t>
            </w:r>
            <w:r>
              <w:rPr>
                <w:rFonts w:hint="eastAsia" w:ascii="仿宋_GB2312" w:hAnsi="仿宋_GB2312" w:eastAsia="仿宋_GB2312" w:cs="仿宋_GB2312"/>
                <w:bCs/>
                <w:sz w:val="28"/>
                <w:szCs w:val="28"/>
                <w:lang w:val="en-US" w:eastAsia="zh-CN"/>
              </w:rPr>
              <w:t>795.93</w:t>
            </w:r>
            <w:r>
              <w:rPr>
                <w:rFonts w:hint="eastAsia" w:ascii="仿宋_GB2312" w:hAnsi="仿宋_GB2312" w:eastAsia="仿宋_GB2312" w:cs="仿宋_GB2312"/>
                <w:bCs/>
                <w:sz w:val="28"/>
                <w:szCs w:val="28"/>
              </w:rPr>
              <w:t>万元， 其中：基本支出</w:t>
            </w:r>
            <w:r>
              <w:rPr>
                <w:rFonts w:hint="eastAsia" w:ascii="仿宋_GB2312" w:hAnsi="仿宋_GB2312" w:eastAsia="仿宋_GB2312" w:cs="仿宋_GB2312"/>
                <w:bCs/>
                <w:sz w:val="28"/>
                <w:szCs w:val="28"/>
                <w:lang w:val="en-US" w:eastAsia="zh-CN"/>
              </w:rPr>
              <w:t>551.73</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人员</w:t>
            </w:r>
            <w:r>
              <w:rPr>
                <w:rFonts w:hint="eastAsia" w:ascii="仿宋_GB2312" w:hAnsi="仿宋_GB2312" w:eastAsia="仿宋_GB2312" w:cs="仿宋_GB2312"/>
                <w:bCs/>
                <w:sz w:val="28"/>
                <w:szCs w:val="28"/>
              </w:rPr>
              <w:t>支出</w:t>
            </w:r>
            <w:r>
              <w:rPr>
                <w:rFonts w:hint="eastAsia" w:ascii="仿宋_GB2312" w:hAnsi="仿宋_GB2312" w:eastAsia="仿宋_GB2312" w:cs="仿宋_GB2312"/>
                <w:bCs/>
                <w:sz w:val="28"/>
                <w:szCs w:val="28"/>
                <w:lang w:val="en-US" w:eastAsia="zh-CN"/>
              </w:rPr>
              <w:t>416.49</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公用支出</w:t>
            </w:r>
            <w:r>
              <w:rPr>
                <w:rFonts w:hint="eastAsia" w:ascii="仿宋_GB2312" w:hAnsi="仿宋_GB2312" w:eastAsia="仿宋_GB2312" w:cs="仿宋_GB2312"/>
                <w:bCs/>
                <w:sz w:val="28"/>
                <w:szCs w:val="28"/>
                <w:lang w:val="en-US" w:eastAsia="zh-CN"/>
              </w:rPr>
              <w:t>135.24</w:t>
            </w:r>
            <w:r>
              <w:rPr>
                <w:rFonts w:hint="eastAsia" w:ascii="仿宋_GB2312" w:hAnsi="仿宋_GB2312" w:eastAsia="仿宋_GB2312" w:cs="仿宋_GB2312"/>
                <w:bCs/>
                <w:sz w:val="28"/>
                <w:szCs w:val="28"/>
              </w:rPr>
              <w:t>万元），项目支出</w:t>
            </w:r>
            <w:r>
              <w:rPr>
                <w:rFonts w:hint="eastAsia" w:ascii="仿宋_GB2312" w:hAnsi="仿宋_GB2312" w:eastAsia="仿宋_GB2312" w:cs="仿宋_GB2312"/>
                <w:bCs/>
                <w:sz w:val="28"/>
                <w:szCs w:val="28"/>
                <w:lang w:val="en-US" w:eastAsia="zh-CN"/>
              </w:rPr>
              <w:t>244.2</w:t>
            </w:r>
            <w:r>
              <w:rPr>
                <w:rFonts w:hint="eastAsia" w:ascii="仿宋_GB2312" w:hAnsi="仿宋_GB2312" w:eastAsia="仿宋_GB2312" w:cs="仿宋_GB2312"/>
                <w:bCs/>
                <w:sz w:val="28"/>
                <w:szCs w:val="28"/>
              </w:rPr>
              <w:t xml:space="preserve">万元。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sz w:val="28"/>
                <w:szCs w:val="28"/>
              </w:rPr>
            </w:pPr>
            <w:r>
              <w:rPr>
                <w:rFonts w:hint="eastAsia" w:ascii="仿宋_GB2312" w:hAnsi="仿宋_GB2312" w:eastAsia="仿宋_GB2312" w:cs="仿宋_GB2312"/>
                <w:bCs/>
                <w:sz w:val="28"/>
                <w:szCs w:val="28"/>
              </w:rPr>
              <w:t>（3）三公经费支出情况：20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年部门预算安排“三公”经费</w:t>
            </w:r>
            <w:r>
              <w:rPr>
                <w:rFonts w:hint="eastAsia" w:ascii="仿宋_GB2312" w:hAnsi="仿宋_GB2312" w:eastAsia="仿宋_GB2312" w:cs="仿宋_GB2312"/>
                <w:bCs/>
                <w:sz w:val="28"/>
                <w:szCs w:val="28"/>
                <w:lang w:val="en-US" w:eastAsia="zh-CN"/>
              </w:rPr>
              <w:t>1.24</w:t>
            </w:r>
            <w:r>
              <w:rPr>
                <w:rFonts w:hint="eastAsia" w:ascii="仿宋_GB2312" w:hAnsi="仿宋_GB2312" w:eastAsia="仿宋_GB2312" w:cs="仿宋_GB2312"/>
                <w:bCs/>
                <w:sz w:val="28"/>
                <w:szCs w:val="28"/>
              </w:rPr>
              <w:t>万元，实际支出</w:t>
            </w:r>
            <w:r>
              <w:rPr>
                <w:rFonts w:hint="eastAsia" w:ascii="仿宋_GB2312" w:hAnsi="仿宋_GB2312" w:eastAsia="仿宋_GB2312" w:cs="仿宋_GB2312"/>
                <w:bCs/>
                <w:sz w:val="28"/>
                <w:szCs w:val="28"/>
                <w:lang w:val="en-US" w:eastAsia="zh-CN"/>
              </w:rPr>
              <w:t>1.24</w:t>
            </w:r>
            <w:r>
              <w:rPr>
                <w:rFonts w:hint="eastAsia" w:ascii="仿宋_GB2312" w:hAnsi="仿宋_GB2312" w:eastAsia="仿宋_GB2312" w:cs="仿宋_GB2312"/>
                <w:bCs/>
                <w:sz w:val="28"/>
                <w:szCs w:val="28"/>
              </w:rPr>
              <w:t>万元，其中公务接待费</w:t>
            </w:r>
            <w:r>
              <w:rPr>
                <w:rFonts w:hint="eastAsia" w:ascii="仿宋_GB2312" w:hAnsi="仿宋_GB2312" w:eastAsia="仿宋_GB2312" w:cs="仿宋_GB2312"/>
                <w:bCs/>
                <w:sz w:val="28"/>
                <w:szCs w:val="28"/>
                <w:lang w:val="en-US" w:eastAsia="zh-CN"/>
              </w:rPr>
              <w:t>1.24</w:t>
            </w:r>
            <w:r>
              <w:rPr>
                <w:rFonts w:hint="eastAsia" w:ascii="仿宋_GB2312" w:hAnsi="仿宋_GB2312" w:eastAsia="仿宋_GB2312" w:cs="仿宋_GB2312"/>
                <w:bCs/>
                <w:sz w:val="28"/>
                <w:szCs w:val="28"/>
              </w:rPr>
              <w:t>万元。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sz w:val="28"/>
                <w:szCs w:val="28"/>
              </w:rPr>
            </w:pPr>
            <w:r>
              <w:rPr>
                <w:rFonts w:hint="eastAsia" w:ascii="仿宋_GB2312" w:hAnsi="仿宋_GB2312" w:eastAsia="仿宋_GB2312" w:cs="仿宋_GB2312"/>
                <w:bCs/>
                <w:sz w:val="28"/>
                <w:szCs w:val="28"/>
                <w:lang w:val="en-US" w:eastAsia="zh-CN"/>
              </w:rPr>
              <w:t>2021年本级财政预算专项经费拨款共计244.2万元，专项资金均全部按进度拨付到位。</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sz w:val="28"/>
                <w:szCs w:val="28"/>
              </w:rPr>
            </w:pPr>
            <w:r>
              <w:rPr>
                <w:rFonts w:hint="eastAsia" w:ascii="仿宋_GB2312" w:hAnsi="仿宋_GB2312" w:eastAsia="仿宋_GB2312" w:cs="仿宋_GB2312"/>
                <w:bCs/>
                <w:sz w:val="28"/>
                <w:szCs w:val="28"/>
                <w:lang w:val="en-US" w:eastAsia="zh-CN"/>
              </w:rPr>
              <w:t>2021年专项资金支出244.2万元，包括见义勇为、综治民调、维稳经费、平安创建、政法专项、扫黑除恶、网格化建设、涉法涉诉、反邪教、反恐、国安等工作经费，完全做到了专项资金专款专用。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sz w:val="28"/>
                <w:szCs w:val="28"/>
              </w:rPr>
            </w:pPr>
            <w:r>
              <w:rPr>
                <w:rFonts w:hint="eastAsia" w:ascii="仿宋_GB2312" w:hAnsi="仿宋_GB2312" w:eastAsia="仿宋_GB2312" w:cs="仿宋_GB2312"/>
                <w:bCs/>
                <w:sz w:val="28"/>
                <w:szCs w:val="28"/>
                <w:lang w:eastAsia="zh-CN"/>
              </w:rPr>
              <w:t>按照专项工作的计划进度和预算安排支出专项资金，大大加强专项资金的保障力度，确保工作专项工作有序开展。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28"/>
                <w:szCs w:val="28"/>
              </w:rPr>
            </w:pPr>
            <w:r>
              <w:rPr>
                <w:rFonts w:hint="eastAsia" w:ascii="仿宋_GB2312" w:hAnsi="仿宋_GB2312" w:eastAsia="仿宋_GB2312" w:cs="仿宋_GB2312"/>
                <w:bCs/>
                <w:sz w:val="28"/>
                <w:szCs w:val="28"/>
                <w:lang w:eastAsia="zh-CN"/>
              </w:rPr>
              <w:t>为加强单位资金使用效率，落实好财务管理制度，我委在资金使用上坚持报销凭证必须由经办人、证明人、分管副书记签字，经财务人员审核无误后由分管财务负责人签字审批。大额支出须经书记办公会研究决定。</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rPr>
            </w:pPr>
            <w:r>
              <w:rPr>
                <w:rFonts w:hint="eastAsia" w:ascii="仿宋_GB2312" w:hAnsi="仿宋_GB2312" w:eastAsia="仿宋_GB2312" w:cs="仿宋_GB2312"/>
                <w:bCs/>
                <w:sz w:val="28"/>
                <w:szCs w:val="28"/>
                <w:lang w:eastAsia="zh-CN"/>
              </w:rPr>
              <w:t>我委严格按照有关财政资金管理要求，严格执行会计制度和财务制度，依法管理项目资金，结合我委的工作实际，做到项目开支规范化、工作制度化，对经费使用范围的各类支出，按照经费使用审批的程序办理，财务人员做到依法理财，保障账目真实、完整、规范，项目总体执行情况较好，预期的绩效目标基本实现。</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（一）部门整体支出绩效评价目的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通过对</w:t>
            </w:r>
            <w:r>
              <w:rPr>
                <w:rFonts w:hint="eastAsia" w:ascii="仿宋_GB2312" w:hAnsi="仿宋_GB2312" w:eastAsia="仿宋_GB2312" w:cs="仿宋_GB2312"/>
                <w:bCs/>
                <w:sz w:val="28"/>
                <w:szCs w:val="28"/>
                <w:lang w:val="en-US" w:eastAsia="zh-CN"/>
              </w:rPr>
              <w:t>2021</w:t>
            </w:r>
            <w:r>
              <w:rPr>
                <w:rFonts w:hint="eastAsia" w:ascii="仿宋_GB2312" w:hAnsi="仿宋_GB2312" w:eastAsia="仿宋_GB2312" w:cs="仿宋_GB2312"/>
                <w:bCs/>
                <w:sz w:val="28"/>
                <w:szCs w:val="28"/>
              </w:rPr>
              <w:t>年华容县</w:t>
            </w:r>
            <w:r>
              <w:rPr>
                <w:rFonts w:hint="eastAsia" w:ascii="仿宋_GB2312" w:hAnsi="仿宋_GB2312" w:eastAsia="仿宋_GB2312" w:cs="仿宋_GB2312"/>
                <w:bCs/>
                <w:sz w:val="28"/>
                <w:szCs w:val="28"/>
                <w:lang w:eastAsia="zh-CN"/>
              </w:rPr>
              <w:t>委政法委</w:t>
            </w:r>
            <w:r>
              <w:rPr>
                <w:rFonts w:hint="eastAsia" w:ascii="仿宋_GB2312" w:hAnsi="仿宋_GB2312" w:eastAsia="仿宋_GB2312" w:cs="仿宋_GB2312"/>
                <w:bCs/>
                <w:sz w:val="28"/>
                <w:szCs w:val="28"/>
              </w:rPr>
              <w:t>的预算配置、预算管理、资产管理、职责履行、履职效益等内容的绩效考评，提高财政资金的使用效率，为财政部门预算管理提供决策依据。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（二）部门整体支出评价原则、指标评价体系、评价方法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部门整体支出绩效评价原则：遵循客观公正，操作简便高效，尊重客观实际，实事求是的原则。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根据考核评分细则，考评组认为华容县</w:t>
            </w:r>
            <w:r>
              <w:rPr>
                <w:rFonts w:hint="eastAsia" w:ascii="仿宋_GB2312" w:hAnsi="仿宋_GB2312" w:eastAsia="仿宋_GB2312" w:cs="仿宋_GB2312"/>
                <w:bCs/>
                <w:sz w:val="28"/>
                <w:szCs w:val="28"/>
                <w:lang w:eastAsia="zh-CN"/>
              </w:rPr>
              <w:t>委政法委</w:t>
            </w:r>
            <w:r>
              <w:rPr>
                <w:rFonts w:hint="eastAsia" w:ascii="仿宋_GB2312" w:hAnsi="仿宋_GB2312" w:eastAsia="仿宋_GB2312" w:cs="仿宋_GB2312"/>
                <w:bCs/>
                <w:sz w:val="28"/>
                <w:szCs w:val="28"/>
                <w:lang w:val="en-US" w:eastAsia="zh-CN"/>
              </w:rPr>
              <w:t>2020</w:t>
            </w:r>
            <w:r>
              <w:rPr>
                <w:rFonts w:hint="eastAsia" w:ascii="仿宋_GB2312" w:hAnsi="仿宋_GB2312" w:eastAsia="仿宋_GB2312" w:cs="仿宋_GB2312"/>
                <w:bCs/>
                <w:sz w:val="28"/>
                <w:szCs w:val="28"/>
              </w:rPr>
              <w:t>年整体支出，严格按照国家的相关财务管理制度规定，财务制度健全、会计核算规范，依照计划管理使用，</w:t>
            </w:r>
            <w:r>
              <w:rPr>
                <w:rFonts w:hint="eastAsia" w:ascii="仿宋_GB2312" w:hAnsi="仿宋_GB2312" w:eastAsia="仿宋_GB2312" w:cs="仿宋_GB2312"/>
                <w:bCs/>
                <w:sz w:val="28"/>
                <w:szCs w:val="28"/>
                <w:lang w:eastAsia="zh-CN"/>
              </w:rPr>
              <w:t>县委政法委</w:t>
            </w:r>
            <w:r>
              <w:rPr>
                <w:rFonts w:hint="eastAsia" w:ascii="仿宋_GB2312" w:hAnsi="仿宋_GB2312" w:eastAsia="仿宋_GB2312" w:cs="仿宋_GB2312"/>
                <w:bCs/>
                <w:sz w:val="28"/>
                <w:szCs w:val="28"/>
              </w:rPr>
              <w:t>的整体支出对保障部门工作的正常运行、建设和维护、贯彻执行国家和省办方针、政策、法律法规，发挥了重要作用。按照部门整体支出绩效评价指标体系对照打分得出结果为</w:t>
            </w:r>
            <w:r>
              <w:rPr>
                <w:rFonts w:hint="eastAsia" w:ascii="仿宋_GB2312" w:hAnsi="仿宋_GB2312" w:eastAsia="仿宋_GB2312" w:cs="仿宋_GB2312"/>
                <w:bCs/>
                <w:sz w:val="28"/>
                <w:szCs w:val="28"/>
                <w:lang w:val="en-US" w:eastAsia="zh-CN"/>
              </w:rPr>
              <w:t>99</w:t>
            </w:r>
            <w:r>
              <w:rPr>
                <w:rFonts w:hint="eastAsia" w:ascii="仿宋_GB2312" w:hAnsi="仿宋_GB2312" w:eastAsia="仿宋_GB2312" w:cs="仿宋_GB2312"/>
                <w:bCs/>
                <w:sz w:val="28"/>
                <w:szCs w:val="28"/>
              </w:rPr>
              <w:t>分，等级为优秀。</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整体支出绩效评价方法：主要采用因素分析法、投入产出效益分析法</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比较法，相关部门问卷调查等方法。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五、存在的主要问题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sz w:val="28"/>
                <w:szCs w:val="28"/>
              </w:rPr>
            </w:pPr>
            <w:r>
              <w:rPr>
                <w:rFonts w:hint="eastAsia" w:ascii="仿宋_GB2312" w:hAnsi="仿宋_GB2312" w:eastAsia="仿宋_GB2312" w:cs="仿宋_GB2312"/>
                <w:bCs/>
                <w:sz w:val="28"/>
                <w:szCs w:val="28"/>
              </w:rPr>
              <w:t>预算编制有待更严格执行。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按照预算规定的项目和用途严格财务审核，经费支出严格按预算规定项目的财务支出内容进行财务核算，在预算金额内严格控制费用的支出。</w:t>
            </w:r>
          </w:p>
          <w:p>
            <w:pPr>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严格控制“三公经费”支出，进一步细化“三公经费”管理，按财政三公经费要求严控 “三公经费”支出。</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28"/>
                <w:szCs w:val="28"/>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预算财务分析常态化，定期做好预算支出财务分析，做好部门整体支出预算评价工作</w:t>
            </w:r>
            <w:r>
              <w:rPr>
                <w:rFonts w:hint="eastAsia" w:ascii="仿宋_GB2312" w:hAnsi="仿宋_GB2312" w:eastAsia="仿宋_GB2312" w:cs="仿宋_GB2312"/>
                <w:bCs/>
                <w:sz w:val="28"/>
                <w:szCs w:val="28"/>
                <w:lang w:eastAsia="zh-CN"/>
              </w:rPr>
              <w:t>。</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超编2人</w:t>
            </w: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9E06C6"/>
    <w:multiLevelType w:val="singleLevel"/>
    <w:tmpl w:val="249E06C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5NjM5MGNjMTA0MDI5ZTcwNjg3MTM0MGRlNTEzODYifQ=="/>
  </w:docVars>
  <w:rsids>
    <w:rsidRoot w:val="2CE55C20"/>
    <w:rsid w:val="007B2063"/>
    <w:rsid w:val="083749E7"/>
    <w:rsid w:val="0CB679B8"/>
    <w:rsid w:val="0DB066B9"/>
    <w:rsid w:val="0DE528CD"/>
    <w:rsid w:val="1336279F"/>
    <w:rsid w:val="15735F27"/>
    <w:rsid w:val="18725427"/>
    <w:rsid w:val="254E2FC7"/>
    <w:rsid w:val="25B607B7"/>
    <w:rsid w:val="263C173A"/>
    <w:rsid w:val="27274DA9"/>
    <w:rsid w:val="289D055E"/>
    <w:rsid w:val="2C9F197B"/>
    <w:rsid w:val="2CA33441"/>
    <w:rsid w:val="2CE55C20"/>
    <w:rsid w:val="2F287302"/>
    <w:rsid w:val="30426D13"/>
    <w:rsid w:val="333252F7"/>
    <w:rsid w:val="3A43255A"/>
    <w:rsid w:val="3D6201A1"/>
    <w:rsid w:val="3EC46785"/>
    <w:rsid w:val="3F8A6044"/>
    <w:rsid w:val="43A702D9"/>
    <w:rsid w:val="44592EA4"/>
    <w:rsid w:val="477245B4"/>
    <w:rsid w:val="49617FA5"/>
    <w:rsid w:val="4A354A95"/>
    <w:rsid w:val="4D171D42"/>
    <w:rsid w:val="4E4F0BB0"/>
    <w:rsid w:val="5BE95901"/>
    <w:rsid w:val="5E1A5D2A"/>
    <w:rsid w:val="632863F8"/>
    <w:rsid w:val="681607EA"/>
    <w:rsid w:val="6A0A15CD"/>
    <w:rsid w:val="6D452F22"/>
    <w:rsid w:val="6DF352BD"/>
    <w:rsid w:val="705E3E6D"/>
    <w:rsid w:val="71C1048A"/>
    <w:rsid w:val="7396188C"/>
    <w:rsid w:val="73F35F5B"/>
    <w:rsid w:val="79C04582"/>
    <w:rsid w:val="7BFC781D"/>
    <w:rsid w:val="7C0C250D"/>
    <w:rsid w:val="7D1F0DA2"/>
    <w:rsid w:val="7F1D01D6"/>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6263</Words>
  <Characters>6598</Characters>
  <Lines>0</Lines>
  <Paragraphs>0</Paragraphs>
  <TotalTime>42</TotalTime>
  <ScaleCrop>false</ScaleCrop>
  <LinksUpToDate>false</LinksUpToDate>
  <CharactersWithSpaces>7140</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媛</cp:lastModifiedBy>
  <cp:lastPrinted>2022-06-15T08:11:25Z</cp:lastPrinted>
  <dcterms:modified xsi:type="dcterms:W3CDTF">2022-06-15T08:30:06Z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377A56B318954603893BD5B869B7BB42</vt:lpwstr>
  </property>
</Properties>
</file>