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ascii="黑体" w:hAnsi="黑体" w:eastAsia="黑体" w:cs="黑体"/>
          <w:bCs/>
          <w:color w:val="auto"/>
          <w:sz w:val="32"/>
          <w:szCs w:val="32"/>
        </w:rPr>
      </w:pPr>
      <w:r>
        <w:rPr>
          <w:rFonts w:hint="eastAsia" w:ascii="黑体" w:hAnsi="黑体" w:eastAsia="黑体" w:cs="黑体"/>
          <w:bCs/>
          <w:color w:val="auto"/>
          <w:sz w:val="32"/>
          <w:szCs w:val="32"/>
        </w:rPr>
        <w:t>附件2-1</w:t>
      </w:r>
    </w:p>
    <w:p>
      <w:pPr>
        <w:spacing w:line="348" w:lineRule="auto"/>
        <w:jc w:val="center"/>
        <w:rPr>
          <w:rFonts w:eastAsia="方正小标宋简体"/>
          <w:bCs/>
          <w:color w:val="auto"/>
          <w:sz w:val="42"/>
          <w:szCs w:val="42"/>
        </w:rPr>
      </w:pPr>
    </w:p>
    <w:p>
      <w:pPr>
        <w:spacing w:line="800" w:lineRule="exact"/>
        <w:jc w:val="center"/>
        <w:rPr>
          <w:rFonts w:eastAsia="方正小标宋简体"/>
          <w:bCs/>
          <w:color w:val="auto"/>
          <w:sz w:val="46"/>
          <w:szCs w:val="46"/>
        </w:rPr>
      </w:pPr>
      <w:r>
        <w:rPr>
          <w:rFonts w:hint="eastAsia" w:eastAsia="方正小标宋简体"/>
          <w:bCs/>
          <w:color w:val="auto"/>
          <w:sz w:val="46"/>
          <w:szCs w:val="46"/>
        </w:rPr>
        <w:t>华容县2021年度部门整体支出</w:t>
      </w:r>
    </w:p>
    <w:p>
      <w:pPr>
        <w:spacing w:line="800" w:lineRule="exact"/>
        <w:jc w:val="center"/>
        <w:rPr>
          <w:rFonts w:eastAsia="方正小标宋简体"/>
          <w:bCs/>
          <w:color w:val="auto"/>
          <w:sz w:val="46"/>
          <w:szCs w:val="46"/>
        </w:rPr>
      </w:pPr>
      <w:r>
        <w:rPr>
          <w:rFonts w:hint="eastAsia" w:eastAsia="方正小标宋简体"/>
          <w:bCs/>
          <w:color w:val="auto"/>
          <w:sz w:val="46"/>
          <w:szCs w:val="46"/>
        </w:rPr>
        <w:t>绩效评价自评报告</w:t>
      </w:r>
    </w:p>
    <w:p>
      <w:pPr>
        <w:rPr>
          <w:rFonts w:eastAsia="仿宋_GB2312"/>
          <w:b/>
          <w:color w:val="auto"/>
          <w:sz w:val="32"/>
        </w:rPr>
      </w:pPr>
    </w:p>
    <w:p>
      <w:pPr>
        <w:rPr>
          <w:rFonts w:eastAsia="仿宋_GB2312"/>
          <w:b/>
          <w:color w:val="auto"/>
          <w:sz w:val="32"/>
        </w:rPr>
      </w:pPr>
    </w:p>
    <w:p>
      <w:pPr>
        <w:rPr>
          <w:rFonts w:eastAsia="仿宋_GB2312"/>
          <w:b/>
          <w:color w:val="auto"/>
          <w:sz w:val="32"/>
        </w:rPr>
      </w:pPr>
    </w:p>
    <w:p>
      <w:pPr>
        <w:spacing w:beforeLines="50" w:line="348" w:lineRule="auto"/>
        <w:ind w:firstLine="476" w:firstLineChars="150"/>
        <w:rPr>
          <w:rFonts w:eastAsia="仿宋_GB2312"/>
          <w:color w:val="auto"/>
          <w:sz w:val="32"/>
          <w:szCs w:val="32"/>
          <w:u w:val="single"/>
        </w:rPr>
      </w:pPr>
      <w:r>
        <w:rPr>
          <w:rFonts w:hint="eastAsia" w:eastAsia="仿宋_GB2312"/>
          <w:color w:val="auto"/>
          <w:sz w:val="32"/>
          <w:szCs w:val="32"/>
        </w:rPr>
        <w:t>部门(单位)名称：</w:t>
      </w:r>
      <w:r>
        <w:rPr>
          <w:rFonts w:hint="eastAsia" w:eastAsia="仿宋_GB2312"/>
          <w:color w:val="auto"/>
          <w:sz w:val="32"/>
          <w:szCs w:val="32"/>
          <w:u w:val="single"/>
        </w:rPr>
        <w:t xml:space="preserve">华容县政务服务中心                  </w:t>
      </w:r>
    </w:p>
    <w:p>
      <w:pPr>
        <w:spacing w:beforeLines="50" w:line="348" w:lineRule="auto"/>
        <w:ind w:firstLine="476" w:firstLineChars="150"/>
        <w:rPr>
          <w:rFonts w:eastAsia="仿宋_GB2312"/>
          <w:color w:val="auto"/>
          <w:spacing w:val="20"/>
          <w:sz w:val="32"/>
          <w:szCs w:val="32"/>
        </w:rPr>
      </w:pPr>
      <w:r>
        <w:rPr>
          <w:rFonts w:hint="eastAsia" w:eastAsia="仿宋_GB2312"/>
          <w:color w:val="auto"/>
          <w:sz w:val="32"/>
          <w:szCs w:val="32"/>
        </w:rPr>
        <w:t>预</w:t>
      </w:r>
      <w:r>
        <w:rPr>
          <w:rFonts w:hint="eastAsia" w:eastAsia="仿宋_GB2312"/>
          <w:color w:val="auto"/>
          <w:spacing w:val="30"/>
          <w:sz w:val="32"/>
          <w:szCs w:val="32"/>
        </w:rPr>
        <w:t xml:space="preserve"> 算 编 码：</w:t>
      </w:r>
      <w:r>
        <w:rPr>
          <w:rFonts w:eastAsia="仿宋_GB2312"/>
          <w:color w:val="auto"/>
          <w:spacing w:val="20"/>
          <w:sz w:val="32"/>
          <w:szCs w:val="32"/>
          <w:u w:val="single"/>
        </w:rPr>
        <w:t>10300</w:t>
      </w:r>
      <w:r>
        <w:rPr>
          <w:rFonts w:hint="eastAsia" w:eastAsia="仿宋_GB2312"/>
          <w:color w:val="auto"/>
          <w:spacing w:val="20"/>
          <w:sz w:val="32"/>
          <w:szCs w:val="32"/>
          <w:u w:val="single"/>
        </w:rPr>
        <w:t xml:space="preserve">2                      </w:t>
      </w:r>
    </w:p>
    <w:p>
      <w:pPr>
        <w:spacing w:beforeLines="50" w:line="348" w:lineRule="auto"/>
        <w:ind w:firstLine="476" w:firstLineChars="150"/>
        <w:rPr>
          <w:rFonts w:eastAsia="仿宋_GB2312"/>
          <w:color w:val="auto"/>
          <w:sz w:val="32"/>
          <w:szCs w:val="32"/>
        </w:rPr>
      </w:pPr>
      <w:r>
        <w:rPr>
          <w:rFonts w:hint="eastAsia" w:eastAsia="仿宋_GB2312"/>
          <w:color w:val="auto"/>
          <w:sz w:val="32"/>
          <w:szCs w:val="32"/>
        </w:rPr>
        <w:t>评价方式：部门（单位）绩效自评</w:t>
      </w:r>
    </w:p>
    <w:p>
      <w:pPr>
        <w:spacing w:beforeLines="50" w:line="348" w:lineRule="auto"/>
        <w:ind w:firstLine="476" w:firstLineChars="150"/>
        <w:rPr>
          <w:rFonts w:eastAsia="仿宋_GB2312"/>
          <w:color w:val="auto"/>
          <w:sz w:val="32"/>
          <w:szCs w:val="32"/>
        </w:rPr>
      </w:pPr>
      <w:r>
        <w:rPr>
          <w:rFonts w:hint="eastAsia" w:eastAsia="仿宋_GB2312"/>
          <w:color w:val="auto"/>
          <w:sz w:val="32"/>
          <w:szCs w:val="32"/>
        </w:rPr>
        <w:t xml:space="preserve">评价机构：部门（单位）评价组   </w:t>
      </w:r>
    </w:p>
    <w:p>
      <w:pPr>
        <w:spacing w:line="720" w:lineRule="exact"/>
        <w:ind w:firstLine="2188" w:firstLineChars="690"/>
        <w:rPr>
          <w:rFonts w:eastAsia="仿宋_GB2312"/>
          <w:color w:val="auto"/>
          <w:sz w:val="32"/>
        </w:rPr>
      </w:pPr>
    </w:p>
    <w:p>
      <w:pPr>
        <w:spacing w:line="720" w:lineRule="exact"/>
        <w:ind w:firstLine="2188" w:firstLineChars="690"/>
        <w:rPr>
          <w:rFonts w:eastAsia="仿宋_GB2312"/>
          <w:color w:val="auto"/>
          <w:sz w:val="32"/>
        </w:rPr>
      </w:pPr>
    </w:p>
    <w:p>
      <w:pPr>
        <w:spacing w:line="720" w:lineRule="exact"/>
        <w:ind w:firstLine="2188" w:firstLineChars="690"/>
        <w:rPr>
          <w:rFonts w:eastAsia="仿宋_GB2312"/>
          <w:color w:val="auto"/>
          <w:sz w:val="32"/>
        </w:rPr>
      </w:pPr>
    </w:p>
    <w:p>
      <w:pPr>
        <w:spacing w:line="348" w:lineRule="auto"/>
        <w:jc w:val="center"/>
        <w:rPr>
          <w:rFonts w:eastAsia="仿宋_GB2312"/>
          <w:color w:val="auto"/>
          <w:sz w:val="32"/>
        </w:rPr>
      </w:pPr>
      <w:r>
        <w:rPr>
          <w:rFonts w:hint="eastAsia" w:eastAsia="仿宋_GB2312"/>
          <w:color w:val="auto"/>
          <w:sz w:val="32"/>
        </w:rPr>
        <w:t>报告日期：2022年6月1</w:t>
      </w:r>
      <w:r>
        <w:rPr>
          <w:rFonts w:eastAsia="仿宋_GB2312"/>
          <w:color w:val="auto"/>
          <w:sz w:val="32"/>
        </w:rPr>
        <w:t>5</w:t>
      </w:r>
      <w:r>
        <w:rPr>
          <w:rFonts w:hint="eastAsia" w:eastAsia="仿宋_GB2312"/>
          <w:color w:val="auto"/>
          <w:sz w:val="32"/>
        </w:rPr>
        <w:t>日</w:t>
      </w:r>
    </w:p>
    <w:p>
      <w:pPr>
        <w:autoSpaceDN w:val="0"/>
        <w:jc w:val="center"/>
        <w:textAlignment w:val="center"/>
        <w:rPr>
          <w:rFonts w:eastAsia="仿宋_GB2312"/>
          <w:color w:val="auto"/>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color w:val="auto"/>
          <w:sz w:val="32"/>
        </w:rPr>
        <w:t>华容县财政</w:t>
      </w:r>
      <w:r>
        <w:rPr>
          <w:rFonts w:hint="eastAsia" w:eastAsia="仿宋_GB2312"/>
          <w:color w:val="auto"/>
          <w:sz w:val="32"/>
          <w:szCs w:val="32"/>
        </w:rPr>
        <w:t>局（制）</w:t>
      </w:r>
    </w:p>
    <w:tbl>
      <w:tblPr>
        <w:tblStyle w:val="5"/>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1221"/>
        <w:gridCol w:w="1292"/>
        <w:gridCol w:w="455"/>
        <w:gridCol w:w="638"/>
        <w:gridCol w:w="442"/>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6"/>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黑体" w:hAnsi="黑体" w:eastAsia="黑体" w:cs="黑体"/>
                <w:color w:val="auto"/>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联系人</w:t>
            </w:r>
          </w:p>
        </w:tc>
        <w:tc>
          <w:tcPr>
            <w:tcW w:w="3974" w:type="dxa"/>
            <w:gridSpan w:val="6"/>
            <w:vAlign w:val="center"/>
          </w:tcPr>
          <w:p>
            <w:pPr>
              <w:autoSpaceDN w:val="0"/>
              <w:spacing w:line="320" w:lineRule="exact"/>
              <w:jc w:val="center"/>
              <w:textAlignment w:val="center"/>
              <w:rPr>
                <w:rFonts w:hint="eastAsia"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王玉娟</w:t>
            </w:r>
          </w:p>
        </w:tc>
        <w:tc>
          <w:tcPr>
            <w:tcW w:w="2385" w:type="dxa"/>
            <w:gridSpan w:val="3"/>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联络电话</w:t>
            </w:r>
          </w:p>
        </w:tc>
        <w:tc>
          <w:tcPr>
            <w:tcW w:w="1787" w:type="dxa"/>
            <w:gridSpan w:val="5"/>
            <w:vAlign w:val="center"/>
          </w:tcPr>
          <w:p>
            <w:pPr>
              <w:autoSpaceDN w:val="0"/>
              <w:spacing w:line="320" w:lineRule="exact"/>
              <w:jc w:val="center"/>
              <w:textAlignment w:val="center"/>
              <w:rPr>
                <w:rFonts w:hint="default" w:ascii="仿宋_GB2312" w:hAnsi="仿宋_GB2312" w:eastAsia="仿宋_GB2312" w:cs="仿宋_GB2312"/>
                <w:color w:val="auto"/>
                <w:sz w:val="24"/>
                <w:lang w:val="en-US" w:eastAsia="zh-CN"/>
              </w:rPr>
            </w:pPr>
            <w:r>
              <w:rPr>
                <w:rFonts w:ascii="仿宋_GB2312" w:hAnsi="仿宋_GB2312" w:eastAsia="仿宋_GB2312" w:cs="仿宋_GB2312"/>
                <w:color w:val="auto"/>
                <w:sz w:val="24"/>
              </w:rPr>
              <w:t>15</w:t>
            </w:r>
            <w:r>
              <w:rPr>
                <w:rFonts w:hint="eastAsia" w:ascii="仿宋_GB2312" w:hAnsi="仿宋_GB2312" w:eastAsia="仿宋_GB2312" w:cs="仿宋_GB2312"/>
                <w:color w:val="auto"/>
                <w:sz w:val="24"/>
                <w:lang w:val="en-US" w:eastAsia="zh-CN"/>
              </w:rPr>
              <w:t>673010088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人员编制</w:t>
            </w:r>
          </w:p>
        </w:tc>
        <w:tc>
          <w:tcPr>
            <w:tcW w:w="3974" w:type="dxa"/>
            <w:gridSpan w:val="6"/>
            <w:vAlign w:val="center"/>
          </w:tcPr>
          <w:p>
            <w:pPr>
              <w:autoSpaceDN w:val="0"/>
              <w:spacing w:line="320" w:lineRule="exact"/>
              <w:jc w:val="center"/>
              <w:textAlignment w:val="center"/>
              <w:rPr>
                <w:rFonts w:hint="eastAsia"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rPr>
              <w:t>1</w:t>
            </w:r>
            <w:r>
              <w:rPr>
                <w:rFonts w:hint="eastAsia" w:ascii="仿宋_GB2312" w:hAnsi="仿宋_GB2312" w:eastAsia="仿宋_GB2312" w:cs="仿宋_GB2312"/>
                <w:color w:val="auto"/>
                <w:sz w:val="24"/>
                <w:lang w:val="en-US" w:eastAsia="zh-CN"/>
              </w:rPr>
              <w:t>3</w:t>
            </w:r>
          </w:p>
        </w:tc>
        <w:tc>
          <w:tcPr>
            <w:tcW w:w="2385" w:type="dxa"/>
            <w:gridSpan w:val="3"/>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实有人数</w:t>
            </w:r>
          </w:p>
        </w:tc>
        <w:tc>
          <w:tcPr>
            <w:tcW w:w="1787" w:type="dxa"/>
            <w:gridSpan w:val="5"/>
            <w:vAlign w:val="center"/>
          </w:tcPr>
          <w:p>
            <w:pPr>
              <w:autoSpaceDN w:val="0"/>
              <w:spacing w:line="320" w:lineRule="exact"/>
              <w:jc w:val="center"/>
              <w:textAlignment w:val="center"/>
              <w:rPr>
                <w:rFonts w:hint="eastAsia"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rPr>
              <w:t>1</w:t>
            </w:r>
            <w:r>
              <w:rPr>
                <w:rFonts w:hint="eastAsia" w:ascii="仿宋_GB2312" w:hAnsi="仿宋_GB2312" w:eastAsia="仿宋_GB2312" w:cs="仿宋_GB2312"/>
                <w:color w:val="auto"/>
                <w:sz w:val="24"/>
                <w:lang w:val="en-US" w:eastAsia="zh-CN"/>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3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职能职责概述</w:t>
            </w:r>
          </w:p>
        </w:tc>
        <w:tc>
          <w:tcPr>
            <w:tcW w:w="8146" w:type="dxa"/>
            <w:gridSpan w:val="14"/>
            <w:vAlign w:val="center"/>
          </w:tcPr>
          <w:p>
            <w:pPr>
              <w:autoSpaceDN w:val="0"/>
              <w:spacing w:line="320" w:lineRule="exact"/>
              <w:jc w:val="left"/>
              <w:textAlignment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负责全县服务公开的督促检查；负责对窗口的业务办理进行监督；负责对窗口工作人员进行管理；负责阳光政务的物业管理。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年度主要</w:t>
            </w:r>
          </w:p>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工作内容</w:t>
            </w:r>
          </w:p>
        </w:tc>
        <w:tc>
          <w:tcPr>
            <w:tcW w:w="8146" w:type="dxa"/>
            <w:gridSpan w:val="14"/>
            <w:vAlign w:val="center"/>
          </w:tcPr>
          <w:p>
            <w:pPr>
              <w:autoSpaceDN w:val="0"/>
              <w:spacing w:line="320" w:lineRule="exact"/>
              <w:jc w:val="left"/>
              <w:textAlignment w:val="center"/>
              <w:rPr>
                <w:rFonts w:hint="eastAsia" w:ascii="仿宋_GB2312" w:hAnsi="仿宋_GB2312" w:eastAsia="仿宋_GB2312" w:cs="仿宋_GB2312"/>
                <w:color w:val="auto"/>
                <w:sz w:val="24"/>
                <w:lang w:eastAsia="zh-CN"/>
              </w:rPr>
            </w:pPr>
            <w:r>
              <w:rPr>
                <w:rFonts w:hint="eastAsia" w:ascii="仿宋_GB2312" w:hAnsi="仿宋_GB2312" w:eastAsia="仿宋_GB2312" w:cs="仿宋_GB2312"/>
                <w:color w:val="auto"/>
                <w:sz w:val="24"/>
              </w:rPr>
              <w:t>任务1：负责组织、指导、监督、协调</w:t>
            </w:r>
            <w:r>
              <w:rPr>
                <w:rFonts w:hint="eastAsia" w:ascii="仿宋_GB2312" w:hAnsi="仿宋_GB2312" w:eastAsia="仿宋_GB2312" w:cs="仿宋_GB2312"/>
                <w:color w:val="auto"/>
                <w:sz w:val="24"/>
                <w:lang w:val="en-US" w:eastAsia="zh-CN"/>
              </w:rPr>
              <w:t>入</w:t>
            </w:r>
            <w:r>
              <w:rPr>
                <w:rFonts w:hint="eastAsia" w:ascii="仿宋_GB2312" w:hAnsi="仿宋_GB2312" w:eastAsia="仿宋_GB2312" w:cs="仿宋_GB2312"/>
                <w:color w:val="auto"/>
                <w:sz w:val="24"/>
              </w:rPr>
              <w:t>驻单位业务的开</w:t>
            </w:r>
            <w:r>
              <w:rPr>
                <w:rFonts w:hint="eastAsia" w:ascii="仿宋_GB2312" w:hAnsi="仿宋_GB2312" w:eastAsia="仿宋_GB2312" w:cs="仿宋_GB2312"/>
                <w:color w:val="auto"/>
                <w:sz w:val="24"/>
                <w:lang w:val="en-US" w:eastAsia="zh-CN"/>
              </w:rPr>
              <w:t>展</w:t>
            </w:r>
            <w:r>
              <w:rPr>
                <w:rFonts w:hint="eastAsia" w:ascii="仿宋_GB2312" w:hAnsi="仿宋_GB2312" w:eastAsia="仿宋_GB2312" w:cs="仿宋_GB2312"/>
                <w:color w:val="auto"/>
                <w:sz w:val="24"/>
              </w:rPr>
              <w:t>并提供相应的后勤服务</w:t>
            </w:r>
            <w:r>
              <w:rPr>
                <w:rFonts w:hint="eastAsia" w:ascii="仿宋_GB2312" w:hAnsi="仿宋_GB2312" w:eastAsia="仿宋_GB2312" w:cs="仿宋_GB2312"/>
                <w:color w:val="auto"/>
                <w:sz w:val="24"/>
                <w:lang w:eastAsia="zh-CN"/>
              </w:rPr>
              <w:t>。</w:t>
            </w:r>
          </w:p>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任务2：建好“一扇门”，推进服务高效集成。</w:t>
            </w:r>
          </w:p>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任务3：办好“一件事”，推进服务提质增效。</w:t>
            </w:r>
          </w:p>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任务4：用好“一张网”，推进服务“上云”。</w:t>
            </w:r>
          </w:p>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任务5：保证大厅管理和正常运行。</w:t>
            </w:r>
          </w:p>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任务6：推进全县基层公共服务（一门式）全覆盖工作。</w:t>
            </w:r>
          </w:p>
          <w:p>
            <w:pPr>
              <w:autoSpaceDN w:val="0"/>
              <w:spacing w:line="320" w:lineRule="exact"/>
              <w:jc w:val="left"/>
              <w:textAlignment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rPr>
              <w:t>任务</w:t>
            </w:r>
            <w:r>
              <w:rPr>
                <w:rFonts w:hint="eastAsia" w:ascii="仿宋_GB2312" w:hAnsi="仿宋_GB2312" w:eastAsia="仿宋_GB2312" w:cs="仿宋_GB2312"/>
                <w:color w:val="auto"/>
                <w:sz w:val="24"/>
                <w:lang w:val="en-US" w:eastAsia="zh-CN"/>
              </w:rPr>
              <w:t>7：对全县各类政务服务大厅及各便民服务中心工作进行业务指导，组织协调及工作考核。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698"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auto"/>
                <w:spacing w:val="-6"/>
                <w:sz w:val="24"/>
              </w:rPr>
            </w:pPr>
            <w:r>
              <w:rPr>
                <w:rFonts w:hint="eastAsia" w:ascii="仿宋_GB2312" w:hAnsi="仿宋_GB2312" w:eastAsia="仿宋_GB2312" w:cs="仿宋_GB2312"/>
                <w:color w:val="auto"/>
                <w:spacing w:val="-6"/>
                <w:sz w:val="24"/>
              </w:rPr>
              <w:t>年度部门（单位）总体运行情况及取得的成绩</w:t>
            </w:r>
          </w:p>
        </w:tc>
        <w:tc>
          <w:tcPr>
            <w:tcW w:w="8146" w:type="dxa"/>
            <w:gridSpan w:val="14"/>
            <w:vAlign w:val="center"/>
          </w:tcPr>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自我县提出推进“最多跑一次”改革后，取得了阶段性成果。2018年度获全省第一批省政府“放管服”改革表扬激励县的表彰，湖南省《全面深化改革工作简报》推介华容经验。2019年岳阳日报头版分别用标题《一窗受理 集成服务“华容 跑改”跑出新速度》、《放管服加力、群众享红利》对我县改革进行了详细的宣传报道，市跑改办在工作简报上向全市推介华容县“最多跑一次”改革的典型经验。2020年我县改革经验已上报省《基层改革探索100例》，并被《湘组研究》2020年第七期专题报道以及在岳阳日报头版宣传报道。获评2021年度深化“放管服”和“一件事一次办”改革工作优秀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6"/>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黑体" w:hAnsi="黑体" w:eastAsia="黑体" w:cs="黑体"/>
                <w:color w:val="auto"/>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6"/>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b/>
                <w:bCs/>
                <w:color w:val="auto"/>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收入合计</w:t>
            </w:r>
          </w:p>
        </w:tc>
        <w:tc>
          <w:tcPr>
            <w:tcW w:w="7020" w:type="dxa"/>
            <w:gridSpan w:val="1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3"/>
            <w:vMerge w:val="continue"/>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上年结转</w:t>
            </w:r>
          </w:p>
        </w:tc>
        <w:tc>
          <w:tcPr>
            <w:tcW w:w="1493" w:type="dxa"/>
            <w:gridSpan w:val="2"/>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公共财</w:t>
            </w:r>
          </w:p>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政拨款</w:t>
            </w:r>
          </w:p>
        </w:tc>
        <w:tc>
          <w:tcPr>
            <w:tcW w:w="1292" w:type="dxa"/>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政府基金拨款</w:t>
            </w: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纳入专户管理的非税收入拨款</w:t>
            </w:r>
          </w:p>
        </w:tc>
        <w:tc>
          <w:tcPr>
            <w:tcW w:w="1080" w:type="dxa"/>
            <w:gridSpan w:val="3"/>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其他</w:t>
            </w:r>
          </w:p>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局机关及二级机构汇总</w:t>
            </w:r>
          </w:p>
        </w:tc>
        <w:tc>
          <w:tcPr>
            <w:tcW w:w="1080"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auto"/>
                <w:sz w:val="24"/>
              </w:rPr>
            </w:pP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auto"/>
                <w:sz w:val="24"/>
              </w:rPr>
            </w:pPr>
          </w:p>
        </w:tc>
        <w:tc>
          <w:tcPr>
            <w:tcW w:w="1493" w:type="dxa"/>
            <w:gridSpan w:val="2"/>
            <w:vAlign w:val="center"/>
          </w:tcPr>
          <w:p>
            <w:pPr>
              <w:autoSpaceDN w:val="0"/>
              <w:spacing w:line="320" w:lineRule="exact"/>
              <w:jc w:val="left"/>
              <w:textAlignment w:val="center"/>
              <w:rPr>
                <w:rFonts w:ascii="仿宋_GB2312" w:hAnsi="仿宋_GB2312" w:eastAsia="仿宋_GB2312" w:cs="仿宋_GB2312"/>
                <w:color w:val="auto"/>
                <w:sz w:val="24"/>
              </w:rPr>
            </w:pPr>
          </w:p>
        </w:tc>
        <w:tc>
          <w:tcPr>
            <w:tcW w:w="1292" w:type="dxa"/>
            <w:vAlign w:val="center"/>
          </w:tcPr>
          <w:p>
            <w:pPr>
              <w:autoSpaceDN w:val="0"/>
              <w:spacing w:line="320" w:lineRule="exact"/>
              <w:jc w:val="left"/>
              <w:textAlignment w:val="center"/>
              <w:rPr>
                <w:rFonts w:ascii="仿宋_GB2312" w:hAnsi="仿宋_GB2312" w:eastAsia="仿宋_GB2312" w:cs="仿宋_GB2312"/>
                <w:color w:val="auto"/>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rPr>
                <w:rFonts w:ascii="仿宋_GB2312" w:hAnsi="仿宋_GB2312" w:eastAsia="仿宋_GB2312" w:cs="仿宋_GB2312"/>
                <w:color w:val="auto"/>
                <w:sz w:val="24"/>
              </w:rPr>
            </w:pPr>
            <w:r>
              <w:rPr>
                <w:rFonts w:hint="eastAsia" w:ascii="仿宋_GB2312" w:hAnsi="仿宋_GB2312" w:eastAsia="仿宋_GB2312" w:cs="仿宋_GB2312"/>
                <w:color w:val="auto"/>
                <w:sz w:val="24"/>
              </w:rPr>
              <w:t>1、局机关</w:t>
            </w:r>
          </w:p>
        </w:tc>
        <w:tc>
          <w:tcPr>
            <w:tcW w:w="1080"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auto"/>
                <w:sz w:val="24"/>
              </w:rPr>
            </w:pP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auto"/>
                <w:sz w:val="24"/>
              </w:rPr>
            </w:pPr>
          </w:p>
        </w:tc>
        <w:tc>
          <w:tcPr>
            <w:tcW w:w="1493" w:type="dxa"/>
            <w:gridSpan w:val="2"/>
            <w:vAlign w:val="center"/>
          </w:tcPr>
          <w:p>
            <w:pPr>
              <w:autoSpaceDN w:val="0"/>
              <w:spacing w:line="320" w:lineRule="exact"/>
              <w:jc w:val="left"/>
              <w:textAlignment w:val="center"/>
              <w:rPr>
                <w:rFonts w:ascii="仿宋_GB2312" w:hAnsi="仿宋_GB2312" w:eastAsia="仿宋_GB2312" w:cs="仿宋_GB2312"/>
                <w:color w:val="auto"/>
                <w:sz w:val="24"/>
              </w:rPr>
            </w:pPr>
          </w:p>
        </w:tc>
        <w:tc>
          <w:tcPr>
            <w:tcW w:w="1292" w:type="dxa"/>
            <w:vAlign w:val="center"/>
          </w:tcPr>
          <w:p>
            <w:pPr>
              <w:autoSpaceDN w:val="0"/>
              <w:spacing w:line="320" w:lineRule="exact"/>
              <w:jc w:val="left"/>
              <w:textAlignment w:val="center"/>
              <w:rPr>
                <w:rFonts w:ascii="仿宋_GB2312" w:hAnsi="仿宋_GB2312" w:eastAsia="仿宋_GB2312" w:cs="仿宋_GB2312"/>
                <w:color w:val="auto"/>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rPr>
                <w:rFonts w:ascii="仿宋_GB2312" w:hAnsi="仿宋_GB2312" w:eastAsia="仿宋_GB2312" w:cs="仿宋_GB2312"/>
                <w:color w:val="auto"/>
                <w:sz w:val="24"/>
              </w:rPr>
            </w:pPr>
            <w:r>
              <w:rPr>
                <w:rFonts w:hint="eastAsia" w:ascii="仿宋_GB2312" w:hAnsi="仿宋_GB2312" w:eastAsia="仿宋_GB2312" w:cs="仿宋_GB2312"/>
                <w:color w:val="auto"/>
                <w:sz w:val="24"/>
              </w:rPr>
              <w:t>2、二级机构1</w:t>
            </w:r>
          </w:p>
        </w:tc>
        <w:tc>
          <w:tcPr>
            <w:tcW w:w="1080"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548</w:t>
            </w: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auto"/>
                <w:sz w:val="24"/>
              </w:rPr>
            </w:pPr>
          </w:p>
        </w:tc>
        <w:tc>
          <w:tcPr>
            <w:tcW w:w="1493" w:type="dxa"/>
            <w:gridSpan w:val="2"/>
            <w:vAlign w:val="center"/>
          </w:tcPr>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548</w:t>
            </w:r>
          </w:p>
        </w:tc>
        <w:tc>
          <w:tcPr>
            <w:tcW w:w="1292" w:type="dxa"/>
            <w:vAlign w:val="center"/>
          </w:tcPr>
          <w:p>
            <w:pPr>
              <w:autoSpaceDN w:val="0"/>
              <w:spacing w:line="320" w:lineRule="exact"/>
              <w:jc w:val="left"/>
              <w:textAlignment w:val="center"/>
              <w:rPr>
                <w:rFonts w:ascii="仿宋_GB2312" w:hAnsi="仿宋_GB2312" w:eastAsia="仿宋_GB2312" w:cs="仿宋_GB2312"/>
                <w:color w:val="auto"/>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rPr>
                <w:rFonts w:ascii="仿宋_GB2312" w:hAnsi="仿宋_GB2312" w:eastAsia="仿宋_GB2312" w:cs="仿宋_GB2312"/>
                <w:color w:val="auto"/>
                <w:sz w:val="24"/>
              </w:rPr>
            </w:pPr>
            <w:r>
              <w:rPr>
                <w:rFonts w:hint="eastAsia" w:ascii="仿宋_GB2312" w:hAnsi="仿宋_GB2312" w:eastAsia="仿宋_GB2312" w:cs="仿宋_GB2312"/>
                <w:color w:val="auto"/>
                <w:sz w:val="24"/>
              </w:rPr>
              <w:t>3、二级机构2</w:t>
            </w:r>
          </w:p>
        </w:tc>
        <w:tc>
          <w:tcPr>
            <w:tcW w:w="1080"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auto"/>
                <w:sz w:val="24"/>
              </w:rPr>
            </w:pP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auto"/>
                <w:sz w:val="24"/>
              </w:rPr>
            </w:pPr>
          </w:p>
        </w:tc>
        <w:tc>
          <w:tcPr>
            <w:tcW w:w="1493" w:type="dxa"/>
            <w:gridSpan w:val="2"/>
            <w:vAlign w:val="center"/>
          </w:tcPr>
          <w:p>
            <w:pPr>
              <w:autoSpaceDN w:val="0"/>
              <w:spacing w:line="320" w:lineRule="exact"/>
              <w:jc w:val="left"/>
              <w:textAlignment w:val="center"/>
              <w:rPr>
                <w:rFonts w:ascii="仿宋_GB2312" w:hAnsi="仿宋_GB2312" w:eastAsia="仿宋_GB2312" w:cs="仿宋_GB2312"/>
                <w:color w:val="auto"/>
                <w:sz w:val="24"/>
              </w:rPr>
            </w:pPr>
          </w:p>
        </w:tc>
        <w:tc>
          <w:tcPr>
            <w:tcW w:w="1292" w:type="dxa"/>
            <w:vAlign w:val="center"/>
          </w:tcPr>
          <w:p>
            <w:pPr>
              <w:autoSpaceDN w:val="0"/>
              <w:spacing w:line="320" w:lineRule="exact"/>
              <w:jc w:val="left"/>
              <w:textAlignment w:val="center"/>
              <w:rPr>
                <w:rFonts w:ascii="仿宋_GB2312" w:hAnsi="仿宋_GB2312" w:eastAsia="仿宋_GB2312" w:cs="仿宋_GB2312"/>
                <w:color w:val="auto"/>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6"/>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b/>
                <w:bCs/>
                <w:color w:val="auto"/>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pPr>
              <w:snapToGrid w:val="0"/>
              <w:spacing w:line="320" w:lineRule="exact"/>
              <w:jc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支出合计</w:t>
            </w:r>
          </w:p>
        </w:tc>
        <w:tc>
          <w:tcPr>
            <w:tcW w:w="5675" w:type="dxa"/>
            <w:gridSpan w:val="8"/>
            <w:tcBorders>
              <w:left w:val="single" w:color="auto" w:sz="4" w:space="0"/>
              <w:bottom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其中：</w:t>
            </w:r>
          </w:p>
        </w:tc>
        <w:tc>
          <w:tcPr>
            <w:tcW w:w="1345" w:type="dxa"/>
            <w:gridSpan w:val="4"/>
            <w:tcBorders>
              <w:left w:val="single" w:color="auto" w:sz="4" w:space="0"/>
              <w:bottom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color w:val="auto"/>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1355" w:type="dxa"/>
            <w:gridSpan w:val="2"/>
            <w:vMerge w:val="restart"/>
            <w:tcBorders>
              <w:top w:val="single" w:color="auto" w:sz="4" w:space="0"/>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基本支出</w:t>
            </w:r>
          </w:p>
        </w:tc>
        <w:tc>
          <w:tcPr>
            <w:tcW w:w="3240" w:type="dxa"/>
            <w:gridSpan w:val="4"/>
            <w:tcBorders>
              <w:top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其中：</w:t>
            </w:r>
          </w:p>
        </w:tc>
        <w:tc>
          <w:tcPr>
            <w:tcW w:w="1080" w:type="dxa"/>
            <w:gridSpan w:val="2"/>
            <w:vMerge w:val="restart"/>
            <w:tcBorders>
              <w:top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项目支出</w:t>
            </w:r>
          </w:p>
        </w:tc>
        <w:tc>
          <w:tcPr>
            <w:tcW w:w="720" w:type="dxa"/>
            <w:gridSpan w:val="3"/>
            <w:vMerge w:val="restart"/>
            <w:tcBorders>
              <w:top w:val="single" w:color="auto" w:sz="4" w:space="0"/>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当年结余</w:t>
            </w:r>
          </w:p>
        </w:tc>
        <w:tc>
          <w:tcPr>
            <w:tcW w:w="625" w:type="dxa"/>
            <w:vMerge w:val="restart"/>
            <w:tcBorders>
              <w:top w:val="single" w:color="auto" w:sz="4" w:space="0"/>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color w:val="auto"/>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1355" w:type="dxa"/>
            <w:gridSpan w:val="2"/>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1493" w:type="dxa"/>
            <w:gridSpan w:val="2"/>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人员支出</w:t>
            </w:r>
          </w:p>
        </w:tc>
        <w:tc>
          <w:tcPr>
            <w:tcW w:w="1747" w:type="dxa"/>
            <w:gridSpan w:val="2"/>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公用支出</w:t>
            </w:r>
          </w:p>
        </w:tc>
        <w:tc>
          <w:tcPr>
            <w:tcW w:w="1080" w:type="dxa"/>
            <w:gridSpan w:val="2"/>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720" w:type="dxa"/>
            <w:gridSpan w:val="3"/>
            <w:vMerge w:val="continue"/>
            <w:tcBorders>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625" w:type="dxa"/>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vAlign w:val="center"/>
          </w:tcPr>
          <w:p>
            <w:pPr>
              <w:spacing w:line="320" w:lineRule="exact"/>
              <w:jc w:val="left"/>
              <w:rPr>
                <w:rFonts w:ascii="仿宋_GB2312" w:hAnsi="仿宋_GB2312" w:eastAsia="仿宋_GB2312" w:cs="仿宋_GB2312"/>
                <w:color w:val="auto"/>
                <w:sz w:val="24"/>
              </w:rPr>
            </w:pPr>
            <w:r>
              <w:rPr>
                <w:rFonts w:hint="eastAsia" w:ascii="仿宋_GB2312" w:hAnsi="仿宋_GB2312" w:eastAsia="仿宋_GB2312" w:cs="仿宋_GB2312"/>
                <w:color w:val="auto"/>
                <w:sz w:val="24"/>
              </w:rPr>
              <w:t>局机关及二级机构汇总</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1493" w:type="dxa"/>
            <w:gridSpan w:val="2"/>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1747" w:type="dxa"/>
            <w:gridSpan w:val="2"/>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color w:val="auto"/>
                <w:sz w:val="24"/>
              </w:rPr>
            </w:pPr>
            <w:r>
              <w:rPr>
                <w:rFonts w:hint="eastAsia" w:ascii="仿宋_GB2312" w:hAnsi="仿宋_GB2312" w:eastAsia="仿宋_GB2312" w:cs="仿宋_GB2312"/>
                <w:color w:val="auto"/>
                <w:sz w:val="24"/>
              </w:rPr>
              <w:t>1、局机关</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1493" w:type="dxa"/>
            <w:gridSpan w:val="2"/>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1747" w:type="dxa"/>
            <w:gridSpan w:val="2"/>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color w:val="auto"/>
                <w:sz w:val="24"/>
              </w:rPr>
            </w:pPr>
            <w:r>
              <w:rPr>
                <w:rFonts w:hint="eastAsia" w:ascii="仿宋_GB2312" w:hAnsi="仿宋_GB2312" w:eastAsia="仿宋_GB2312" w:cs="仿宋_GB2312"/>
                <w:color w:val="auto"/>
                <w:sz w:val="24"/>
              </w:rPr>
              <w:t>2、二级机构1</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548</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548</w:t>
            </w:r>
          </w:p>
        </w:tc>
        <w:tc>
          <w:tcPr>
            <w:tcW w:w="1493" w:type="dxa"/>
            <w:gridSpan w:val="2"/>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165.6</w:t>
            </w:r>
          </w:p>
        </w:tc>
        <w:tc>
          <w:tcPr>
            <w:tcW w:w="1747" w:type="dxa"/>
            <w:gridSpan w:val="2"/>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382.4</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color w:val="auto"/>
                <w:sz w:val="24"/>
              </w:rPr>
            </w:pPr>
            <w:r>
              <w:rPr>
                <w:rFonts w:hint="eastAsia" w:ascii="仿宋_GB2312" w:hAnsi="仿宋_GB2312" w:eastAsia="仿宋_GB2312" w:cs="仿宋_GB2312"/>
                <w:color w:val="auto"/>
                <w:sz w:val="24"/>
              </w:rPr>
              <w:t>3、二级机构2</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1493" w:type="dxa"/>
            <w:gridSpan w:val="2"/>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1747" w:type="dxa"/>
            <w:gridSpan w:val="2"/>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pPr>
              <w:spacing w:line="320" w:lineRule="exact"/>
              <w:jc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三公经费</w:t>
            </w:r>
          </w:p>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合计</w:t>
            </w:r>
          </w:p>
        </w:tc>
        <w:tc>
          <w:tcPr>
            <w:tcW w:w="7020" w:type="dxa"/>
            <w:gridSpan w:val="1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color w:val="auto"/>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公务接待费</w:t>
            </w:r>
          </w:p>
        </w:tc>
        <w:tc>
          <w:tcPr>
            <w:tcW w:w="1493" w:type="dxa"/>
            <w:gridSpan w:val="2"/>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公务用车运维费</w:t>
            </w:r>
          </w:p>
        </w:tc>
        <w:tc>
          <w:tcPr>
            <w:tcW w:w="1747" w:type="dxa"/>
            <w:gridSpan w:val="2"/>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公务用车购置费</w:t>
            </w:r>
          </w:p>
        </w:tc>
        <w:tc>
          <w:tcPr>
            <w:tcW w:w="2425" w:type="dxa"/>
            <w:gridSpan w:val="6"/>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vAlign w:val="center"/>
          </w:tcPr>
          <w:p>
            <w:pPr>
              <w:spacing w:line="320" w:lineRule="exact"/>
              <w:jc w:val="left"/>
              <w:rPr>
                <w:rFonts w:ascii="仿宋_GB2312" w:hAnsi="仿宋_GB2312" w:eastAsia="仿宋_GB2312" w:cs="仿宋_GB2312"/>
                <w:color w:val="auto"/>
                <w:sz w:val="24"/>
              </w:rPr>
            </w:pPr>
            <w:r>
              <w:rPr>
                <w:rFonts w:hint="eastAsia" w:ascii="仿宋_GB2312" w:hAnsi="仿宋_GB2312" w:eastAsia="仿宋_GB2312" w:cs="仿宋_GB2312"/>
                <w:color w:val="auto"/>
                <w:sz w:val="24"/>
              </w:rPr>
              <w:t>局机关及二级机构汇总</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1493" w:type="dxa"/>
            <w:gridSpan w:val="2"/>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1747" w:type="dxa"/>
            <w:gridSpan w:val="2"/>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2425" w:type="dxa"/>
            <w:gridSpan w:val="6"/>
            <w:vAlign w:val="center"/>
          </w:tcPr>
          <w:p>
            <w:pPr>
              <w:autoSpaceDN w:val="0"/>
              <w:spacing w:line="320" w:lineRule="exact"/>
              <w:jc w:val="center"/>
              <w:textAlignment w:val="center"/>
              <w:rPr>
                <w:rFonts w:ascii="仿宋_GB2312" w:hAnsi="仿宋_GB2312" w:eastAsia="仿宋_GB2312" w:cs="仿宋_GB2312"/>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color w:val="auto"/>
                <w:sz w:val="24"/>
              </w:rPr>
            </w:pPr>
            <w:r>
              <w:rPr>
                <w:rFonts w:hint="eastAsia" w:ascii="仿宋_GB2312" w:hAnsi="仿宋_GB2312" w:eastAsia="仿宋_GB2312" w:cs="仿宋_GB2312"/>
                <w:color w:val="auto"/>
                <w:sz w:val="24"/>
              </w:rPr>
              <w:t>1、局机关</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1493" w:type="dxa"/>
            <w:gridSpan w:val="2"/>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1747" w:type="dxa"/>
            <w:gridSpan w:val="2"/>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2425" w:type="dxa"/>
            <w:gridSpan w:val="6"/>
            <w:vAlign w:val="center"/>
          </w:tcPr>
          <w:p>
            <w:pPr>
              <w:autoSpaceDN w:val="0"/>
              <w:spacing w:line="320" w:lineRule="exact"/>
              <w:jc w:val="center"/>
              <w:textAlignment w:val="center"/>
              <w:rPr>
                <w:rFonts w:ascii="仿宋_GB2312" w:hAnsi="仿宋_GB2312" w:eastAsia="仿宋_GB2312" w:cs="仿宋_GB2312"/>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color w:val="auto"/>
                <w:sz w:val="24"/>
              </w:rPr>
            </w:pPr>
            <w:r>
              <w:rPr>
                <w:rFonts w:hint="eastAsia" w:ascii="仿宋_GB2312" w:hAnsi="仿宋_GB2312" w:eastAsia="仿宋_GB2312" w:cs="仿宋_GB2312"/>
                <w:color w:val="auto"/>
                <w:sz w:val="24"/>
              </w:rPr>
              <w:t>2、二级机构1</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2.8</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2.8</w:t>
            </w:r>
          </w:p>
        </w:tc>
        <w:tc>
          <w:tcPr>
            <w:tcW w:w="1493" w:type="dxa"/>
            <w:gridSpan w:val="2"/>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1747" w:type="dxa"/>
            <w:gridSpan w:val="2"/>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2425" w:type="dxa"/>
            <w:gridSpan w:val="6"/>
            <w:vAlign w:val="center"/>
          </w:tcPr>
          <w:p>
            <w:pPr>
              <w:autoSpaceDN w:val="0"/>
              <w:spacing w:line="320" w:lineRule="exact"/>
              <w:jc w:val="center"/>
              <w:textAlignment w:val="center"/>
              <w:rPr>
                <w:rFonts w:ascii="仿宋_GB2312" w:hAnsi="仿宋_GB2312" w:eastAsia="仿宋_GB2312" w:cs="仿宋_GB2312"/>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color w:val="auto"/>
                <w:sz w:val="24"/>
              </w:rPr>
            </w:pPr>
            <w:r>
              <w:rPr>
                <w:rFonts w:hint="eastAsia" w:ascii="仿宋_GB2312" w:hAnsi="仿宋_GB2312" w:eastAsia="仿宋_GB2312" w:cs="仿宋_GB2312"/>
                <w:color w:val="auto"/>
                <w:sz w:val="24"/>
              </w:rPr>
              <w:t>3、二级机构2</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1493" w:type="dxa"/>
            <w:gridSpan w:val="2"/>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1747" w:type="dxa"/>
            <w:gridSpan w:val="2"/>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2425" w:type="dxa"/>
            <w:gridSpan w:val="6"/>
            <w:vAlign w:val="center"/>
          </w:tcPr>
          <w:p>
            <w:pPr>
              <w:autoSpaceDN w:val="0"/>
              <w:spacing w:line="320" w:lineRule="exact"/>
              <w:jc w:val="center"/>
              <w:textAlignment w:val="center"/>
              <w:rPr>
                <w:rFonts w:ascii="仿宋_GB2312" w:hAnsi="仿宋_GB2312" w:eastAsia="仿宋_GB2312" w:cs="仿宋_GB2312"/>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pPr>
              <w:spacing w:line="320" w:lineRule="exact"/>
              <w:jc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固定资产</w:t>
            </w:r>
          </w:p>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合计</w:t>
            </w:r>
          </w:p>
        </w:tc>
        <w:tc>
          <w:tcPr>
            <w:tcW w:w="6079" w:type="dxa"/>
            <w:gridSpan w:val="10"/>
            <w:tcBorders>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其中：</w:t>
            </w:r>
          </w:p>
        </w:tc>
        <w:tc>
          <w:tcPr>
            <w:tcW w:w="941" w:type="dxa"/>
            <w:gridSpan w:val="2"/>
            <w:vMerge w:val="restart"/>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color w:val="auto"/>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2848"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在用固定资产</w:t>
            </w:r>
          </w:p>
        </w:tc>
        <w:tc>
          <w:tcPr>
            <w:tcW w:w="3231" w:type="dxa"/>
            <w:gridSpan w:val="6"/>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出租固定资产</w:t>
            </w:r>
          </w:p>
        </w:tc>
        <w:tc>
          <w:tcPr>
            <w:tcW w:w="941" w:type="dxa"/>
            <w:gridSpan w:val="2"/>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vAlign w:val="center"/>
          </w:tcPr>
          <w:p>
            <w:pPr>
              <w:spacing w:line="320" w:lineRule="exact"/>
              <w:jc w:val="left"/>
              <w:rPr>
                <w:rFonts w:ascii="仿宋_GB2312" w:hAnsi="仿宋_GB2312" w:eastAsia="仿宋_GB2312" w:cs="仿宋_GB2312"/>
                <w:color w:val="auto"/>
                <w:sz w:val="24"/>
              </w:rPr>
            </w:pPr>
            <w:r>
              <w:rPr>
                <w:rFonts w:hint="eastAsia" w:ascii="仿宋_GB2312" w:hAnsi="仿宋_GB2312" w:eastAsia="仿宋_GB2312" w:cs="仿宋_GB2312"/>
                <w:color w:val="auto"/>
                <w:sz w:val="24"/>
              </w:rPr>
              <w:t>局机关及二级机构汇总</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2848"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3231" w:type="dxa"/>
            <w:gridSpan w:val="6"/>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color w:val="auto"/>
                <w:sz w:val="24"/>
              </w:rPr>
            </w:pPr>
            <w:r>
              <w:rPr>
                <w:rFonts w:hint="eastAsia" w:ascii="仿宋_GB2312" w:hAnsi="仿宋_GB2312" w:eastAsia="仿宋_GB2312" w:cs="仿宋_GB2312"/>
                <w:color w:val="auto"/>
                <w:sz w:val="24"/>
              </w:rPr>
              <w:t>1、局机关</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2848"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3231" w:type="dxa"/>
            <w:gridSpan w:val="6"/>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color w:val="auto"/>
                <w:sz w:val="24"/>
              </w:rPr>
            </w:pPr>
            <w:r>
              <w:rPr>
                <w:rFonts w:hint="eastAsia" w:ascii="仿宋_GB2312" w:hAnsi="仿宋_GB2312" w:eastAsia="仿宋_GB2312" w:cs="仿宋_GB2312"/>
                <w:color w:val="auto"/>
                <w:sz w:val="24"/>
              </w:rPr>
              <w:t>2、二级机构1</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618</w:t>
            </w:r>
          </w:p>
        </w:tc>
        <w:tc>
          <w:tcPr>
            <w:tcW w:w="2848"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618</w:t>
            </w:r>
          </w:p>
        </w:tc>
        <w:tc>
          <w:tcPr>
            <w:tcW w:w="3231" w:type="dxa"/>
            <w:gridSpan w:val="6"/>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color w:val="auto"/>
                <w:sz w:val="24"/>
              </w:rPr>
            </w:pPr>
            <w:r>
              <w:rPr>
                <w:rFonts w:hint="eastAsia" w:ascii="仿宋_GB2312" w:hAnsi="仿宋_GB2312" w:eastAsia="仿宋_GB2312" w:cs="仿宋_GB2312"/>
                <w:color w:val="auto"/>
                <w:sz w:val="24"/>
              </w:rPr>
              <w:t>3、二级机构2</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2848"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3231" w:type="dxa"/>
            <w:gridSpan w:val="6"/>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6"/>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黑体" w:hAnsi="黑体" w:eastAsia="黑体" w:cs="黑体"/>
                <w:color w:val="auto"/>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整体支出绩效定性目标及实施计划完成情况</w:t>
            </w:r>
          </w:p>
        </w:tc>
        <w:tc>
          <w:tcPr>
            <w:tcW w:w="4187" w:type="dxa"/>
            <w:gridSpan w:val="7"/>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预期目标</w:t>
            </w:r>
          </w:p>
        </w:tc>
        <w:tc>
          <w:tcPr>
            <w:tcW w:w="4172" w:type="dxa"/>
            <w:gridSpan w:val="8"/>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vAlign w:val="center"/>
          </w:tcPr>
          <w:p>
            <w:pPr>
              <w:spacing w:line="320" w:lineRule="exact"/>
              <w:rPr>
                <w:rFonts w:ascii="仿宋_GB2312" w:hAnsi="仿宋_GB2312" w:eastAsia="仿宋_GB2312" w:cs="仿宋_GB2312"/>
                <w:color w:val="auto"/>
                <w:sz w:val="24"/>
              </w:rPr>
            </w:pPr>
          </w:p>
        </w:tc>
        <w:tc>
          <w:tcPr>
            <w:tcW w:w="4187" w:type="dxa"/>
            <w:gridSpan w:val="7"/>
            <w:vAlign w:val="center"/>
          </w:tcPr>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1：负责组织、指导、监督、协调</w:t>
            </w:r>
            <w:r>
              <w:rPr>
                <w:rFonts w:hint="eastAsia" w:ascii="仿宋_GB2312" w:hAnsi="仿宋_GB2312" w:eastAsia="仿宋_GB2312" w:cs="仿宋_GB2312"/>
                <w:color w:val="auto"/>
                <w:sz w:val="24"/>
                <w:lang w:val="en-US" w:eastAsia="zh-CN"/>
              </w:rPr>
              <w:t>入</w:t>
            </w:r>
            <w:r>
              <w:rPr>
                <w:rFonts w:hint="eastAsia" w:ascii="仿宋_GB2312" w:hAnsi="仿宋_GB2312" w:eastAsia="仿宋_GB2312" w:cs="仿宋_GB2312"/>
                <w:color w:val="auto"/>
                <w:sz w:val="24"/>
              </w:rPr>
              <w:t>驻</w:t>
            </w:r>
            <w:r>
              <w:rPr>
                <w:rFonts w:hint="eastAsia" w:ascii="仿宋_GB2312" w:hAnsi="仿宋_GB2312" w:eastAsia="仿宋_GB2312" w:cs="仿宋_GB2312"/>
                <w:color w:val="auto"/>
                <w:sz w:val="24"/>
                <w:lang w:val="en-US" w:eastAsia="zh-CN"/>
              </w:rPr>
              <w:t>单位业务开展</w:t>
            </w:r>
            <w:r>
              <w:rPr>
                <w:rFonts w:hint="eastAsia" w:ascii="仿宋_GB2312" w:hAnsi="仿宋_GB2312" w:eastAsia="仿宋_GB2312" w:cs="仿宋_GB2312"/>
                <w:color w:val="auto"/>
                <w:sz w:val="24"/>
              </w:rPr>
              <w:t>并提供相应的后勤服务;</w:t>
            </w:r>
          </w:p>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2：建</w:t>
            </w:r>
            <w:r>
              <w:rPr>
                <w:rFonts w:hint="eastAsia" w:ascii="仿宋_GB2312" w:hAnsi="仿宋_GB2312" w:eastAsia="仿宋_GB2312" w:cs="仿宋_GB2312"/>
                <w:color w:val="auto"/>
                <w:sz w:val="24"/>
                <w:lang w:val="en-US" w:eastAsia="zh-CN"/>
              </w:rPr>
              <w:t>好</w:t>
            </w:r>
            <w:r>
              <w:rPr>
                <w:rFonts w:hint="eastAsia" w:ascii="仿宋_GB2312" w:hAnsi="仿宋_GB2312" w:eastAsia="仿宋_GB2312" w:cs="仿宋_GB2312"/>
                <w:color w:val="auto"/>
                <w:sz w:val="24"/>
              </w:rPr>
              <w:t>“一扇门”，推进服务高效集成。</w:t>
            </w:r>
          </w:p>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3：办好“一件事”，推进服务提质增效。</w:t>
            </w:r>
          </w:p>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4：用好“一张网”，推进服务“上云”。</w:t>
            </w:r>
          </w:p>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5：保证大厅管理和正常运行。</w:t>
            </w:r>
          </w:p>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6：推进全县基层公共服务（一门式）全覆盖工作。</w:t>
            </w:r>
          </w:p>
          <w:p>
            <w:pPr>
              <w:autoSpaceDN w:val="0"/>
              <w:spacing w:line="320" w:lineRule="exact"/>
              <w:jc w:val="left"/>
              <w:textAlignment w:val="center"/>
              <w:rPr>
                <w:rFonts w:hint="eastAsia"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rPr>
              <w:t>7</w:t>
            </w:r>
            <w:r>
              <w:rPr>
                <w:rFonts w:hint="eastAsia" w:ascii="仿宋_GB2312" w:hAnsi="仿宋_GB2312" w:eastAsia="仿宋_GB2312" w:cs="仿宋_GB2312"/>
                <w:color w:val="auto"/>
                <w:sz w:val="24"/>
                <w:lang w:val="en-US" w:eastAsia="zh-CN"/>
              </w:rPr>
              <w:t>：对全县各类政务服务大厅及各便民服务中心工作进行业务指导，组织协调及工作考核。</w:t>
            </w:r>
          </w:p>
          <w:p>
            <w:pPr>
              <w:autoSpaceDN w:val="0"/>
              <w:spacing w:line="320" w:lineRule="exact"/>
              <w:jc w:val="left"/>
              <w:textAlignment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以上工作目标正在持续推进并完善。</w:t>
            </w:r>
          </w:p>
        </w:tc>
        <w:tc>
          <w:tcPr>
            <w:tcW w:w="4172" w:type="dxa"/>
            <w:gridSpan w:val="8"/>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整体支出</w:t>
            </w:r>
          </w:p>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绩效定量目标及实施计划完成情况</w:t>
            </w:r>
          </w:p>
        </w:tc>
        <w:tc>
          <w:tcPr>
            <w:tcW w:w="2966" w:type="dxa"/>
            <w:gridSpan w:val="6"/>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评价内容</w:t>
            </w:r>
          </w:p>
        </w:tc>
        <w:tc>
          <w:tcPr>
            <w:tcW w:w="3606" w:type="dxa"/>
            <w:gridSpan w:val="4"/>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绩效目标</w:t>
            </w:r>
          </w:p>
        </w:tc>
        <w:tc>
          <w:tcPr>
            <w:tcW w:w="1787" w:type="dxa"/>
            <w:gridSpan w:val="5"/>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42" w:hRule="atLeast"/>
          <w:jc w:val="center"/>
        </w:trPr>
        <w:tc>
          <w:tcPr>
            <w:tcW w:w="1441" w:type="dxa"/>
            <w:vMerge w:val="continue"/>
            <w:vAlign w:val="center"/>
          </w:tcPr>
          <w:p>
            <w:pPr>
              <w:spacing w:line="320" w:lineRule="exact"/>
              <w:rPr>
                <w:rFonts w:ascii="仿宋_GB2312" w:hAnsi="仿宋_GB2312" w:eastAsia="仿宋_GB2312" w:cs="仿宋_GB2312"/>
                <w:color w:val="auto"/>
                <w:sz w:val="24"/>
              </w:rPr>
            </w:pPr>
          </w:p>
        </w:tc>
        <w:tc>
          <w:tcPr>
            <w:tcW w:w="1549" w:type="dxa"/>
            <w:gridSpan w:val="4"/>
            <w:vMerge w:val="restart"/>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产出目标</w:t>
            </w:r>
          </w:p>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（部门工作实绩，包含上级部门和县委县政府布置的重点工作、实事任务等，根据部门实际进行调整细化）</w:t>
            </w: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质量指标</w:t>
            </w:r>
          </w:p>
        </w:tc>
        <w:tc>
          <w:tcPr>
            <w:tcW w:w="3606" w:type="dxa"/>
            <w:gridSpan w:val="4"/>
            <w:vAlign w:val="center"/>
          </w:tcPr>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指标1：提高窗口队伍素质；</w:t>
            </w:r>
          </w:p>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指标2：行政审批事项当天办结率。</w:t>
            </w:r>
          </w:p>
        </w:tc>
        <w:tc>
          <w:tcPr>
            <w:tcW w:w="1787" w:type="dxa"/>
            <w:gridSpan w:val="5"/>
            <w:vAlign w:val="center"/>
          </w:tcPr>
          <w:p>
            <w:pPr>
              <w:autoSpaceDN w:val="0"/>
              <w:spacing w:line="320" w:lineRule="exact"/>
              <w:jc w:val="center"/>
              <w:textAlignment w:val="center"/>
              <w:rPr>
                <w:rFonts w:ascii="仿宋_GB2312" w:hAnsi="仿宋_GB2312" w:eastAsia="仿宋_GB2312" w:cs="仿宋_GB2312"/>
                <w:b/>
                <w:color w:val="auto"/>
                <w:sz w:val="24"/>
              </w:rPr>
            </w:pPr>
            <w:r>
              <w:rPr>
                <w:rFonts w:hint="eastAsia" w:ascii="仿宋_GB2312" w:hAnsi="仿宋_GB2312" w:eastAsia="仿宋_GB2312" w:cs="仿宋_GB2312"/>
                <w:color w:val="auto"/>
                <w:sz w:val="24"/>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5" w:hRule="atLeast"/>
          <w:jc w:val="center"/>
        </w:trPr>
        <w:tc>
          <w:tcPr>
            <w:tcW w:w="1441" w:type="dxa"/>
            <w:vMerge w:val="continue"/>
            <w:vAlign w:val="center"/>
          </w:tcPr>
          <w:p>
            <w:pPr>
              <w:spacing w:line="320" w:lineRule="exact"/>
              <w:rPr>
                <w:rFonts w:ascii="仿宋_GB2312" w:hAnsi="仿宋_GB2312" w:eastAsia="仿宋_GB2312" w:cs="仿宋_GB2312"/>
                <w:color w:val="auto"/>
                <w:sz w:val="24"/>
              </w:rPr>
            </w:pPr>
          </w:p>
        </w:tc>
        <w:tc>
          <w:tcPr>
            <w:tcW w:w="1549" w:type="dxa"/>
            <w:gridSpan w:val="4"/>
            <w:vMerge w:val="continue"/>
            <w:vAlign w:val="center"/>
          </w:tcPr>
          <w:p>
            <w:pPr>
              <w:autoSpaceDN w:val="0"/>
              <w:spacing w:line="320" w:lineRule="exact"/>
              <w:rPr>
                <w:rFonts w:ascii="仿宋_GB2312" w:hAnsi="仿宋_GB2312" w:eastAsia="仿宋_GB2312" w:cs="仿宋_GB2312"/>
                <w:color w:val="auto"/>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数量指标</w:t>
            </w:r>
          </w:p>
        </w:tc>
        <w:tc>
          <w:tcPr>
            <w:tcW w:w="3606" w:type="dxa"/>
            <w:gridSpan w:val="4"/>
            <w:vAlign w:val="center"/>
          </w:tcPr>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指标1：行政审批事项办结总量；</w:t>
            </w:r>
          </w:p>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指标2：行政审批收件数量。</w:t>
            </w:r>
          </w:p>
        </w:tc>
        <w:tc>
          <w:tcPr>
            <w:tcW w:w="1787" w:type="dxa"/>
            <w:gridSpan w:val="5"/>
            <w:vAlign w:val="center"/>
          </w:tcPr>
          <w:p>
            <w:pPr>
              <w:autoSpaceDN w:val="0"/>
              <w:spacing w:line="320" w:lineRule="exact"/>
              <w:jc w:val="center"/>
              <w:textAlignment w:val="center"/>
              <w:rPr>
                <w:rFonts w:ascii="仿宋_GB2312" w:hAnsi="仿宋_GB2312" w:eastAsia="仿宋_GB2312" w:cs="仿宋_GB2312"/>
                <w:b/>
                <w:color w:val="auto"/>
                <w:sz w:val="24"/>
              </w:rPr>
            </w:pPr>
            <w:r>
              <w:rPr>
                <w:rFonts w:hint="eastAsia" w:ascii="仿宋_GB2312" w:hAnsi="仿宋_GB2312" w:eastAsia="仿宋_GB2312" w:cs="仿宋_GB2312"/>
                <w:color w:val="auto"/>
                <w:sz w:val="24"/>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2" w:hRule="atLeast"/>
          <w:jc w:val="center"/>
        </w:trPr>
        <w:tc>
          <w:tcPr>
            <w:tcW w:w="1441" w:type="dxa"/>
            <w:vMerge w:val="continue"/>
            <w:vAlign w:val="center"/>
          </w:tcPr>
          <w:p>
            <w:pPr>
              <w:spacing w:line="320" w:lineRule="exact"/>
              <w:rPr>
                <w:rFonts w:ascii="仿宋_GB2312" w:hAnsi="仿宋_GB2312" w:eastAsia="仿宋_GB2312" w:cs="仿宋_GB2312"/>
                <w:color w:val="auto"/>
                <w:sz w:val="24"/>
              </w:rPr>
            </w:pPr>
          </w:p>
        </w:tc>
        <w:tc>
          <w:tcPr>
            <w:tcW w:w="1549" w:type="dxa"/>
            <w:gridSpan w:val="4"/>
            <w:vMerge w:val="continue"/>
            <w:vAlign w:val="center"/>
          </w:tcPr>
          <w:p>
            <w:pPr>
              <w:autoSpaceDN w:val="0"/>
              <w:spacing w:line="320" w:lineRule="exact"/>
              <w:rPr>
                <w:rFonts w:ascii="仿宋_GB2312" w:hAnsi="仿宋_GB2312" w:eastAsia="仿宋_GB2312" w:cs="仿宋_GB2312"/>
                <w:color w:val="auto"/>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时效指标</w:t>
            </w:r>
          </w:p>
        </w:tc>
        <w:tc>
          <w:tcPr>
            <w:tcW w:w="3606" w:type="dxa"/>
            <w:gridSpan w:val="4"/>
            <w:vAlign w:val="center"/>
          </w:tcPr>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指标1：年度内完成目标。</w:t>
            </w:r>
          </w:p>
        </w:tc>
        <w:tc>
          <w:tcPr>
            <w:tcW w:w="1787" w:type="dxa"/>
            <w:gridSpan w:val="5"/>
            <w:vAlign w:val="center"/>
          </w:tcPr>
          <w:p>
            <w:pPr>
              <w:autoSpaceDN w:val="0"/>
              <w:spacing w:line="320" w:lineRule="exact"/>
              <w:jc w:val="center"/>
              <w:textAlignment w:val="center"/>
              <w:rPr>
                <w:rFonts w:ascii="仿宋_GB2312" w:hAnsi="仿宋_GB2312" w:eastAsia="仿宋_GB2312" w:cs="仿宋_GB2312"/>
                <w:b/>
                <w:color w:val="auto"/>
                <w:sz w:val="24"/>
              </w:rPr>
            </w:pPr>
            <w:r>
              <w:rPr>
                <w:rFonts w:hint="eastAsia" w:ascii="仿宋_GB2312" w:hAnsi="仿宋_GB2312" w:eastAsia="仿宋_GB2312" w:cs="仿宋_GB2312"/>
                <w:color w:val="auto"/>
                <w:sz w:val="24"/>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6" w:hRule="atLeast"/>
          <w:jc w:val="center"/>
        </w:trPr>
        <w:tc>
          <w:tcPr>
            <w:tcW w:w="1441" w:type="dxa"/>
            <w:vMerge w:val="continue"/>
            <w:vAlign w:val="center"/>
          </w:tcPr>
          <w:p>
            <w:pPr>
              <w:spacing w:line="320" w:lineRule="exact"/>
              <w:rPr>
                <w:rFonts w:ascii="仿宋_GB2312" w:hAnsi="仿宋_GB2312" w:eastAsia="仿宋_GB2312" w:cs="仿宋_GB2312"/>
                <w:color w:val="auto"/>
                <w:sz w:val="24"/>
              </w:rPr>
            </w:pPr>
          </w:p>
        </w:tc>
        <w:tc>
          <w:tcPr>
            <w:tcW w:w="1549" w:type="dxa"/>
            <w:gridSpan w:val="4"/>
            <w:vMerge w:val="continue"/>
            <w:vAlign w:val="center"/>
          </w:tcPr>
          <w:p>
            <w:pPr>
              <w:autoSpaceDN w:val="0"/>
              <w:spacing w:line="320" w:lineRule="exact"/>
              <w:rPr>
                <w:rFonts w:ascii="仿宋_GB2312" w:hAnsi="仿宋_GB2312" w:eastAsia="仿宋_GB2312" w:cs="仿宋_GB2312"/>
                <w:color w:val="auto"/>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成本指标</w:t>
            </w:r>
          </w:p>
        </w:tc>
        <w:tc>
          <w:tcPr>
            <w:tcW w:w="3606" w:type="dxa"/>
            <w:gridSpan w:val="4"/>
            <w:vAlign w:val="center"/>
          </w:tcPr>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指标1：预算内控制成本。</w:t>
            </w:r>
          </w:p>
        </w:tc>
        <w:tc>
          <w:tcPr>
            <w:tcW w:w="1787" w:type="dxa"/>
            <w:gridSpan w:val="5"/>
            <w:vAlign w:val="center"/>
          </w:tcPr>
          <w:p>
            <w:pPr>
              <w:autoSpaceDN w:val="0"/>
              <w:spacing w:line="320" w:lineRule="exact"/>
              <w:jc w:val="center"/>
              <w:textAlignment w:val="center"/>
              <w:rPr>
                <w:rFonts w:ascii="仿宋_GB2312" w:hAnsi="仿宋_GB2312" w:eastAsia="仿宋_GB2312" w:cs="仿宋_GB2312"/>
                <w:b/>
                <w:color w:val="auto"/>
                <w:sz w:val="24"/>
              </w:rPr>
            </w:pPr>
            <w:r>
              <w:rPr>
                <w:rFonts w:hint="eastAsia" w:ascii="仿宋_GB2312" w:hAnsi="仿宋_GB2312" w:eastAsia="仿宋_GB2312" w:cs="仿宋_GB2312"/>
                <w:color w:val="auto"/>
                <w:sz w:val="24"/>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color w:val="auto"/>
                <w:sz w:val="24"/>
              </w:rPr>
            </w:pPr>
          </w:p>
        </w:tc>
        <w:tc>
          <w:tcPr>
            <w:tcW w:w="1549" w:type="dxa"/>
            <w:gridSpan w:val="4"/>
            <w:vMerge w:val="restart"/>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效益目标</w:t>
            </w:r>
          </w:p>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（预期实现的效益）</w:t>
            </w: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社会效益</w:t>
            </w:r>
          </w:p>
        </w:tc>
        <w:tc>
          <w:tcPr>
            <w:tcW w:w="3606" w:type="dxa"/>
            <w:gridSpan w:val="4"/>
            <w:vAlign w:val="center"/>
          </w:tcPr>
          <w:p>
            <w:pPr>
              <w:autoSpaceDN w:val="0"/>
              <w:spacing w:line="320" w:lineRule="exact"/>
              <w:jc w:val="left"/>
              <w:textAlignment w:val="center"/>
              <w:rPr>
                <w:rFonts w:hint="eastAsia" w:ascii="仿宋_GB2312" w:hAnsi="仿宋_GB2312" w:eastAsia="仿宋_GB2312" w:cs="仿宋_GB2312"/>
                <w:color w:val="auto"/>
                <w:sz w:val="24"/>
                <w:lang w:eastAsia="zh-CN"/>
              </w:rPr>
            </w:pPr>
            <w:r>
              <w:rPr>
                <w:rFonts w:hint="eastAsia" w:ascii="仿宋_GB2312" w:hAnsi="仿宋_GB2312" w:eastAsia="仿宋_GB2312" w:cs="仿宋_GB2312"/>
                <w:color w:val="auto"/>
                <w:sz w:val="24"/>
              </w:rPr>
              <w:t>指标1：</w:t>
            </w:r>
            <w:r>
              <w:rPr>
                <w:rFonts w:hint="eastAsia" w:ascii="仿宋_GB2312" w:hAnsi="仿宋_GB2312" w:eastAsia="仿宋_GB2312" w:cs="仿宋_GB2312"/>
                <w:color w:val="auto"/>
                <w:sz w:val="24"/>
                <w:lang w:val="en-US" w:eastAsia="zh-CN"/>
              </w:rPr>
              <w:t>通过</w:t>
            </w:r>
            <w:r>
              <w:rPr>
                <w:rFonts w:hint="eastAsia" w:ascii="仿宋_GB2312" w:hAnsi="仿宋_GB2312" w:eastAsia="仿宋_GB2312" w:cs="仿宋_GB2312"/>
                <w:color w:val="auto"/>
                <w:sz w:val="24"/>
              </w:rPr>
              <w:t>指导各</w:t>
            </w:r>
            <w:r>
              <w:rPr>
                <w:rFonts w:hint="eastAsia" w:ascii="仿宋_GB2312" w:hAnsi="仿宋_GB2312" w:eastAsia="仿宋_GB2312" w:cs="仿宋_GB2312"/>
                <w:color w:val="auto"/>
                <w:sz w:val="24"/>
                <w:lang w:val="en-US" w:eastAsia="zh-CN"/>
              </w:rPr>
              <w:t>进驻单位、各</w:t>
            </w:r>
            <w:r>
              <w:rPr>
                <w:rFonts w:hint="eastAsia" w:ascii="仿宋_GB2312" w:hAnsi="仿宋_GB2312" w:eastAsia="仿宋_GB2312" w:cs="仿宋_GB2312"/>
                <w:color w:val="auto"/>
                <w:sz w:val="24"/>
              </w:rPr>
              <w:t>乡镇便民服务中心</w:t>
            </w:r>
            <w:r>
              <w:rPr>
                <w:rFonts w:hint="eastAsia" w:ascii="仿宋_GB2312" w:hAnsi="仿宋_GB2312" w:eastAsia="仿宋_GB2312" w:cs="仿宋_GB2312"/>
                <w:color w:val="auto"/>
                <w:sz w:val="24"/>
                <w:lang w:val="en-US" w:eastAsia="zh-CN"/>
              </w:rPr>
              <w:t>开展业务，提高了办事覆盖率、效率、质量</w:t>
            </w:r>
            <w:r>
              <w:rPr>
                <w:rFonts w:hint="eastAsia" w:ascii="仿宋_GB2312" w:hAnsi="仿宋_GB2312" w:eastAsia="仿宋_GB2312" w:cs="仿宋_GB2312"/>
                <w:color w:val="auto"/>
                <w:sz w:val="24"/>
                <w:lang w:eastAsia="zh-CN"/>
              </w:rPr>
              <w:t>。</w:t>
            </w:r>
          </w:p>
        </w:tc>
        <w:tc>
          <w:tcPr>
            <w:tcW w:w="1787" w:type="dxa"/>
            <w:gridSpan w:val="5"/>
            <w:vAlign w:val="center"/>
          </w:tcPr>
          <w:p>
            <w:pPr>
              <w:autoSpaceDN w:val="0"/>
              <w:spacing w:line="320" w:lineRule="exact"/>
              <w:jc w:val="center"/>
              <w:textAlignment w:val="center"/>
              <w:rPr>
                <w:rFonts w:ascii="仿宋_GB2312" w:hAnsi="仿宋_GB2312" w:eastAsia="仿宋_GB2312" w:cs="仿宋_GB2312"/>
                <w:b/>
                <w:color w:val="auto"/>
                <w:sz w:val="24"/>
              </w:rPr>
            </w:pPr>
            <w:r>
              <w:rPr>
                <w:rFonts w:hint="eastAsia" w:ascii="仿宋_GB2312" w:hAnsi="仿宋_GB2312" w:eastAsia="仿宋_GB2312" w:cs="仿宋_GB2312"/>
                <w:color w:val="auto"/>
                <w:sz w:val="24"/>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color w:val="auto"/>
                <w:sz w:val="24"/>
              </w:rPr>
            </w:pPr>
          </w:p>
        </w:tc>
        <w:tc>
          <w:tcPr>
            <w:tcW w:w="1549" w:type="dxa"/>
            <w:gridSpan w:val="4"/>
            <w:vMerge w:val="continue"/>
            <w:vAlign w:val="center"/>
          </w:tcPr>
          <w:p>
            <w:pPr>
              <w:autoSpaceDN w:val="0"/>
              <w:spacing w:line="320" w:lineRule="exact"/>
              <w:rPr>
                <w:rFonts w:ascii="仿宋_GB2312" w:hAnsi="仿宋_GB2312" w:eastAsia="仿宋_GB2312" w:cs="仿宋_GB2312"/>
                <w:color w:val="auto"/>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经济效益</w:t>
            </w:r>
          </w:p>
        </w:tc>
        <w:tc>
          <w:tcPr>
            <w:tcW w:w="3606" w:type="dxa"/>
            <w:gridSpan w:val="4"/>
            <w:vAlign w:val="center"/>
          </w:tcPr>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指标1：提高行政职能运行率。</w:t>
            </w:r>
          </w:p>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指标2：协助征收建安税。</w:t>
            </w:r>
          </w:p>
        </w:tc>
        <w:tc>
          <w:tcPr>
            <w:tcW w:w="1787" w:type="dxa"/>
            <w:gridSpan w:val="5"/>
            <w:vAlign w:val="center"/>
          </w:tcPr>
          <w:p>
            <w:pPr>
              <w:autoSpaceDN w:val="0"/>
              <w:spacing w:line="320" w:lineRule="exact"/>
              <w:jc w:val="center"/>
              <w:textAlignment w:val="center"/>
              <w:rPr>
                <w:rFonts w:ascii="仿宋_GB2312" w:hAnsi="仿宋_GB2312" w:eastAsia="仿宋_GB2312" w:cs="仿宋_GB2312"/>
                <w:b/>
                <w:color w:val="auto"/>
                <w:sz w:val="24"/>
              </w:rPr>
            </w:pPr>
            <w:r>
              <w:rPr>
                <w:rFonts w:hint="eastAsia" w:ascii="仿宋_GB2312" w:hAnsi="仿宋_GB2312" w:eastAsia="仿宋_GB2312" w:cs="仿宋_GB2312"/>
                <w:color w:val="auto"/>
                <w:sz w:val="24"/>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color w:val="auto"/>
                <w:sz w:val="24"/>
              </w:rPr>
            </w:pPr>
          </w:p>
        </w:tc>
        <w:tc>
          <w:tcPr>
            <w:tcW w:w="1549" w:type="dxa"/>
            <w:gridSpan w:val="4"/>
            <w:vMerge w:val="continue"/>
            <w:vAlign w:val="center"/>
          </w:tcPr>
          <w:p>
            <w:pPr>
              <w:autoSpaceDN w:val="0"/>
              <w:spacing w:line="320" w:lineRule="exact"/>
              <w:rPr>
                <w:rFonts w:ascii="仿宋_GB2312" w:hAnsi="仿宋_GB2312" w:eastAsia="仿宋_GB2312" w:cs="仿宋_GB2312"/>
                <w:color w:val="auto"/>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生态效益</w:t>
            </w:r>
          </w:p>
        </w:tc>
        <w:tc>
          <w:tcPr>
            <w:tcW w:w="3606" w:type="dxa"/>
            <w:gridSpan w:val="4"/>
            <w:vAlign w:val="center"/>
          </w:tcPr>
          <w:p>
            <w:pPr>
              <w:autoSpaceDN w:val="0"/>
              <w:spacing w:line="320" w:lineRule="exact"/>
              <w:jc w:val="left"/>
              <w:textAlignment w:val="center"/>
              <w:rPr>
                <w:rFonts w:hint="default" w:ascii="仿宋_GB2312" w:hAnsi="仿宋_GB2312" w:eastAsia="仿宋_GB2312" w:cs="仿宋_GB2312"/>
                <w:color w:val="auto"/>
                <w:sz w:val="24"/>
                <w:lang w:val="en-US"/>
              </w:rPr>
            </w:pPr>
            <w:r>
              <w:rPr>
                <w:rFonts w:hint="eastAsia" w:ascii="仿宋_GB2312" w:hAnsi="仿宋_GB2312" w:eastAsia="仿宋_GB2312" w:cs="仿宋_GB2312"/>
                <w:color w:val="auto"/>
                <w:sz w:val="24"/>
              </w:rPr>
              <w:t>指标1：</w:t>
            </w:r>
            <w:r>
              <w:rPr>
                <w:rFonts w:hint="eastAsia" w:ascii="仿宋_GB2312" w:hAnsi="仿宋_GB2312" w:eastAsia="仿宋_GB2312" w:cs="仿宋_GB2312"/>
                <w:color w:val="auto"/>
                <w:sz w:val="24"/>
                <w:lang w:val="en-US" w:eastAsia="zh-CN"/>
              </w:rPr>
              <w:t>协助服务型政府建设，</w:t>
            </w:r>
            <w:r>
              <w:rPr>
                <w:rFonts w:hint="eastAsia" w:ascii="仿宋_GB2312" w:hAnsi="仿宋_GB2312" w:eastAsia="仿宋_GB2312" w:cs="仿宋_GB2312"/>
                <w:color w:val="auto"/>
                <w:sz w:val="24"/>
              </w:rPr>
              <w:t>提高行政工作效率</w:t>
            </w:r>
            <w:r>
              <w:rPr>
                <w:rFonts w:hint="eastAsia" w:ascii="仿宋_GB2312" w:hAnsi="仿宋_GB2312" w:eastAsia="仿宋_GB2312" w:cs="仿宋_GB2312"/>
                <w:color w:val="auto"/>
                <w:sz w:val="24"/>
                <w:lang w:eastAsia="zh-CN"/>
              </w:rPr>
              <w:t>；</w:t>
            </w:r>
            <w:r>
              <w:rPr>
                <w:rFonts w:hint="eastAsia" w:ascii="仿宋_GB2312" w:hAnsi="仿宋_GB2312" w:eastAsia="仿宋_GB2312" w:cs="仿宋_GB2312"/>
                <w:color w:val="auto"/>
                <w:sz w:val="24"/>
                <w:lang w:val="en-US" w:eastAsia="zh-CN"/>
              </w:rPr>
              <w:t>节俭办文办会，建设节约型大厅；提高助企办事效率，优化营商环境；加强政务服务事项全方位监管，建设廉政大厅。</w:t>
            </w:r>
          </w:p>
        </w:tc>
        <w:tc>
          <w:tcPr>
            <w:tcW w:w="1787" w:type="dxa"/>
            <w:gridSpan w:val="5"/>
            <w:vAlign w:val="center"/>
          </w:tcPr>
          <w:p>
            <w:pPr>
              <w:autoSpaceDN w:val="0"/>
              <w:spacing w:line="320" w:lineRule="exact"/>
              <w:jc w:val="center"/>
              <w:textAlignment w:val="center"/>
              <w:rPr>
                <w:rFonts w:ascii="仿宋_GB2312" w:hAnsi="仿宋_GB2312" w:eastAsia="仿宋_GB2312" w:cs="仿宋_GB2312"/>
                <w:b/>
                <w:color w:val="auto"/>
                <w:sz w:val="24"/>
              </w:rPr>
            </w:pPr>
            <w:r>
              <w:rPr>
                <w:rFonts w:hint="eastAsia" w:ascii="仿宋_GB2312" w:hAnsi="仿宋_GB2312" w:eastAsia="仿宋_GB2312" w:cs="仿宋_GB2312"/>
                <w:color w:val="auto"/>
                <w:sz w:val="24"/>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color w:val="auto"/>
                <w:sz w:val="24"/>
              </w:rPr>
            </w:pPr>
          </w:p>
        </w:tc>
        <w:tc>
          <w:tcPr>
            <w:tcW w:w="1549" w:type="dxa"/>
            <w:gridSpan w:val="4"/>
            <w:vMerge w:val="continue"/>
            <w:vAlign w:val="center"/>
          </w:tcPr>
          <w:p>
            <w:pPr>
              <w:autoSpaceDN w:val="0"/>
              <w:spacing w:line="320" w:lineRule="exact"/>
              <w:rPr>
                <w:rFonts w:ascii="仿宋_GB2312" w:hAnsi="仿宋_GB2312" w:eastAsia="仿宋_GB2312" w:cs="仿宋_GB2312"/>
                <w:color w:val="auto"/>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社会公众或服务对象满意度</w:t>
            </w:r>
          </w:p>
        </w:tc>
        <w:tc>
          <w:tcPr>
            <w:tcW w:w="3606" w:type="dxa"/>
            <w:gridSpan w:val="4"/>
            <w:vAlign w:val="center"/>
          </w:tcPr>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指标1：社会公众或服务对象满意度大于95%。</w:t>
            </w:r>
          </w:p>
        </w:tc>
        <w:tc>
          <w:tcPr>
            <w:tcW w:w="1787" w:type="dxa"/>
            <w:gridSpan w:val="5"/>
            <w:vAlign w:val="center"/>
          </w:tcPr>
          <w:p>
            <w:pPr>
              <w:autoSpaceDN w:val="0"/>
              <w:spacing w:line="320" w:lineRule="exact"/>
              <w:jc w:val="center"/>
              <w:textAlignment w:val="center"/>
              <w:rPr>
                <w:rFonts w:ascii="仿宋_GB2312" w:hAnsi="仿宋_GB2312" w:eastAsia="仿宋_GB2312" w:cs="仿宋_GB2312"/>
                <w:b/>
                <w:color w:val="auto"/>
                <w:sz w:val="24"/>
              </w:rPr>
            </w:pPr>
            <w:r>
              <w:rPr>
                <w:rFonts w:hint="eastAsia" w:ascii="仿宋_GB2312" w:hAnsi="仿宋_GB2312" w:eastAsia="仿宋_GB2312" w:cs="仿宋_GB2312"/>
                <w:color w:val="auto"/>
                <w:sz w:val="24"/>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绩效自评综合得分</w:t>
            </w:r>
          </w:p>
        </w:tc>
        <w:tc>
          <w:tcPr>
            <w:tcW w:w="6810" w:type="dxa"/>
            <w:gridSpan w:val="11"/>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96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评价等次</w:t>
            </w:r>
          </w:p>
        </w:tc>
        <w:tc>
          <w:tcPr>
            <w:tcW w:w="6810" w:type="dxa"/>
            <w:gridSpan w:val="11"/>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6"/>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黑体" w:hAnsi="黑体" w:eastAsia="黑体" w:cs="黑体"/>
                <w:color w:val="auto"/>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姓  名</w:t>
            </w:r>
          </w:p>
        </w:tc>
        <w:tc>
          <w:tcPr>
            <w:tcW w:w="3974" w:type="dxa"/>
            <w:gridSpan w:val="6"/>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职务/职称</w:t>
            </w:r>
          </w:p>
        </w:tc>
        <w:tc>
          <w:tcPr>
            <w:tcW w:w="2385" w:type="dxa"/>
            <w:gridSpan w:val="3"/>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单  位</w:t>
            </w:r>
          </w:p>
        </w:tc>
        <w:tc>
          <w:tcPr>
            <w:tcW w:w="1787" w:type="dxa"/>
            <w:gridSpan w:val="5"/>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hint="eastAsia"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刘达真</w:t>
            </w:r>
          </w:p>
        </w:tc>
        <w:tc>
          <w:tcPr>
            <w:tcW w:w="3974" w:type="dxa"/>
            <w:gridSpan w:val="6"/>
            <w:vAlign w:val="center"/>
          </w:tcPr>
          <w:p>
            <w:pPr>
              <w:autoSpaceDN w:val="0"/>
              <w:spacing w:line="320" w:lineRule="exact"/>
              <w:jc w:val="center"/>
              <w:textAlignment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中心主任</w:t>
            </w:r>
          </w:p>
        </w:tc>
        <w:tc>
          <w:tcPr>
            <w:tcW w:w="2385" w:type="dxa"/>
            <w:gridSpan w:val="3"/>
            <w:vAlign w:val="center"/>
          </w:tcPr>
          <w:p>
            <w:pPr>
              <w:autoSpaceDN w:val="0"/>
              <w:spacing w:line="320" w:lineRule="exact"/>
              <w:jc w:val="center"/>
              <w:textAlignment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华容县政务服务中心</w:t>
            </w:r>
          </w:p>
        </w:tc>
        <w:tc>
          <w:tcPr>
            <w:tcW w:w="1787" w:type="dxa"/>
            <w:gridSpan w:val="5"/>
            <w:vAlign w:val="center"/>
          </w:tcPr>
          <w:p>
            <w:pPr>
              <w:autoSpaceDN w:val="0"/>
              <w:spacing w:line="320" w:lineRule="exact"/>
              <w:jc w:val="center"/>
              <w:textAlignment w:val="center"/>
              <w:rPr>
                <w:rFonts w:ascii="仿宋_GB2312" w:hAnsi="仿宋_GB2312" w:eastAsia="仿宋_GB2312" w:cs="仿宋_GB2312"/>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hint="eastAsia"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肖兵华</w:t>
            </w:r>
          </w:p>
        </w:tc>
        <w:tc>
          <w:tcPr>
            <w:tcW w:w="3974" w:type="dxa"/>
            <w:gridSpan w:val="6"/>
            <w:vAlign w:val="center"/>
          </w:tcPr>
          <w:p>
            <w:pPr>
              <w:tabs>
                <w:tab w:val="left" w:pos="1276"/>
              </w:tabs>
              <w:autoSpaceDN w:val="0"/>
              <w:spacing w:line="320" w:lineRule="exact"/>
              <w:jc w:val="center"/>
              <w:textAlignment w:val="center"/>
              <w:rPr>
                <w:rFonts w:hint="eastAsia" w:ascii="仿宋_GB2312" w:hAnsi="仿宋_GB2312" w:eastAsia="仿宋_GB2312" w:cs="仿宋_GB2312"/>
                <w:color w:val="auto"/>
                <w:sz w:val="24"/>
                <w:lang w:eastAsia="zh-CN"/>
              </w:rPr>
            </w:pPr>
            <w:r>
              <w:rPr>
                <w:rFonts w:hint="eastAsia" w:ascii="仿宋_GB2312" w:hAnsi="仿宋_GB2312" w:eastAsia="仿宋_GB2312" w:cs="仿宋_GB2312"/>
                <w:color w:val="auto"/>
                <w:sz w:val="24"/>
                <w:lang w:val="en-US" w:eastAsia="zh-CN"/>
              </w:rPr>
              <w:t>中心副主任</w:t>
            </w:r>
          </w:p>
        </w:tc>
        <w:tc>
          <w:tcPr>
            <w:tcW w:w="2385" w:type="dxa"/>
            <w:gridSpan w:val="3"/>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lang w:val="en-US" w:eastAsia="zh-CN"/>
              </w:rPr>
              <w:t>华容县政务服务中心</w:t>
            </w:r>
          </w:p>
        </w:tc>
        <w:tc>
          <w:tcPr>
            <w:tcW w:w="1787" w:type="dxa"/>
            <w:gridSpan w:val="5"/>
            <w:vAlign w:val="center"/>
          </w:tcPr>
          <w:p>
            <w:pPr>
              <w:autoSpaceDN w:val="0"/>
              <w:spacing w:line="320" w:lineRule="exact"/>
              <w:jc w:val="center"/>
              <w:textAlignment w:val="center"/>
              <w:rPr>
                <w:rFonts w:ascii="仿宋_GB2312" w:hAnsi="仿宋_GB2312" w:eastAsia="仿宋_GB2312" w:cs="仿宋_GB2312"/>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向世宏</w:t>
            </w:r>
          </w:p>
        </w:tc>
        <w:tc>
          <w:tcPr>
            <w:tcW w:w="3974" w:type="dxa"/>
            <w:gridSpan w:val="6"/>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lang w:val="en-US" w:eastAsia="zh-CN"/>
              </w:rPr>
              <w:t>中心副主任</w:t>
            </w:r>
          </w:p>
        </w:tc>
        <w:tc>
          <w:tcPr>
            <w:tcW w:w="2385" w:type="dxa"/>
            <w:gridSpan w:val="3"/>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lang w:val="en-US" w:eastAsia="zh-CN"/>
              </w:rPr>
              <w:t>华容县政务服务中心</w:t>
            </w:r>
          </w:p>
        </w:tc>
        <w:tc>
          <w:tcPr>
            <w:tcW w:w="1787" w:type="dxa"/>
            <w:gridSpan w:val="5"/>
            <w:vAlign w:val="center"/>
          </w:tcPr>
          <w:p>
            <w:pPr>
              <w:autoSpaceDN w:val="0"/>
              <w:spacing w:line="320" w:lineRule="exact"/>
              <w:jc w:val="center"/>
              <w:textAlignment w:val="center"/>
              <w:rPr>
                <w:rFonts w:ascii="仿宋_GB2312" w:hAnsi="仿宋_GB2312" w:eastAsia="仿宋_GB2312" w:cs="仿宋_GB2312"/>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1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3974" w:type="dxa"/>
            <w:gridSpan w:val="6"/>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2385" w:type="dxa"/>
            <w:gridSpan w:val="3"/>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1787" w:type="dxa"/>
            <w:gridSpan w:val="5"/>
            <w:vAlign w:val="center"/>
          </w:tcPr>
          <w:p>
            <w:pPr>
              <w:autoSpaceDN w:val="0"/>
              <w:spacing w:line="320" w:lineRule="exact"/>
              <w:jc w:val="center"/>
              <w:textAlignment w:val="center"/>
              <w:rPr>
                <w:rFonts w:ascii="仿宋_GB2312" w:hAnsi="仿宋_GB2312" w:eastAsia="仿宋_GB2312" w:cs="仿宋_GB2312"/>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92" w:hRule="atLeast"/>
          <w:jc w:val="center"/>
        </w:trPr>
        <w:tc>
          <w:tcPr>
            <w:tcW w:w="9800" w:type="dxa"/>
            <w:gridSpan w:val="16"/>
            <w:vAlign w:val="center"/>
          </w:tcPr>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评价组组长（签字）：</w:t>
            </w:r>
          </w:p>
          <w:p>
            <w:pPr>
              <w:autoSpaceDN w:val="0"/>
              <w:spacing w:line="320" w:lineRule="exact"/>
              <w:jc w:val="left"/>
              <w:textAlignment w:val="center"/>
              <w:rPr>
                <w:rFonts w:ascii="仿宋_GB2312" w:hAnsi="仿宋_GB2312" w:eastAsia="仿宋_GB2312" w:cs="仿宋_GB2312"/>
                <w:color w:val="auto"/>
                <w:sz w:val="24"/>
              </w:rPr>
            </w:pPr>
          </w:p>
          <w:p>
            <w:pPr>
              <w:autoSpaceDN w:val="0"/>
              <w:spacing w:line="320" w:lineRule="exact"/>
              <w:jc w:val="left"/>
              <w:textAlignment w:val="center"/>
              <w:rPr>
                <w:rFonts w:ascii="仿宋_GB2312" w:hAnsi="仿宋_GB2312" w:eastAsia="仿宋_GB2312" w:cs="仿宋_GB2312"/>
                <w:color w:val="auto"/>
                <w:sz w:val="24"/>
              </w:rPr>
            </w:pPr>
          </w:p>
          <w:p>
            <w:pPr>
              <w:autoSpaceDN w:val="0"/>
              <w:spacing w:line="320" w:lineRule="exact"/>
              <w:jc w:val="left"/>
              <w:textAlignment w:val="center"/>
              <w:rPr>
                <w:rFonts w:ascii="仿宋_GB2312" w:hAnsi="仿宋_GB2312" w:eastAsia="仿宋_GB2312" w:cs="仿宋_GB2312"/>
                <w:color w:val="auto"/>
                <w:sz w:val="24"/>
              </w:rPr>
            </w:pPr>
          </w:p>
          <w:p>
            <w:pPr>
              <w:autoSpaceDN w:val="0"/>
              <w:spacing w:line="320" w:lineRule="exact"/>
              <w:jc w:val="left"/>
              <w:textAlignment w:val="center"/>
              <w:rPr>
                <w:rFonts w:ascii="仿宋_GB2312" w:hAnsi="仿宋_GB2312" w:eastAsia="仿宋_GB2312" w:cs="仿宋_GB2312"/>
                <w:color w:val="auto"/>
                <w:sz w:val="24"/>
              </w:rPr>
            </w:pPr>
          </w:p>
          <w:p>
            <w:pPr>
              <w:autoSpaceDN w:val="0"/>
              <w:spacing w:line="320" w:lineRule="exact"/>
              <w:jc w:val="left"/>
              <w:textAlignment w:val="center"/>
              <w:rPr>
                <w:rFonts w:ascii="仿宋_GB2312" w:hAnsi="仿宋_GB2312" w:eastAsia="仿宋_GB2312" w:cs="仿宋_GB2312"/>
                <w:color w:val="auto"/>
                <w:sz w:val="24"/>
              </w:rPr>
            </w:pPr>
          </w:p>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562" w:hRule="atLeast"/>
          <w:jc w:val="center"/>
        </w:trPr>
        <w:tc>
          <w:tcPr>
            <w:tcW w:w="9800" w:type="dxa"/>
            <w:gridSpan w:val="16"/>
            <w:vAlign w:val="center"/>
          </w:tcPr>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部门（单位）意见：</w:t>
            </w:r>
          </w:p>
          <w:p>
            <w:pPr>
              <w:autoSpaceDN w:val="0"/>
              <w:spacing w:line="320" w:lineRule="exact"/>
              <w:jc w:val="left"/>
              <w:textAlignment w:val="center"/>
              <w:rPr>
                <w:rFonts w:ascii="仿宋_GB2312" w:hAnsi="仿宋_GB2312" w:eastAsia="仿宋_GB2312" w:cs="仿宋_GB2312"/>
                <w:color w:val="auto"/>
                <w:sz w:val="24"/>
              </w:rPr>
            </w:pPr>
          </w:p>
          <w:p>
            <w:pPr>
              <w:autoSpaceDN w:val="0"/>
              <w:spacing w:line="320" w:lineRule="exact"/>
              <w:jc w:val="left"/>
              <w:textAlignment w:val="center"/>
              <w:rPr>
                <w:rFonts w:ascii="仿宋_GB2312" w:hAnsi="仿宋_GB2312" w:eastAsia="仿宋_GB2312" w:cs="仿宋_GB2312"/>
                <w:color w:val="auto"/>
                <w:sz w:val="24"/>
              </w:rPr>
            </w:pPr>
          </w:p>
          <w:p>
            <w:pPr>
              <w:autoSpaceDN w:val="0"/>
              <w:spacing w:line="320" w:lineRule="exact"/>
              <w:jc w:val="left"/>
              <w:textAlignment w:val="center"/>
              <w:rPr>
                <w:rFonts w:ascii="仿宋_GB2312" w:hAnsi="仿宋_GB2312" w:eastAsia="仿宋_GB2312" w:cs="仿宋_GB2312"/>
                <w:color w:val="auto"/>
                <w:sz w:val="24"/>
              </w:rPr>
            </w:pPr>
          </w:p>
          <w:p>
            <w:pPr>
              <w:autoSpaceDN w:val="0"/>
              <w:spacing w:line="320" w:lineRule="exact"/>
              <w:jc w:val="left"/>
              <w:textAlignment w:val="center"/>
              <w:rPr>
                <w:rFonts w:ascii="仿宋_GB2312" w:hAnsi="仿宋_GB2312" w:eastAsia="仿宋_GB2312" w:cs="仿宋_GB2312"/>
                <w:color w:val="auto"/>
                <w:sz w:val="24"/>
              </w:rPr>
            </w:pPr>
          </w:p>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 xml:space="preserve">                                         部门（单位）负责人（签章）：</w:t>
            </w:r>
          </w:p>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6"/>
            <w:vAlign w:val="center"/>
          </w:tcPr>
          <w:p>
            <w:pPr>
              <w:spacing w:line="320" w:lineRule="exact"/>
              <w:rPr>
                <w:rFonts w:eastAsia="仿宋_GB2312"/>
                <w:color w:val="auto"/>
                <w:sz w:val="24"/>
              </w:rPr>
            </w:pPr>
            <w:r>
              <w:rPr>
                <w:rFonts w:hint="eastAsia" w:eastAsia="仿宋_GB2312"/>
                <w:color w:val="auto"/>
                <w:sz w:val="24"/>
              </w:rPr>
              <w:t>财政部门归口业务科室意见：</w:t>
            </w:r>
          </w:p>
          <w:p>
            <w:pPr>
              <w:spacing w:line="320" w:lineRule="exact"/>
              <w:rPr>
                <w:rFonts w:eastAsia="仿宋_GB2312"/>
                <w:color w:val="auto"/>
                <w:sz w:val="24"/>
              </w:rPr>
            </w:pPr>
          </w:p>
          <w:p>
            <w:pPr>
              <w:spacing w:line="320" w:lineRule="exact"/>
              <w:rPr>
                <w:rFonts w:eastAsia="仿宋_GB2312"/>
                <w:color w:val="auto"/>
                <w:sz w:val="24"/>
              </w:rPr>
            </w:pPr>
          </w:p>
          <w:p>
            <w:pPr>
              <w:spacing w:line="320" w:lineRule="exact"/>
              <w:rPr>
                <w:rFonts w:eastAsia="仿宋_GB2312"/>
                <w:color w:val="auto"/>
                <w:sz w:val="24"/>
              </w:rPr>
            </w:pPr>
          </w:p>
          <w:p>
            <w:pPr>
              <w:spacing w:line="320" w:lineRule="exact"/>
              <w:rPr>
                <w:rFonts w:eastAsia="仿宋_GB2312"/>
                <w:color w:val="auto"/>
                <w:sz w:val="24"/>
              </w:rPr>
            </w:pPr>
          </w:p>
          <w:p>
            <w:pPr>
              <w:spacing w:line="320" w:lineRule="exact"/>
              <w:rPr>
                <w:rFonts w:eastAsia="仿宋_GB2312"/>
                <w:color w:val="auto"/>
                <w:sz w:val="24"/>
              </w:rPr>
            </w:pPr>
            <w:r>
              <w:rPr>
                <w:rFonts w:hint="eastAsia" w:eastAsia="仿宋_GB2312"/>
                <w:color w:val="auto"/>
                <w:sz w:val="24"/>
              </w:rPr>
              <w:t xml:space="preserve">                                  财政部门归口业务科室负责人（签章）：</w:t>
            </w:r>
          </w:p>
          <w:p>
            <w:pPr>
              <w:autoSpaceDN w:val="0"/>
              <w:spacing w:line="320" w:lineRule="exact"/>
              <w:jc w:val="left"/>
              <w:textAlignment w:val="center"/>
              <w:rPr>
                <w:rFonts w:ascii="仿宋_GB2312" w:hAnsi="仿宋_GB2312" w:eastAsia="仿宋_GB2312" w:cs="仿宋_GB2312"/>
                <w:color w:val="auto"/>
                <w:sz w:val="24"/>
              </w:rPr>
            </w:pPr>
            <w:r>
              <w:rPr>
                <w:rFonts w:hint="eastAsia" w:eastAsia="仿宋_GB2312"/>
                <w:color w:val="auto"/>
                <w:sz w:val="24"/>
              </w:rPr>
              <w:t xml:space="preserve">                                                                 年    月   日</w:t>
            </w:r>
          </w:p>
        </w:tc>
      </w:tr>
    </w:tbl>
    <w:p>
      <w:pPr>
        <w:rPr>
          <w:rFonts w:eastAsia="仿宋_GB2312" w:cs="仿宋_GB2312"/>
          <w:bCs/>
          <w:color w:val="auto"/>
          <w:sz w:val="28"/>
          <w:szCs w:val="28"/>
        </w:rPr>
      </w:pPr>
      <w:r>
        <w:rPr>
          <w:rFonts w:hint="eastAsia" w:eastAsia="仿宋_GB2312" w:cs="仿宋_GB2312"/>
          <w:bCs/>
          <w:color w:val="auto"/>
          <w:sz w:val="28"/>
          <w:szCs w:val="28"/>
        </w:rPr>
        <w:t>填报人（签名）：</w:t>
      </w:r>
      <w:r>
        <w:rPr>
          <w:rFonts w:hint="eastAsia" w:eastAsia="仿宋_GB2312" w:cs="仿宋_GB2312"/>
          <w:bCs/>
          <w:color w:val="auto"/>
          <w:sz w:val="28"/>
          <w:szCs w:val="28"/>
          <w:lang w:val="en-US" w:eastAsia="zh-CN"/>
        </w:rPr>
        <w:t>王玉娟</w:t>
      </w:r>
      <w:r>
        <w:rPr>
          <w:rFonts w:hint="eastAsia" w:eastAsia="仿宋_GB2312" w:cs="仿宋_GB2312"/>
          <w:bCs/>
          <w:color w:val="auto"/>
          <w:sz w:val="28"/>
          <w:szCs w:val="28"/>
        </w:rPr>
        <w:t xml:space="preserve">            </w:t>
      </w:r>
      <w:bookmarkStart w:id="0" w:name="_GoBack"/>
      <w:bookmarkEnd w:id="0"/>
      <w:r>
        <w:rPr>
          <w:rFonts w:hint="eastAsia" w:eastAsia="仿宋_GB2312" w:cs="仿宋_GB2312"/>
          <w:bCs/>
          <w:color w:val="auto"/>
          <w:sz w:val="28"/>
          <w:szCs w:val="28"/>
        </w:rPr>
        <w:t xml:space="preserve">         联系电话：</w:t>
      </w:r>
      <w:r>
        <w:rPr>
          <w:rFonts w:ascii="仿宋_GB2312" w:hAnsi="仿宋_GB2312" w:eastAsia="仿宋_GB2312" w:cs="仿宋_GB2312"/>
          <w:color w:val="auto"/>
          <w:sz w:val="24"/>
        </w:rPr>
        <w:t>15</w:t>
      </w:r>
      <w:r>
        <w:rPr>
          <w:rFonts w:hint="eastAsia" w:ascii="仿宋_GB2312" w:hAnsi="仿宋_GB2312" w:eastAsia="仿宋_GB2312" w:cs="仿宋_GB2312"/>
          <w:color w:val="auto"/>
          <w:sz w:val="24"/>
          <w:lang w:val="en-US" w:eastAsia="zh-CN"/>
        </w:rPr>
        <w:t>673010088</w:t>
      </w:r>
    </w:p>
    <w:tbl>
      <w:tblPr>
        <w:tblStyle w:val="5"/>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tcPr>
          <w:p>
            <w:pPr>
              <w:jc w:val="center"/>
              <w:rPr>
                <w:rFonts w:ascii="黑体" w:hAnsi="黑体" w:eastAsia="黑体" w:cs="黑体"/>
                <w:bCs/>
                <w:color w:val="auto"/>
                <w:sz w:val="28"/>
                <w:szCs w:val="28"/>
              </w:rPr>
            </w:pPr>
            <w:r>
              <w:rPr>
                <w:rFonts w:hint="eastAsia" w:ascii="黑体" w:hAnsi="黑体" w:eastAsia="黑体" w:cs="黑体"/>
                <w:bCs/>
                <w:color w:val="auto"/>
                <w:sz w:val="28"/>
                <w:szCs w:val="28"/>
              </w:rPr>
              <w:t>五、评价报告综述（文字部分）</w:t>
            </w:r>
          </w:p>
          <w:p>
            <w:pPr>
              <w:spacing w:line="440" w:lineRule="exact"/>
              <w:ind w:firstLine="640" w:firstLineChars="200"/>
              <w:rPr>
                <w:rFonts w:eastAsia="仿宋_GB2312"/>
                <w:color w:val="auto"/>
                <w:sz w:val="32"/>
                <w:szCs w:val="32"/>
              </w:rPr>
            </w:pPr>
          </w:p>
          <w:p>
            <w:pPr>
              <w:spacing w:line="560" w:lineRule="exact"/>
              <w:ind w:firstLine="560" w:firstLineChars="200"/>
              <w:rPr>
                <w:rFonts w:ascii="仿宋_GB2312" w:hAnsi="宋体" w:eastAsia="仿宋_GB2312" w:cs="宋体"/>
                <w:color w:val="auto"/>
                <w:sz w:val="28"/>
                <w:szCs w:val="28"/>
                <w:shd w:val="clear" w:color="auto" w:fill="FFFFFF"/>
              </w:rPr>
            </w:pPr>
            <w:r>
              <w:rPr>
                <w:rFonts w:hint="eastAsia" w:ascii="仿宋_GB2312" w:hAnsi="宋体" w:eastAsia="仿宋_GB2312" w:cs="宋体"/>
                <w:color w:val="auto"/>
                <w:sz w:val="28"/>
                <w:szCs w:val="28"/>
                <w:shd w:val="clear" w:color="auto" w:fill="FFFFFF"/>
              </w:rPr>
              <w:t>一、部门（单位）概况</w:t>
            </w:r>
          </w:p>
          <w:p>
            <w:pPr>
              <w:spacing w:line="560" w:lineRule="exact"/>
              <w:ind w:firstLine="560" w:firstLineChars="200"/>
              <w:rPr>
                <w:rFonts w:ascii="仿宋_GB2312" w:hAnsi="宋体" w:eastAsia="仿宋_GB2312" w:cs="宋体"/>
                <w:color w:val="auto"/>
                <w:sz w:val="28"/>
                <w:szCs w:val="28"/>
                <w:shd w:val="clear" w:color="auto" w:fill="FFFFFF"/>
              </w:rPr>
            </w:pPr>
            <w:r>
              <w:rPr>
                <w:rFonts w:hint="eastAsia" w:ascii="仿宋_GB2312" w:hAnsi="宋体" w:eastAsia="仿宋_GB2312" w:cs="宋体"/>
                <w:color w:val="auto"/>
                <w:sz w:val="28"/>
                <w:szCs w:val="28"/>
                <w:shd w:val="clear" w:color="auto" w:fill="FFFFFF"/>
              </w:rPr>
              <w:t>（一）部门（单位）基本情况</w:t>
            </w:r>
          </w:p>
          <w:p>
            <w:pPr>
              <w:spacing w:line="560" w:lineRule="exact"/>
              <w:ind w:firstLine="560" w:firstLineChars="200"/>
              <w:rPr>
                <w:rFonts w:ascii="仿宋_GB2312" w:hAnsi="宋体" w:eastAsia="仿宋_GB2312" w:cs="宋体"/>
                <w:color w:val="auto"/>
                <w:sz w:val="28"/>
                <w:szCs w:val="28"/>
                <w:shd w:val="clear" w:color="auto" w:fill="FFFFFF"/>
              </w:rPr>
            </w:pPr>
            <w:r>
              <w:rPr>
                <w:rFonts w:hint="eastAsia" w:ascii="仿宋_GB2312" w:hAnsi="宋体" w:eastAsia="仿宋_GB2312" w:cs="宋体"/>
                <w:color w:val="auto"/>
                <w:sz w:val="28"/>
                <w:szCs w:val="28"/>
                <w:shd w:val="clear" w:color="auto" w:fill="FFFFFF"/>
              </w:rPr>
              <w:t>单位为财政全额预算拨款单位，核定人员编制13人，实有人数为13人。</w:t>
            </w:r>
          </w:p>
          <w:p>
            <w:pPr>
              <w:spacing w:line="560" w:lineRule="exact"/>
              <w:ind w:firstLine="560" w:firstLineChars="200"/>
              <w:rPr>
                <w:rFonts w:ascii="仿宋_GB2312" w:hAnsi="仿宋_GB2312" w:eastAsia="仿宋_GB2312" w:cs="仿宋_GB2312"/>
                <w:bCs/>
                <w:color w:val="auto"/>
                <w:sz w:val="28"/>
                <w:szCs w:val="28"/>
              </w:rPr>
            </w:pPr>
            <w:r>
              <w:rPr>
                <w:rFonts w:hint="eastAsia" w:ascii="仿宋_GB2312" w:hAnsi="仿宋_GB2312" w:eastAsia="仿宋_GB2312" w:cs="仿宋_GB2312"/>
                <w:bCs/>
                <w:color w:val="auto"/>
                <w:sz w:val="28"/>
                <w:szCs w:val="28"/>
              </w:rPr>
              <w:t>（一）部门（单位）基本情况</w:t>
            </w:r>
          </w:p>
          <w:p>
            <w:pPr>
              <w:keepNext/>
              <w:keepLines/>
              <w:shd w:val="clear" w:color="auto" w:fill="FFFFFF"/>
              <w:autoSpaceDE w:val="0"/>
              <w:autoSpaceDN w:val="0"/>
              <w:adjustRightInd w:val="0"/>
              <w:spacing w:line="560" w:lineRule="exact"/>
              <w:ind w:firstLine="560" w:firstLineChars="200"/>
              <w:rPr>
                <w:rFonts w:ascii="仿宋_GB2312" w:hAnsi="宋体" w:eastAsia="仿宋_GB2312" w:cs="宋体"/>
                <w:color w:val="auto"/>
                <w:sz w:val="28"/>
                <w:szCs w:val="28"/>
                <w:shd w:val="clear" w:color="auto" w:fill="FFFFFF"/>
              </w:rPr>
            </w:pPr>
            <w:r>
              <w:rPr>
                <w:rFonts w:hint="eastAsia" w:ascii="仿宋_GB2312" w:hAnsi="宋体" w:eastAsia="仿宋_GB2312" w:cs="宋体"/>
                <w:color w:val="auto"/>
                <w:sz w:val="28"/>
                <w:szCs w:val="28"/>
                <w:shd w:val="clear" w:color="auto" w:fill="FFFFFF"/>
              </w:rPr>
              <w:t>职责职能：对全县具有行政许可及行政审批职能的部门进行分类管理；主要负责对窗口办理的行政许可和行政审批事项全过程进行监督协调，并进行日常考勤考核管理；负责对乡镇和县直单位的政务公开和政务服务工作进行检查督促。</w:t>
            </w:r>
          </w:p>
          <w:p>
            <w:pPr>
              <w:spacing w:line="560" w:lineRule="exact"/>
              <w:ind w:firstLine="560" w:firstLineChars="200"/>
              <w:rPr>
                <w:rFonts w:ascii="仿宋_GB2312" w:hAnsi="仿宋_GB2312" w:eastAsia="仿宋_GB2312" w:cs="仿宋_GB2312"/>
                <w:bCs/>
                <w:color w:val="auto"/>
                <w:sz w:val="28"/>
                <w:szCs w:val="28"/>
              </w:rPr>
            </w:pPr>
            <w:r>
              <w:rPr>
                <w:rFonts w:hint="eastAsia" w:ascii="仿宋_GB2312" w:hAnsi="宋体" w:eastAsia="仿宋_GB2312" w:cs="宋体"/>
                <w:color w:val="auto"/>
                <w:sz w:val="28"/>
                <w:szCs w:val="28"/>
                <w:shd w:val="clear" w:color="auto" w:fill="FFFFFF"/>
              </w:rPr>
              <w:t>内设机构：综合办、政务公开股、行政审批制度改革股。</w:t>
            </w:r>
          </w:p>
          <w:p>
            <w:pPr>
              <w:spacing w:line="560" w:lineRule="exact"/>
              <w:ind w:firstLine="560" w:firstLineChars="200"/>
              <w:rPr>
                <w:rFonts w:ascii="仿宋_GB2312" w:hAnsi="宋体" w:eastAsia="仿宋_GB2312" w:cs="宋体"/>
                <w:color w:val="auto"/>
                <w:sz w:val="28"/>
                <w:szCs w:val="28"/>
                <w:shd w:val="clear" w:color="auto" w:fill="FFFFFF"/>
              </w:rPr>
            </w:pPr>
            <w:r>
              <w:rPr>
                <w:rFonts w:hint="eastAsia" w:ascii="仿宋_GB2312" w:hAnsi="宋体" w:eastAsia="仿宋_GB2312" w:cs="宋体"/>
                <w:color w:val="auto"/>
                <w:sz w:val="28"/>
                <w:szCs w:val="28"/>
                <w:shd w:val="clear" w:color="auto" w:fill="FFFFFF"/>
              </w:rPr>
              <w:t>（二）部门（单位）整体支出规模</w:t>
            </w:r>
          </w:p>
          <w:p>
            <w:pPr>
              <w:spacing w:line="560" w:lineRule="exact"/>
              <w:ind w:firstLine="560" w:firstLineChars="200"/>
              <w:rPr>
                <w:rFonts w:ascii="仿宋_GB2312" w:hAnsi="宋体" w:eastAsia="仿宋_GB2312" w:cs="宋体"/>
                <w:color w:val="auto"/>
                <w:sz w:val="28"/>
                <w:szCs w:val="28"/>
                <w:shd w:val="clear" w:color="auto" w:fill="FFFFFF"/>
              </w:rPr>
            </w:pPr>
            <w:r>
              <w:rPr>
                <w:rFonts w:ascii="仿宋_GB2312" w:hAnsi="宋体" w:eastAsia="仿宋_GB2312" w:cs="宋体"/>
                <w:color w:val="auto"/>
                <w:sz w:val="28"/>
                <w:szCs w:val="28"/>
                <w:shd w:val="clear" w:color="auto" w:fill="FFFFFF"/>
              </w:rPr>
              <w:t>1</w:t>
            </w:r>
            <w:r>
              <w:rPr>
                <w:rFonts w:hint="eastAsia" w:ascii="仿宋_GB2312" w:hAnsi="宋体" w:eastAsia="仿宋_GB2312" w:cs="宋体"/>
                <w:color w:val="auto"/>
                <w:sz w:val="28"/>
                <w:szCs w:val="28"/>
                <w:shd w:val="clear" w:color="auto" w:fill="FFFFFF"/>
              </w:rPr>
              <w:t>、收入情况：全年收入548万元，其中：财政拨款收入548万元。</w:t>
            </w:r>
          </w:p>
          <w:p>
            <w:pPr>
              <w:spacing w:line="560" w:lineRule="exact"/>
              <w:ind w:firstLine="560" w:firstLineChars="200"/>
              <w:rPr>
                <w:rFonts w:ascii="仿宋_GB2312" w:hAnsi="宋体" w:eastAsia="仿宋_GB2312" w:cs="宋体"/>
                <w:color w:val="auto"/>
                <w:sz w:val="28"/>
                <w:szCs w:val="28"/>
                <w:shd w:val="clear" w:color="auto" w:fill="FFFFFF"/>
              </w:rPr>
            </w:pPr>
            <w:r>
              <w:rPr>
                <w:rFonts w:ascii="仿宋_GB2312" w:hAnsi="宋体" w:eastAsia="仿宋_GB2312" w:cs="宋体"/>
                <w:color w:val="auto"/>
                <w:sz w:val="28"/>
                <w:szCs w:val="28"/>
                <w:shd w:val="clear" w:color="auto" w:fill="FFFFFF"/>
              </w:rPr>
              <w:t>2</w:t>
            </w:r>
            <w:r>
              <w:rPr>
                <w:rFonts w:hint="eastAsia" w:ascii="仿宋_GB2312" w:hAnsi="宋体" w:eastAsia="仿宋_GB2312" w:cs="宋体"/>
                <w:color w:val="auto"/>
                <w:sz w:val="28"/>
                <w:szCs w:val="28"/>
                <w:shd w:val="clear" w:color="auto" w:fill="FFFFFF"/>
              </w:rPr>
              <w:t>、支出情况</w:t>
            </w:r>
            <w:r>
              <w:rPr>
                <w:rFonts w:ascii="仿宋_GB2312" w:hAnsi="宋体" w:eastAsia="仿宋_GB2312" w:cs="宋体"/>
                <w:color w:val="auto"/>
                <w:sz w:val="28"/>
                <w:szCs w:val="28"/>
                <w:shd w:val="clear" w:color="auto" w:fill="FFFFFF"/>
              </w:rPr>
              <w:t>:</w:t>
            </w:r>
            <w:r>
              <w:rPr>
                <w:rFonts w:hint="eastAsia" w:ascii="仿宋_GB2312" w:hAnsi="宋体" w:eastAsia="仿宋_GB2312" w:cs="宋体"/>
                <w:color w:val="auto"/>
                <w:sz w:val="28"/>
                <w:szCs w:val="28"/>
                <w:shd w:val="clear" w:color="auto" w:fill="FFFFFF"/>
              </w:rPr>
              <w:t>全年支出548万元，其中：基本支出548万元（人员支出165.6万元，公用支出382.4万元）；项目支出0万元。</w:t>
            </w:r>
          </w:p>
          <w:p>
            <w:pPr>
              <w:spacing w:line="560" w:lineRule="exact"/>
              <w:ind w:firstLine="560" w:firstLineChars="200"/>
              <w:rPr>
                <w:rFonts w:ascii="仿宋_GB2312" w:hAnsi="宋体" w:eastAsia="仿宋_GB2312" w:cs="宋体"/>
                <w:color w:val="auto"/>
                <w:sz w:val="28"/>
                <w:szCs w:val="28"/>
                <w:shd w:val="clear" w:color="auto" w:fill="FFFFFF"/>
              </w:rPr>
            </w:pPr>
            <w:r>
              <w:rPr>
                <w:rFonts w:hint="eastAsia" w:ascii="仿宋_GB2312" w:hAnsi="宋体" w:eastAsia="仿宋_GB2312" w:cs="宋体"/>
                <w:color w:val="auto"/>
                <w:sz w:val="28"/>
                <w:szCs w:val="28"/>
                <w:shd w:val="clear" w:color="auto" w:fill="FFFFFF"/>
              </w:rPr>
              <w:t>二、部门（单位）整体支出管理及使用情况</w:t>
            </w:r>
          </w:p>
          <w:p>
            <w:pPr>
              <w:spacing w:line="560" w:lineRule="exact"/>
              <w:ind w:firstLine="560" w:firstLineChars="200"/>
              <w:rPr>
                <w:rFonts w:ascii="仿宋_GB2312" w:hAnsi="宋体" w:eastAsia="仿宋_GB2312" w:cs="宋体"/>
                <w:color w:val="auto"/>
                <w:sz w:val="28"/>
                <w:szCs w:val="28"/>
                <w:shd w:val="clear" w:color="auto" w:fill="FFFFFF"/>
              </w:rPr>
            </w:pPr>
            <w:r>
              <w:rPr>
                <w:rFonts w:hint="eastAsia" w:ascii="仿宋_GB2312" w:hAnsi="宋体" w:eastAsia="仿宋_GB2312" w:cs="宋体"/>
                <w:color w:val="auto"/>
                <w:sz w:val="28"/>
                <w:szCs w:val="28"/>
                <w:shd w:val="clear" w:color="auto" w:fill="FFFFFF"/>
              </w:rPr>
              <w:t>（一）基本支出</w:t>
            </w:r>
          </w:p>
          <w:p>
            <w:pPr>
              <w:spacing w:line="560" w:lineRule="exact"/>
              <w:ind w:firstLine="560" w:firstLineChars="200"/>
              <w:rPr>
                <w:rFonts w:ascii="仿宋_GB2312" w:hAnsi="宋体" w:eastAsia="仿宋_GB2312" w:cs="宋体"/>
                <w:color w:val="auto"/>
                <w:sz w:val="28"/>
                <w:szCs w:val="28"/>
                <w:shd w:val="clear" w:color="auto" w:fill="FFFFFF"/>
              </w:rPr>
            </w:pPr>
            <w:r>
              <w:rPr>
                <w:rFonts w:ascii="仿宋_GB2312" w:hAnsi="宋体" w:eastAsia="仿宋_GB2312" w:cs="宋体"/>
                <w:color w:val="auto"/>
                <w:sz w:val="28"/>
                <w:szCs w:val="28"/>
                <w:shd w:val="clear" w:color="auto" w:fill="FFFFFF"/>
              </w:rPr>
              <w:t>1</w:t>
            </w:r>
            <w:r>
              <w:rPr>
                <w:rFonts w:hint="eastAsia" w:ascii="仿宋_GB2312" w:hAnsi="宋体" w:eastAsia="仿宋_GB2312" w:cs="宋体"/>
                <w:color w:val="auto"/>
                <w:sz w:val="28"/>
                <w:szCs w:val="28"/>
                <w:shd w:val="clear" w:color="auto" w:fill="FFFFFF"/>
              </w:rPr>
              <w:t>、部门整体支出情况分析</w:t>
            </w:r>
          </w:p>
          <w:p>
            <w:pPr>
              <w:spacing w:line="560" w:lineRule="exact"/>
              <w:ind w:firstLine="560" w:firstLineChars="200"/>
              <w:rPr>
                <w:rFonts w:ascii="仿宋_GB2312" w:hAnsi="宋体" w:eastAsia="仿宋_GB2312" w:cs="宋体"/>
                <w:color w:val="auto"/>
                <w:sz w:val="28"/>
                <w:szCs w:val="28"/>
                <w:shd w:val="clear" w:color="auto" w:fill="FFFFFF"/>
              </w:rPr>
            </w:pPr>
            <w:r>
              <w:rPr>
                <w:rFonts w:hint="eastAsia" w:ascii="仿宋_GB2312" w:hAnsi="宋体" w:eastAsia="仿宋_GB2312" w:cs="宋体"/>
                <w:color w:val="auto"/>
                <w:sz w:val="28"/>
                <w:szCs w:val="28"/>
                <w:shd w:val="clear" w:color="auto" w:fill="FFFFFF"/>
              </w:rPr>
              <w:t>2021年整体支出548万元，其中基本支出548万元，人员支出165.6万元，占基本支出30</w:t>
            </w:r>
            <w:r>
              <w:rPr>
                <w:rFonts w:ascii="仿宋_GB2312" w:hAnsi="宋体" w:eastAsia="仿宋_GB2312" w:cs="宋体"/>
                <w:color w:val="auto"/>
                <w:sz w:val="28"/>
                <w:szCs w:val="28"/>
                <w:shd w:val="clear" w:color="auto" w:fill="FFFFFF"/>
              </w:rPr>
              <w:t>%</w:t>
            </w:r>
            <w:r>
              <w:rPr>
                <w:rFonts w:hint="eastAsia" w:ascii="仿宋_GB2312" w:hAnsi="宋体" w:eastAsia="仿宋_GB2312" w:cs="宋体"/>
                <w:color w:val="auto"/>
                <w:sz w:val="28"/>
                <w:szCs w:val="28"/>
                <w:shd w:val="clear" w:color="auto" w:fill="FFFFFF"/>
              </w:rPr>
              <w:t>，公用支出382.4万元，占基本支出70</w:t>
            </w:r>
            <w:r>
              <w:rPr>
                <w:rFonts w:ascii="仿宋_GB2312" w:hAnsi="宋体" w:eastAsia="仿宋_GB2312" w:cs="宋体"/>
                <w:color w:val="auto"/>
                <w:sz w:val="28"/>
                <w:szCs w:val="28"/>
                <w:shd w:val="clear" w:color="auto" w:fill="FFFFFF"/>
              </w:rPr>
              <w:t>%</w:t>
            </w:r>
            <w:r>
              <w:rPr>
                <w:rFonts w:hint="eastAsia" w:ascii="仿宋_GB2312" w:hAnsi="宋体" w:eastAsia="仿宋_GB2312" w:cs="宋体"/>
                <w:color w:val="auto"/>
                <w:sz w:val="28"/>
                <w:szCs w:val="28"/>
                <w:shd w:val="clear" w:color="auto" w:fill="FFFFFF"/>
              </w:rPr>
              <w:t>，项目支出0万元。</w:t>
            </w:r>
          </w:p>
          <w:p>
            <w:pPr>
              <w:spacing w:line="560" w:lineRule="exact"/>
              <w:ind w:firstLine="560" w:firstLineChars="200"/>
              <w:rPr>
                <w:rFonts w:ascii="仿宋_GB2312" w:hAnsi="宋体" w:eastAsia="仿宋_GB2312" w:cs="宋体"/>
                <w:color w:val="auto"/>
                <w:sz w:val="28"/>
                <w:szCs w:val="28"/>
                <w:shd w:val="clear" w:color="auto" w:fill="FFFFFF"/>
              </w:rPr>
            </w:pPr>
            <w:r>
              <w:rPr>
                <w:rFonts w:ascii="仿宋_GB2312" w:hAnsi="宋体" w:eastAsia="仿宋_GB2312" w:cs="宋体"/>
                <w:color w:val="auto"/>
                <w:sz w:val="28"/>
                <w:szCs w:val="28"/>
                <w:shd w:val="clear" w:color="auto" w:fill="FFFFFF"/>
              </w:rPr>
              <w:t>2</w:t>
            </w:r>
            <w:r>
              <w:rPr>
                <w:rFonts w:hint="eastAsia" w:ascii="仿宋_GB2312" w:hAnsi="宋体" w:eastAsia="仿宋_GB2312" w:cs="宋体"/>
                <w:color w:val="auto"/>
                <w:sz w:val="28"/>
                <w:szCs w:val="28"/>
                <w:shd w:val="clear" w:color="auto" w:fill="FFFFFF"/>
              </w:rPr>
              <w:t>、“三公经费”支出情况分析</w:t>
            </w:r>
          </w:p>
          <w:p>
            <w:pPr>
              <w:spacing w:line="560" w:lineRule="exact"/>
              <w:ind w:firstLine="560" w:firstLineChars="200"/>
              <w:rPr>
                <w:rFonts w:ascii="仿宋_GB2312" w:hAnsi="宋体" w:eastAsia="仿宋_GB2312" w:cs="宋体"/>
                <w:color w:val="auto"/>
                <w:sz w:val="28"/>
                <w:szCs w:val="28"/>
                <w:shd w:val="clear" w:color="auto" w:fill="FFFFFF"/>
              </w:rPr>
            </w:pPr>
            <w:r>
              <w:rPr>
                <w:rFonts w:hint="eastAsia" w:ascii="仿宋_GB2312" w:hAnsi="宋体" w:eastAsia="仿宋_GB2312" w:cs="宋体"/>
                <w:color w:val="auto"/>
                <w:sz w:val="28"/>
                <w:szCs w:val="28"/>
                <w:shd w:val="clear" w:color="auto" w:fill="FFFFFF"/>
              </w:rPr>
              <w:t>2021年“三公经费”预算3万元，实际开支2.8万元，“三公经费”控制在预算成本之内。</w:t>
            </w:r>
          </w:p>
          <w:p>
            <w:pPr>
              <w:spacing w:line="560" w:lineRule="exact"/>
              <w:ind w:firstLine="560" w:firstLineChars="200"/>
              <w:rPr>
                <w:rFonts w:ascii="仿宋_GB2312" w:hAnsi="宋体" w:eastAsia="仿宋_GB2312" w:cs="宋体"/>
                <w:color w:val="auto"/>
                <w:sz w:val="28"/>
                <w:szCs w:val="28"/>
                <w:shd w:val="clear" w:color="auto" w:fill="FFFFFF"/>
              </w:rPr>
            </w:pPr>
            <w:r>
              <w:rPr>
                <w:rFonts w:ascii="仿宋_GB2312" w:hAnsi="宋体" w:eastAsia="仿宋_GB2312" w:cs="宋体"/>
                <w:color w:val="auto"/>
                <w:sz w:val="28"/>
                <w:szCs w:val="28"/>
                <w:shd w:val="clear" w:color="auto" w:fill="FFFFFF"/>
              </w:rPr>
              <w:t>3</w:t>
            </w:r>
            <w:r>
              <w:rPr>
                <w:rFonts w:hint="eastAsia" w:ascii="仿宋_GB2312" w:hAnsi="宋体" w:eastAsia="仿宋_GB2312" w:cs="宋体"/>
                <w:color w:val="auto"/>
                <w:sz w:val="28"/>
                <w:szCs w:val="28"/>
                <w:shd w:val="clear" w:color="auto" w:fill="FFFFFF"/>
              </w:rPr>
              <w:t>、固定资产管理情况分析</w:t>
            </w:r>
          </w:p>
          <w:p>
            <w:pPr>
              <w:spacing w:line="560" w:lineRule="exact"/>
              <w:ind w:firstLine="560" w:firstLineChars="200"/>
              <w:rPr>
                <w:rFonts w:ascii="仿宋_GB2312" w:hAnsi="宋体" w:eastAsia="仿宋_GB2312" w:cs="宋体"/>
                <w:color w:val="auto"/>
                <w:sz w:val="28"/>
                <w:szCs w:val="28"/>
                <w:shd w:val="clear" w:color="auto" w:fill="FFFFFF"/>
              </w:rPr>
            </w:pPr>
            <w:r>
              <w:rPr>
                <w:rFonts w:hint="eastAsia" w:ascii="仿宋_GB2312" w:hAnsi="宋体" w:eastAsia="仿宋_GB2312" w:cs="宋体"/>
                <w:color w:val="auto"/>
                <w:sz w:val="28"/>
                <w:szCs w:val="28"/>
                <w:shd w:val="clear" w:color="auto" w:fill="FFFFFF"/>
              </w:rPr>
              <w:t>按照例行节约，物尽其用的原则，资产管理采取统一建账，统一核算管理，对每件固定资产使用明确保管职责，闲置的资产，由办公室统一调整，合理流动，发挥其效益；至</w:t>
            </w:r>
            <w:r>
              <w:rPr>
                <w:rFonts w:ascii="仿宋_GB2312" w:hAnsi="宋体" w:eastAsia="仿宋_GB2312" w:cs="宋体"/>
                <w:color w:val="auto"/>
                <w:sz w:val="28"/>
                <w:szCs w:val="28"/>
                <w:shd w:val="clear" w:color="auto" w:fill="FFFFFF"/>
              </w:rPr>
              <w:t>20</w:t>
            </w:r>
            <w:r>
              <w:rPr>
                <w:rFonts w:hint="eastAsia" w:ascii="仿宋_GB2312" w:hAnsi="宋体" w:eastAsia="仿宋_GB2312" w:cs="宋体"/>
                <w:color w:val="auto"/>
                <w:sz w:val="28"/>
                <w:szCs w:val="28"/>
                <w:shd w:val="clear" w:color="auto" w:fill="FFFFFF"/>
              </w:rPr>
              <w:t>21年</w:t>
            </w:r>
            <w:r>
              <w:rPr>
                <w:rFonts w:ascii="仿宋_GB2312" w:hAnsi="宋体" w:eastAsia="仿宋_GB2312" w:cs="宋体"/>
                <w:color w:val="auto"/>
                <w:sz w:val="28"/>
                <w:szCs w:val="28"/>
                <w:shd w:val="clear" w:color="auto" w:fill="FFFFFF"/>
              </w:rPr>
              <w:t>12</w:t>
            </w:r>
            <w:r>
              <w:rPr>
                <w:rFonts w:hint="eastAsia" w:ascii="仿宋_GB2312" w:hAnsi="宋体" w:eastAsia="仿宋_GB2312" w:cs="宋体"/>
                <w:color w:val="auto"/>
                <w:sz w:val="28"/>
                <w:szCs w:val="28"/>
                <w:shd w:val="clear" w:color="auto" w:fill="FFFFFF"/>
              </w:rPr>
              <w:t>月末固定资产618万元。</w:t>
            </w:r>
          </w:p>
          <w:p>
            <w:pPr>
              <w:spacing w:line="560" w:lineRule="exact"/>
              <w:ind w:firstLine="560" w:firstLineChars="200"/>
              <w:rPr>
                <w:rFonts w:ascii="仿宋_GB2312" w:hAnsi="宋体" w:eastAsia="仿宋_GB2312" w:cs="宋体"/>
                <w:color w:val="auto"/>
                <w:sz w:val="28"/>
                <w:szCs w:val="28"/>
                <w:shd w:val="clear" w:color="auto" w:fill="FFFFFF"/>
              </w:rPr>
            </w:pPr>
            <w:r>
              <w:rPr>
                <w:rFonts w:hint="eastAsia" w:ascii="仿宋_GB2312" w:hAnsi="宋体" w:eastAsia="仿宋_GB2312" w:cs="宋体"/>
                <w:color w:val="auto"/>
                <w:sz w:val="28"/>
                <w:szCs w:val="28"/>
                <w:shd w:val="clear" w:color="auto" w:fill="FFFFFF"/>
              </w:rPr>
              <w:t>三、部门（单位）整体支出绩效情况</w:t>
            </w:r>
          </w:p>
          <w:p>
            <w:pPr>
              <w:spacing w:line="560" w:lineRule="exact"/>
              <w:ind w:firstLine="560" w:firstLineChars="200"/>
              <w:rPr>
                <w:rFonts w:ascii="仿宋_GB2312" w:hAnsi="宋体" w:eastAsia="仿宋_GB2312" w:cs="宋体"/>
                <w:color w:val="auto"/>
                <w:sz w:val="28"/>
                <w:szCs w:val="28"/>
                <w:shd w:val="clear" w:color="auto" w:fill="FFFFFF"/>
              </w:rPr>
            </w:pPr>
            <w:r>
              <w:rPr>
                <w:rFonts w:hint="eastAsia" w:ascii="仿宋_GB2312" w:hAnsi="宋体" w:eastAsia="仿宋_GB2312" w:cs="宋体"/>
                <w:color w:val="auto"/>
                <w:sz w:val="28"/>
                <w:szCs w:val="28"/>
                <w:shd w:val="clear" w:color="auto" w:fill="FFFFFF"/>
              </w:rPr>
              <w:t>2021年，根据年初工作规划和重点工作，围绕县委、县政府的工作部署，积极履行职责，强化管理，较好地完成了年度工作目标，同时加强预算收支的管理，建立健全内部管理制度，严格内部管理流程，部门整体支出管理得到了提升。2021年度部门整体支出绩效情况如下：</w:t>
            </w:r>
          </w:p>
          <w:p>
            <w:pPr>
              <w:spacing w:line="560" w:lineRule="exact"/>
              <w:ind w:firstLine="560" w:firstLineChars="200"/>
              <w:rPr>
                <w:rFonts w:ascii="仿宋_GB2312" w:hAnsi="宋体" w:eastAsia="仿宋_GB2312" w:cs="宋体"/>
                <w:color w:val="auto"/>
                <w:sz w:val="28"/>
                <w:szCs w:val="28"/>
                <w:shd w:val="clear" w:color="auto" w:fill="FFFFFF"/>
              </w:rPr>
            </w:pPr>
            <w:r>
              <w:rPr>
                <w:rFonts w:ascii="仿宋_GB2312" w:hAnsi="宋体" w:eastAsia="仿宋_GB2312" w:cs="宋体"/>
                <w:color w:val="auto"/>
                <w:sz w:val="28"/>
                <w:szCs w:val="28"/>
                <w:shd w:val="clear" w:color="auto" w:fill="FFFFFF"/>
              </w:rPr>
              <w:t>1.</w:t>
            </w:r>
            <w:r>
              <w:rPr>
                <w:rFonts w:hint="eastAsia" w:ascii="仿宋_GB2312" w:hAnsi="宋体" w:eastAsia="仿宋_GB2312" w:cs="宋体"/>
                <w:color w:val="auto"/>
                <w:sz w:val="28"/>
                <w:szCs w:val="28"/>
                <w:shd w:val="clear" w:color="auto" w:fill="FFFFFF"/>
              </w:rPr>
              <w:t>严格预算支出管理。根据“总量控制、计划管理”的要求从严控制行政经费，压缩一般性支出，严格控制“三公”经费，资产的配置严格政府采购，保障部门整体支出的规范化、制度化。</w:t>
            </w:r>
          </w:p>
          <w:p>
            <w:pPr>
              <w:spacing w:line="560" w:lineRule="exact"/>
              <w:ind w:firstLine="560" w:firstLineChars="200"/>
              <w:rPr>
                <w:rFonts w:ascii="仿宋_GB2312" w:hAnsi="宋体" w:eastAsia="仿宋_GB2312" w:cs="宋体"/>
                <w:color w:val="auto"/>
                <w:sz w:val="28"/>
                <w:szCs w:val="28"/>
                <w:shd w:val="clear" w:color="auto" w:fill="FFFFFF"/>
              </w:rPr>
            </w:pPr>
            <w:r>
              <w:rPr>
                <w:rFonts w:ascii="仿宋_GB2312" w:hAnsi="宋体" w:eastAsia="仿宋_GB2312" w:cs="宋体"/>
                <w:color w:val="auto"/>
                <w:sz w:val="28"/>
                <w:szCs w:val="28"/>
                <w:shd w:val="clear" w:color="auto" w:fill="FFFFFF"/>
              </w:rPr>
              <w:t>2.</w:t>
            </w:r>
            <w:r>
              <w:rPr>
                <w:rFonts w:hint="eastAsia" w:ascii="仿宋_GB2312" w:hAnsi="宋体" w:eastAsia="仿宋_GB2312" w:cs="宋体"/>
                <w:color w:val="auto"/>
                <w:sz w:val="28"/>
                <w:szCs w:val="28"/>
                <w:shd w:val="clear" w:color="auto" w:fill="FFFFFF"/>
              </w:rPr>
              <w:t>财务管理上，按照国家相关法律法规，制定完善了单位内部控制制度，并严格按照制度管理和执行，防范风险，保证财政资金的安全和高效运行。</w:t>
            </w:r>
          </w:p>
          <w:p>
            <w:pPr>
              <w:spacing w:line="560" w:lineRule="exact"/>
              <w:ind w:firstLine="560" w:firstLineChars="200"/>
              <w:rPr>
                <w:rFonts w:ascii="仿宋_GB2312" w:hAnsi="宋体" w:eastAsia="仿宋_GB2312" w:cs="宋体"/>
                <w:color w:val="auto"/>
                <w:sz w:val="28"/>
                <w:szCs w:val="28"/>
                <w:shd w:val="clear" w:color="auto" w:fill="FFFFFF"/>
              </w:rPr>
            </w:pPr>
            <w:r>
              <w:rPr>
                <w:rFonts w:hint="eastAsia" w:ascii="仿宋_GB2312" w:hAnsi="宋体" w:eastAsia="仿宋_GB2312" w:cs="宋体"/>
                <w:color w:val="auto"/>
                <w:sz w:val="28"/>
                <w:szCs w:val="28"/>
                <w:shd w:val="clear" w:color="auto" w:fill="FFFFFF"/>
              </w:rPr>
              <w:t>通过对2021年的预算配置、预算管理、资产管理、职责履行、履职效益等内容的绩效考评，提高财政资金的使用效率，保障了机构的正常运转。2021年，较好地完成了年度工作目标，部门整体支出绩效评价为优。</w:t>
            </w:r>
          </w:p>
          <w:p>
            <w:pPr>
              <w:spacing w:line="560" w:lineRule="exact"/>
              <w:ind w:firstLine="560" w:firstLineChars="200"/>
              <w:rPr>
                <w:rFonts w:ascii="仿宋_GB2312" w:hAnsi="宋体" w:eastAsia="仿宋_GB2312" w:cs="宋体"/>
                <w:color w:val="auto"/>
                <w:sz w:val="28"/>
                <w:szCs w:val="28"/>
                <w:shd w:val="clear" w:color="auto" w:fill="FFFFFF"/>
              </w:rPr>
            </w:pPr>
            <w:r>
              <w:rPr>
                <w:rFonts w:hint="eastAsia" w:ascii="仿宋_GB2312" w:hAnsi="宋体" w:eastAsia="仿宋_GB2312" w:cs="宋体"/>
                <w:color w:val="auto"/>
                <w:sz w:val="28"/>
                <w:szCs w:val="28"/>
                <w:shd w:val="clear" w:color="auto" w:fill="FFFFFF"/>
              </w:rPr>
              <w:t>四、存在的主要问题</w:t>
            </w:r>
          </w:p>
          <w:p>
            <w:pPr>
              <w:spacing w:line="560" w:lineRule="exact"/>
              <w:ind w:firstLine="560" w:firstLineChars="200"/>
              <w:rPr>
                <w:rFonts w:ascii="仿宋_GB2312" w:hAnsi="宋体" w:eastAsia="仿宋_GB2312" w:cs="宋体"/>
                <w:color w:val="auto"/>
                <w:sz w:val="28"/>
                <w:szCs w:val="28"/>
                <w:shd w:val="clear" w:color="auto" w:fill="FFFFFF"/>
              </w:rPr>
            </w:pPr>
            <w:r>
              <w:rPr>
                <w:rFonts w:hint="eastAsia" w:ascii="仿宋_GB2312" w:hAnsi="宋体" w:eastAsia="仿宋_GB2312" w:cs="宋体"/>
                <w:color w:val="auto"/>
                <w:sz w:val="28"/>
                <w:szCs w:val="28"/>
                <w:shd w:val="clear" w:color="auto" w:fill="FFFFFF"/>
              </w:rPr>
              <w:t>预算编制与实际支出项目有的存在差异，有待进一步优化预算，提高预算编制的准确性。</w:t>
            </w:r>
          </w:p>
          <w:p>
            <w:pPr>
              <w:spacing w:line="560" w:lineRule="exact"/>
              <w:ind w:firstLine="560" w:firstLineChars="200"/>
              <w:rPr>
                <w:rFonts w:ascii="仿宋_GB2312" w:hAnsi="宋体" w:eastAsia="仿宋_GB2312" w:cs="宋体"/>
                <w:color w:val="auto"/>
                <w:sz w:val="28"/>
                <w:szCs w:val="28"/>
                <w:shd w:val="clear" w:color="auto" w:fill="FFFFFF"/>
              </w:rPr>
            </w:pPr>
            <w:r>
              <w:rPr>
                <w:rFonts w:hint="eastAsia" w:ascii="仿宋_GB2312" w:hAnsi="宋体" w:eastAsia="仿宋_GB2312" w:cs="宋体"/>
                <w:color w:val="auto"/>
                <w:sz w:val="28"/>
                <w:szCs w:val="28"/>
                <w:shd w:val="clear" w:color="auto" w:fill="FFFFFF"/>
              </w:rPr>
              <w:t>五、改进措施和有关建议</w:t>
            </w:r>
          </w:p>
          <w:p>
            <w:pPr>
              <w:spacing w:line="560" w:lineRule="exact"/>
              <w:ind w:firstLine="560" w:firstLineChars="200"/>
              <w:rPr>
                <w:rFonts w:ascii="仿宋_GB2312" w:hAnsi="宋体" w:eastAsia="仿宋_GB2312" w:cs="宋体"/>
                <w:color w:val="auto"/>
                <w:sz w:val="28"/>
                <w:szCs w:val="28"/>
                <w:shd w:val="clear" w:color="auto" w:fill="FFFFFF"/>
              </w:rPr>
            </w:pPr>
            <w:r>
              <w:rPr>
                <w:rFonts w:hint="eastAsia" w:ascii="仿宋_GB2312" w:hAnsi="宋体" w:eastAsia="仿宋_GB2312" w:cs="宋体"/>
                <w:color w:val="auto"/>
                <w:sz w:val="28"/>
                <w:szCs w:val="28"/>
                <w:shd w:val="clear" w:color="auto" w:fill="FFFFFF"/>
              </w:rPr>
              <w:t>一是按照预算规定的项目和用途严格财务审核，经费支出严格按预算规定项目的财务支出内容进行财务核算，在预算金额内严格控制费用的支出，先有预算，再有支出。</w:t>
            </w:r>
          </w:p>
          <w:p>
            <w:pPr>
              <w:spacing w:line="560" w:lineRule="exact"/>
              <w:ind w:firstLine="560" w:firstLineChars="200"/>
              <w:rPr>
                <w:rFonts w:ascii="仿宋_GB2312" w:hAnsi="宋体" w:eastAsia="仿宋_GB2312" w:cs="宋体"/>
                <w:color w:val="auto"/>
                <w:sz w:val="28"/>
                <w:szCs w:val="28"/>
                <w:shd w:val="clear" w:color="auto" w:fill="FFFFFF"/>
              </w:rPr>
            </w:pPr>
            <w:r>
              <w:rPr>
                <w:rFonts w:hint="eastAsia" w:ascii="宋体" w:hAnsi="宋体" w:cs="宋体"/>
                <w:color w:val="auto"/>
                <w:sz w:val="28"/>
                <w:szCs w:val="28"/>
                <w:shd w:val="clear" w:color="auto" w:fill="FFFFFF"/>
              </w:rPr>
              <w:t>二</w:t>
            </w:r>
            <w:r>
              <w:rPr>
                <w:rFonts w:hint="eastAsia" w:ascii="仿宋_GB2312" w:hAnsi="宋体" w:eastAsia="仿宋_GB2312" w:cs="宋体"/>
                <w:color w:val="auto"/>
                <w:sz w:val="28"/>
                <w:szCs w:val="28"/>
                <w:shd w:val="clear" w:color="auto" w:fill="FFFFFF"/>
              </w:rPr>
              <w:t>是预算财务分析常态化，定期做好预算支出财务分析，做好部门整体支出预算评价工作。</w:t>
            </w:r>
          </w:p>
          <w:p>
            <w:pPr>
              <w:rPr>
                <w:rFonts w:eastAsia="楷体_GB2312"/>
                <w:bCs/>
                <w:color w:val="auto"/>
                <w:sz w:val="28"/>
                <w:szCs w:val="28"/>
              </w:rPr>
            </w:pPr>
          </w:p>
        </w:tc>
      </w:tr>
    </w:tbl>
    <w:p>
      <w:pPr>
        <w:spacing w:line="348" w:lineRule="auto"/>
        <w:rPr>
          <w:rFonts w:eastAsia="楷体_GB2312"/>
          <w:bCs/>
          <w:color w:val="auto"/>
          <w:sz w:val="28"/>
          <w:szCs w:val="28"/>
        </w:rPr>
      </w:pPr>
    </w:p>
    <w:p>
      <w:pPr>
        <w:spacing w:line="348" w:lineRule="auto"/>
        <w:rPr>
          <w:rFonts w:ascii="黑体" w:hAnsi="黑体" w:eastAsia="黑体"/>
          <w:color w:val="auto"/>
          <w:sz w:val="32"/>
          <w:szCs w:val="32"/>
        </w:rPr>
      </w:pPr>
      <w:r>
        <w:rPr>
          <w:rFonts w:eastAsia="楷体_GB2312"/>
          <w:bCs/>
          <w:color w:val="auto"/>
          <w:sz w:val="28"/>
          <w:szCs w:val="28"/>
        </w:rPr>
        <w:br w:type="page"/>
      </w:r>
      <w:r>
        <w:rPr>
          <w:rFonts w:hint="eastAsia" w:ascii="黑体" w:hAnsi="黑体" w:eastAsia="黑体"/>
          <w:color w:val="auto"/>
          <w:sz w:val="32"/>
          <w:szCs w:val="32"/>
        </w:rPr>
        <w:t>附件3-1</w:t>
      </w:r>
    </w:p>
    <w:p>
      <w:pPr>
        <w:jc w:val="center"/>
        <w:rPr>
          <w:rFonts w:ascii="方正小标宋简体" w:eastAsia="方正小标宋简体"/>
          <w:color w:val="auto"/>
          <w:sz w:val="38"/>
          <w:szCs w:val="38"/>
        </w:rPr>
      </w:pPr>
      <w:r>
        <w:rPr>
          <w:rFonts w:hint="eastAsia" w:ascii="方正小标宋简体" w:eastAsia="方正小标宋简体"/>
          <w:color w:val="auto"/>
          <w:sz w:val="38"/>
          <w:szCs w:val="38"/>
        </w:rPr>
        <w:t>部门整体支出绩效评价评分表（参考样表）</w:t>
      </w:r>
    </w:p>
    <w:tbl>
      <w:tblPr>
        <w:tblStyle w:val="5"/>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color w:val="auto"/>
                <w:spacing w:val="-10"/>
                <w:kern w:val="0"/>
                <w:sz w:val="18"/>
                <w:szCs w:val="18"/>
              </w:rPr>
            </w:pPr>
            <w:r>
              <w:rPr>
                <w:rFonts w:hint="eastAsia" w:ascii="仿宋_GB2312" w:hAnsi="宋体" w:eastAsia="仿宋_GB2312" w:cs="宋体"/>
                <w:b/>
                <w:bCs/>
                <w:color w:val="auto"/>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投  入</w:t>
            </w:r>
          </w:p>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（15分）</w:t>
            </w:r>
          </w:p>
        </w:tc>
        <w:tc>
          <w:tcPr>
            <w:tcW w:w="939"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预算配置</w:t>
            </w:r>
          </w:p>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（15分）</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财政供养人员</w:t>
            </w:r>
          </w:p>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控制率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以100%为标准。在职人员控制率</w:t>
            </w:r>
            <w:r>
              <w:rPr>
                <w:rFonts w:hint="eastAsia" w:ascii="宋体" w:hAnsi="宋体" w:cs="宋体"/>
                <w:color w:val="auto"/>
                <w:kern w:val="0"/>
                <w:sz w:val="18"/>
                <w:szCs w:val="18"/>
              </w:rPr>
              <w:t>≦</w:t>
            </w:r>
            <w:r>
              <w:rPr>
                <w:rFonts w:hint="eastAsia" w:ascii="仿宋_GB2312" w:hAnsi="宋体" w:eastAsia="仿宋_GB2312" w:cs="宋体"/>
                <w:color w:val="auto"/>
                <w:kern w:val="0"/>
                <w:sz w:val="18"/>
                <w:szCs w:val="18"/>
              </w:rPr>
              <w:t>100%，计5分；每超过一个百分点扣0.5分，扣完为止。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auto"/>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auto"/>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auto"/>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“三公经费”</w:t>
            </w:r>
          </w:p>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变动率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“三公经费”变动率</w:t>
            </w:r>
            <w:r>
              <w:rPr>
                <w:rFonts w:hint="eastAsia" w:ascii="宋体" w:hAnsi="宋体" w:cs="宋体"/>
                <w:color w:val="auto"/>
                <w:kern w:val="0"/>
                <w:sz w:val="18"/>
                <w:szCs w:val="18"/>
              </w:rPr>
              <w:t>≦</w:t>
            </w:r>
            <w:r>
              <w:rPr>
                <w:rFonts w:hint="eastAsia" w:ascii="仿宋_GB2312" w:hAnsi="宋体" w:eastAsia="仿宋_GB2312" w:cs="宋体"/>
                <w:color w:val="auto"/>
                <w:kern w:val="0"/>
                <w:sz w:val="18"/>
                <w:szCs w:val="18"/>
              </w:rPr>
              <w:t>0,计5分；</w:t>
            </w:r>
          </w:p>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“三公经费”＞0，每超过一个百分点扣0.5分，扣完为止。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auto"/>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auto"/>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auto"/>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重点支出</w:t>
            </w:r>
          </w:p>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安排率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auto"/>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过  程</w:t>
            </w:r>
          </w:p>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（40分）</w:t>
            </w:r>
          </w:p>
        </w:tc>
        <w:tc>
          <w:tcPr>
            <w:tcW w:w="939"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预算执行</w:t>
            </w:r>
          </w:p>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（15分）</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预算调整率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1</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auto"/>
                <w:kern w:val="0"/>
                <w:sz w:val="18"/>
                <w:szCs w:val="18"/>
              </w:rPr>
            </w:pPr>
          </w:p>
        </w:tc>
      </w:tr>
      <w:tr>
        <w:tblPrEx>
          <w:tblCellMar>
            <w:top w:w="0" w:type="dxa"/>
            <w:left w:w="108" w:type="dxa"/>
            <w:bottom w:w="0" w:type="dxa"/>
            <w:right w:w="108" w:type="dxa"/>
          </w:tblCellMar>
        </w:tblPrEx>
        <w:trPr>
          <w:trHeight w:val="724"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auto"/>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auto"/>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支付进度</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auto"/>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auto"/>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auto"/>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资金结余</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auto"/>
                <w:kern w:val="0"/>
                <w:sz w:val="18"/>
                <w:szCs w:val="18"/>
              </w:rPr>
            </w:pPr>
          </w:p>
        </w:tc>
      </w:tr>
      <w:tr>
        <w:tblPrEx>
          <w:tblCellMar>
            <w:top w:w="0" w:type="dxa"/>
            <w:left w:w="108" w:type="dxa"/>
            <w:bottom w:w="0" w:type="dxa"/>
            <w:right w:w="108" w:type="dxa"/>
          </w:tblCellMar>
        </w:tblPrEx>
        <w:trPr>
          <w:trHeight w:val="72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auto"/>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auto"/>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“三公经费”</w:t>
            </w:r>
          </w:p>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控制率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以100%为标准。三公经费控制率</w:t>
            </w:r>
            <w:r>
              <w:rPr>
                <w:rFonts w:hint="eastAsia" w:ascii="宋体" w:hAnsi="宋体" w:cs="宋体"/>
                <w:color w:val="auto"/>
                <w:kern w:val="0"/>
                <w:sz w:val="18"/>
                <w:szCs w:val="18"/>
              </w:rPr>
              <w:t>≦</w:t>
            </w:r>
            <w:r>
              <w:rPr>
                <w:rFonts w:hint="eastAsia" w:ascii="仿宋_GB2312" w:hAnsi="宋体" w:eastAsia="仿宋_GB2312" w:cs="宋体"/>
                <w:color w:val="auto"/>
                <w:kern w:val="0"/>
                <w:sz w:val="18"/>
                <w:szCs w:val="18"/>
              </w:rPr>
              <w:t>100%，计6分；</w:t>
            </w:r>
          </w:p>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每超过一个百分点扣1分，扣完为止。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6</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6</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auto"/>
                <w:kern w:val="0"/>
                <w:sz w:val="18"/>
                <w:szCs w:val="18"/>
              </w:rPr>
            </w:pPr>
          </w:p>
        </w:tc>
      </w:tr>
      <w:tr>
        <w:tblPrEx>
          <w:tblCellMar>
            <w:top w:w="0" w:type="dxa"/>
            <w:left w:w="108" w:type="dxa"/>
            <w:bottom w:w="0" w:type="dxa"/>
            <w:right w:w="108" w:type="dxa"/>
          </w:tblCellMar>
        </w:tblPrEx>
        <w:trPr>
          <w:trHeight w:val="117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auto"/>
                <w:kern w:val="0"/>
                <w:sz w:val="18"/>
                <w:szCs w:val="18"/>
              </w:rPr>
            </w:pPr>
          </w:p>
        </w:tc>
        <w:tc>
          <w:tcPr>
            <w:tcW w:w="939" w:type="dxa"/>
            <w:vMerge w:val="restart"/>
            <w:tcBorders>
              <w:top w:val="nil"/>
              <w:left w:val="single" w:color="auto" w:sz="4" w:space="0"/>
              <w:right w:val="single" w:color="auto"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预算管理</w:t>
            </w:r>
          </w:p>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（15分）</w:t>
            </w:r>
          </w:p>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　</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管理制度</w:t>
            </w:r>
          </w:p>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健全性</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①已制定或具有预算资金管理办法，内部财务管理制度、会计核算制度等管理制度，1分；</w:t>
            </w:r>
          </w:p>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②相关管理制度合法、合规、完整，1分；</w:t>
            </w:r>
          </w:p>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③相关管理制度得到有效执行，1分。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auto"/>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auto"/>
                <w:kern w:val="0"/>
                <w:sz w:val="18"/>
                <w:szCs w:val="18"/>
              </w:rPr>
            </w:pPr>
          </w:p>
        </w:tc>
        <w:tc>
          <w:tcPr>
            <w:tcW w:w="939" w:type="dxa"/>
            <w:vMerge w:val="continue"/>
            <w:tcBorders>
              <w:left w:val="single" w:color="auto" w:sz="4" w:space="0"/>
              <w:right w:val="single" w:color="auto" w:sz="4" w:space="0"/>
            </w:tcBorders>
            <w:vAlign w:val="center"/>
          </w:tcPr>
          <w:p>
            <w:pPr>
              <w:widowControl/>
              <w:spacing w:line="240" w:lineRule="exact"/>
              <w:jc w:val="left"/>
              <w:rPr>
                <w:rFonts w:ascii="仿宋_GB2312" w:hAnsi="宋体" w:eastAsia="仿宋_GB2312" w:cs="宋体"/>
                <w:color w:val="auto"/>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资金使用</w:t>
            </w:r>
          </w:p>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合规性</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①支出符合国家财经法规和财务管理制度规定以及有关专项资金管理办法的规定；</w:t>
            </w:r>
          </w:p>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②资金拨付有完整的审批程序和手续；</w:t>
            </w:r>
          </w:p>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③项目支出按规定经过评估论证；</w:t>
            </w:r>
          </w:p>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④支出符合部门预算批复的用途；</w:t>
            </w:r>
          </w:p>
          <w:p>
            <w:pPr>
              <w:widowControl/>
              <w:spacing w:line="240" w:lineRule="exact"/>
              <w:jc w:val="left"/>
              <w:rPr>
                <w:rFonts w:ascii="仿宋_GB2312" w:hAnsi="宋体" w:eastAsia="仿宋_GB2312" w:cs="宋体"/>
                <w:color w:val="auto"/>
                <w:spacing w:val="-6"/>
                <w:kern w:val="0"/>
                <w:sz w:val="18"/>
                <w:szCs w:val="18"/>
              </w:rPr>
            </w:pPr>
            <w:r>
              <w:rPr>
                <w:rFonts w:hint="eastAsia" w:ascii="仿宋_GB2312" w:hAnsi="宋体" w:eastAsia="仿宋_GB2312" w:cs="宋体"/>
                <w:color w:val="auto"/>
                <w:spacing w:val="-6"/>
                <w:kern w:val="0"/>
                <w:sz w:val="18"/>
                <w:szCs w:val="18"/>
              </w:rPr>
              <w:t>⑤资金使用无截留、挤占、挪用、虚列支出等情况。</w:t>
            </w:r>
          </w:p>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auto"/>
                <w:kern w:val="0"/>
                <w:sz w:val="18"/>
                <w:szCs w:val="18"/>
              </w:rPr>
            </w:pPr>
          </w:p>
        </w:tc>
      </w:tr>
      <w:tr>
        <w:tblPrEx>
          <w:tblCellMar>
            <w:top w:w="0" w:type="dxa"/>
            <w:left w:w="108" w:type="dxa"/>
            <w:bottom w:w="0" w:type="dxa"/>
            <w:right w:w="108" w:type="dxa"/>
          </w:tblCellMar>
        </w:tblPrEx>
        <w:trPr>
          <w:trHeight w:val="124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939" w:type="dxa"/>
            <w:vMerge w:val="continue"/>
            <w:tcBorders>
              <w:left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①按规定内容公开预决算信息，1分；</w:t>
            </w:r>
          </w:p>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②按规定时限公开预决算信息，0.5分；</w:t>
            </w:r>
          </w:p>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③基础数据信息和会计信息资料真实，0.5分；</w:t>
            </w:r>
          </w:p>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④基础数据信息和会计信息资料完整，0.5分；</w:t>
            </w:r>
          </w:p>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color w:val="auto"/>
                <w:kern w:val="0"/>
                <w:sz w:val="18"/>
                <w:szCs w:val="18"/>
              </w:rPr>
            </w:pPr>
          </w:p>
        </w:tc>
      </w:tr>
      <w:tr>
        <w:tblPrEx>
          <w:tblCellMar>
            <w:top w:w="0" w:type="dxa"/>
            <w:left w:w="108" w:type="dxa"/>
            <w:bottom w:w="0" w:type="dxa"/>
            <w:right w:w="108" w:type="dxa"/>
          </w:tblCellMar>
        </w:tblPrEx>
        <w:trPr>
          <w:trHeight w:val="66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939" w:type="dxa"/>
            <w:vMerge w:val="continue"/>
            <w:tcBorders>
              <w:left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政府采购</w:t>
            </w:r>
          </w:p>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执行率</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政府采购执行率等于100%的，得3分；</w:t>
            </w:r>
          </w:p>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color w:val="auto"/>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939" w:type="dxa"/>
            <w:vMerge w:val="continue"/>
            <w:tcBorders>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公务卡刷卡率</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公务卡刷卡率达70％以上的，得3分。</w:t>
            </w:r>
          </w:p>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1</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color w:val="auto"/>
                <w:kern w:val="0"/>
                <w:sz w:val="18"/>
                <w:szCs w:val="18"/>
              </w:rPr>
            </w:pPr>
          </w:p>
        </w:tc>
      </w:tr>
      <w:tr>
        <w:tblPrEx>
          <w:tblCellMar>
            <w:top w:w="0" w:type="dxa"/>
            <w:left w:w="108" w:type="dxa"/>
            <w:bottom w:w="0" w:type="dxa"/>
            <w:right w:w="108" w:type="dxa"/>
          </w:tblCellMar>
        </w:tblPrEx>
        <w:trPr>
          <w:trHeight w:val="101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资产管理</w:t>
            </w:r>
          </w:p>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（10分）</w:t>
            </w: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管理制度</w:t>
            </w:r>
          </w:p>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健全性</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①已制定或具有资产管理制度，且相关资产管理制度合法、合规、完整，2分；</w:t>
            </w:r>
          </w:p>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color w:val="auto"/>
                <w:kern w:val="0"/>
                <w:sz w:val="18"/>
                <w:szCs w:val="18"/>
              </w:rPr>
            </w:pPr>
          </w:p>
        </w:tc>
      </w:tr>
    </w:tbl>
    <w:p>
      <w:pPr>
        <w:rPr>
          <w:color w:val="auto"/>
        </w:rPr>
      </w:pPr>
    </w:p>
    <w:tbl>
      <w:tblPr>
        <w:tblStyle w:val="5"/>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color w:val="auto"/>
                <w:spacing w:val="-12"/>
                <w:kern w:val="0"/>
                <w:sz w:val="18"/>
                <w:szCs w:val="18"/>
              </w:rPr>
            </w:pPr>
            <w:r>
              <w:rPr>
                <w:rFonts w:hint="eastAsia" w:ascii="仿宋_GB2312" w:hAnsi="宋体" w:eastAsia="仿宋_GB2312" w:cs="宋体"/>
                <w:b/>
                <w:bCs/>
                <w:color w:val="auto"/>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过  程</w:t>
            </w:r>
          </w:p>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资产管理</w:t>
            </w:r>
          </w:p>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资产管理</w:t>
            </w:r>
          </w:p>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①资产保存完整；</w:t>
            </w:r>
          </w:p>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②资产配置合理；</w:t>
            </w:r>
          </w:p>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 xml:space="preserve">③资产处置规范； </w:t>
            </w:r>
          </w:p>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④资产账务管理合规，帐实相符；</w:t>
            </w:r>
          </w:p>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⑤资产有偿使用及处置收入及时足额上缴；</w:t>
            </w:r>
          </w:p>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4</w:t>
            </w:r>
          </w:p>
        </w:tc>
        <w:tc>
          <w:tcPr>
            <w:tcW w:w="1085"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color w:val="auto"/>
                <w:kern w:val="0"/>
                <w:sz w:val="18"/>
                <w:szCs w:val="18"/>
              </w:rPr>
            </w:pP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固定资产</w:t>
            </w:r>
          </w:p>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利用率</w:t>
            </w:r>
          </w:p>
        </w:tc>
        <w:tc>
          <w:tcPr>
            <w:tcW w:w="4190"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3</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3</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color w:val="auto"/>
                <w:kern w:val="0"/>
                <w:sz w:val="18"/>
                <w:szCs w:val="18"/>
              </w:rPr>
            </w:pPr>
          </w:p>
        </w:tc>
      </w:tr>
      <w:tr>
        <w:tblPrEx>
          <w:tblCellMar>
            <w:top w:w="0" w:type="dxa"/>
            <w:left w:w="108" w:type="dxa"/>
            <w:bottom w:w="0" w:type="dxa"/>
            <w:right w:w="108" w:type="dxa"/>
          </w:tblCellMar>
        </w:tblPrEx>
        <w:trPr>
          <w:trHeight w:val="976" w:hRule="atLeast"/>
          <w:jc w:val="center"/>
        </w:trPr>
        <w:tc>
          <w:tcPr>
            <w:tcW w:w="980"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产  出（25分）</w:t>
            </w:r>
          </w:p>
        </w:tc>
        <w:tc>
          <w:tcPr>
            <w:tcW w:w="943"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职责履行</w:t>
            </w:r>
          </w:p>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实施“三高四新”战略目标任务完成情况</w:t>
            </w:r>
          </w:p>
        </w:tc>
        <w:tc>
          <w:tcPr>
            <w:tcW w:w="4190"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围绕部门和单位职责、年度重点工作任务，衡量评价部门和单位整体及核心业务实施效果</w:t>
            </w:r>
          </w:p>
          <w:p>
            <w:pPr>
              <w:widowControl/>
              <w:spacing w:line="240" w:lineRule="exact"/>
              <w:jc w:val="left"/>
              <w:rPr>
                <w:rFonts w:ascii="仿宋_GB2312" w:hAnsi="宋体" w:eastAsia="仿宋_GB2312" w:cs="宋体"/>
                <w:color w:val="auto"/>
                <w:kern w:val="0"/>
                <w:sz w:val="18"/>
                <w:szCs w:val="18"/>
              </w:rPr>
            </w:pPr>
          </w:p>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8</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8</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color w:val="auto"/>
                <w:kern w:val="0"/>
                <w:sz w:val="18"/>
                <w:szCs w:val="18"/>
              </w:rPr>
            </w:pPr>
          </w:p>
        </w:tc>
      </w:tr>
      <w:tr>
        <w:tblPrEx>
          <w:tblCellMar>
            <w:top w:w="0" w:type="dxa"/>
            <w:left w:w="108" w:type="dxa"/>
            <w:bottom w:w="0" w:type="dxa"/>
            <w:right w:w="108" w:type="dxa"/>
          </w:tblCellMar>
        </w:tblPrEx>
        <w:trPr>
          <w:trHeight w:val="94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5</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color w:val="auto"/>
                <w:kern w:val="0"/>
                <w:sz w:val="18"/>
                <w:szCs w:val="18"/>
              </w:rPr>
            </w:pPr>
          </w:p>
        </w:tc>
      </w:tr>
      <w:tr>
        <w:tblPrEx>
          <w:tblCellMar>
            <w:top w:w="0" w:type="dxa"/>
            <w:left w:w="108" w:type="dxa"/>
            <w:bottom w:w="0" w:type="dxa"/>
            <w:right w:w="108" w:type="dxa"/>
          </w:tblCellMar>
        </w:tblPrEx>
        <w:trPr>
          <w:trHeight w:val="63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color w:val="auto"/>
                <w:kern w:val="0"/>
                <w:sz w:val="18"/>
                <w:szCs w:val="18"/>
              </w:rPr>
            </w:pPr>
          </w:p>
        </w:tc>
      </w:tr>
      <w:tr>
        <w:tblPrEx>
          <w:tblCellMar>
            <w:top w:w="0" w:type="dxa"/>
            <w:left w:w="108" w:type="dxa"/>
            <w:bottom w:w="0" w:type="dxa"/>
            <w:right w:w="108" w:type="dxa"/>
          </w:tblCellMar>
        </w:tblPrEx>
        <w:trPr>
          <w:trHeight w:val="860"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color w:val="auto"/>
                <w:kern w:val="0"/>
                <w:sz w:val="18"/>
                <w:szCs w:val="18"/>
              </w:rPr>
            </w:pPr>
          </w:p>
        </w:tc>
      </w:tr>
      <w:tr>
        <w:tblPrEx>
          <w:tblCellMar>
            <w:top w:w="0" w:type="dxa"/>
            <w:left w:w="108" w:type="dxa"/>
            <w:bottom w:w="0" w:type="dxa"/>
            <w:right w:w="108" w:type="dxa"/>
          </w:tblCellMar>
        </w:tblPrEx>
        <w:trPr>
          <w:trHeight w:val="717"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color w:val="auto"/>
                <w:kern w:val="0"/>
                <w:sz w:val="18"/>
                <w:szCs w:val="18"/>
              </w:rPr>
            </w:pPr>
          </w:p>
        </w:tc>
      </w:tr>
      <w:tr>
        <w:tblPrEx>
          <w:tblCellMar>
            <w:top w:w="0" w:type="dxa"/>
            <w:left w:w="108" w:type="dxa"/>
            <w:bottom w:w="0" w:type="dxa"/>
            <w:right w:w="108" w:type="dxa"/>
          </w:tblCellMar>
        </w:tblPrEx>
        <w:trPr>
          <w:trHeight w:val="518"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效  果</w:t>
            </w:r>
          </w:p>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履职效益</w:t>
            </w:r>
          </w:p>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（20分）</w:t>
            </w: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15</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color w:val="auto"/>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color w:val="auto"/>
                <w:kern w:val="0"/>
                <w:sz w:val="18"/>
                <w:szCs w:val="18"/>
              </w:rPr>
            </w:pPr>
          </w:p>
        </w:tc>
      </w:tr>
      <w:tr>
        <w:tblPrEx>
          <w:tblCellMar>
            <w:top w:w="0" w:type="dxa"/>
            <w:left w:w="108" w:type="dxa"/>
            <w:bottom w:w="0" w:type="dxa"/>
            <w:right w:w="108" w:type="dxa"/>
          </w:tblCellMar>
        </w:tblPrEx>
        <w:trPr>
          <w:trHeight w:val="580"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color w:val="auto"/>
                <w:kern w:val="0"/>
                <w:sz w:val="18"/>
                <w:szCs w:val="18"/>
              </w:rPr>
            </w:pPr>
          </w:p>
        </w:tc>
      </w:tr>
      <w:tr>
        <w:tblPrEx>
          <w:tblCellMar>
            <w:top w:w="0" w:type="dxa"/>
            <w:left w:w="108" w:type="dxa"/>
            <w:bottom w:w="0" w:type="dxa"/>
            <w:right w:w="108" w:type="dxa"/>
          </w:tblCellMar>
        </w:tblPrEx>
        <w:trPr>
          <w:trHeight w:val="1051" w:hRule="atLeast"/>
          <w:jc w:val="center"/>
        </w:trPr>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auto"/>
                <w:kern w:val="0"/>
                <w:sz w:val="18"/>
                <w:szCs w:val="18"/>
              </w:rPr>
            </w:pPr>
          </w:p>
        </w:tc>
        <w:tc>
          <w:tcPr>
            <w:tcW w:w="943"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auto"/>
                <w:kern w:val="0"/>
                <w:sz w:val="18"/>
                <w:szCs w:val="18"/>
              </w:rPr>
            </w:pPr>
          </w:p>
        </w:tc>
        <w:tc>
          <w:tcPr>
            <w:tcW w:w="139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社会公众或服务对象满意度</w:t>
            </w:r>
          </w:p>
        </w:tc>
        <w:tc>
          <w:tcPr>
            <w:tcW w:w="419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95%（含）以上计5分；</w:t>
            </w:r>
          </w:p>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85%（含）-95%，计3分；</w:t>
            </w:r>
          </w:p>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75%（含）-85%，计1分；</w:t>
            </w:r>
          </w:p>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低于75%计0分。</w:t>
            </w:r>
          </w:p>
        </w:tc>
        <w:tc>
          <w:tcPr>
            <w:tcW w:w="62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5</w:t>
            </w:r>
          </w:p>
        </w:tc>
        <w:tc>
          <w:tcPr>
            <w:tcW w:w="72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5</w:t>
            </w:r>
          </w:p>
        </w:tc>
        <w:tc>
          <w:tcPr>
            <w:tcW w:w="108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auto"/>
                <w:kern w:val="0"/>
                <w:sz w:val="18"/>
                <w:szCs w:val="18"/>
              </w:rPr>
            </w:pPr>
          </w:p>
        </w:tc>
      </w:tr>
      <w:tr>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总 分</w:t>
            </w:r>
          </w:p>
        </w:tc>
        <w:tc>
          <w:tcPr>
            <w:tcW w:w="94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color w:val="auto"/>
                <w:kern w:val="0"/>
                <w:sz w:val="18"/>
                <w:szCs w:val="18"/>
              </w:rPr>
            </w:pPr>
          </w:p>
        </w:tc>
        <w:tc>
          <w:tcPr>
            <w:tcW w:w="139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color w:val="auto"/>
                <w:kern w:val="0"/>
                <w:sz w:val="18"/>
                <w:szCs w:val="18"/>
              </w:rPr>
            </w:pPr>
          </w:p>
        </w:tc>
        <w:tc>
          <w:tcPr>
            <w:tcW w:w="419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color w:val="auto"/>
                <w:kern w:val="0"/>
                <w:sz w:val="18"/>
                <w:szCs w:val="18"/>
              </w:rPr>
            </w:pPr>
          </w:p>
        </w:tc>
        <w:tc>
          <w:tcPr>
            <w:tcW w:w="62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color w:val="auto"/>
                <w:spacing w:val="-8"/>
                <w:kern w:val="0"/>
                <w:sz w:val="18"/>
                <w:szCs w:val="18"/>
              </w:rPr>
            </w:pPr>
            <w:r>
              <w:rPr>
                <w:rFonts w:hint="eastAsia" w:ascii="仿宋_GB2312" w:hAnsi="宋体" w:eastAsia="仿宋_GB2312" w:cs="宋体"/>
                <w:b/>
                <w:bCs/>
                <w:color w:val="auto"/>
                <w:spacing w:val="-8"/>
                <w:kern w:val="0"/>
                <w:sz w:val="18"/>
                <w:szCs w:val="18"/>
              </w:rPr>
              <w:t>100</w:t>
            </w:r>
          </w:p>
        </w:tc>
        <w:tc>
          <w:tcPr>
            <w:tcW w:w="72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96</w:t>
            </w:r>
          </w:p>
        </w:tc>
        <w:tc>
          <w:tcPr>
            <w:tcW w:w="108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color w:val="auto"/>
                <w:kern w:val="0"/>
                <w:sz w:val="18"/>
                <w:szCs w:val="18"/>
              </w:rPr>
            </w:pPr>
          </w:p>
        </w:tc>
      </w:tr>
    </w:tbl>
    <w:p>
      <w:pPr>
        <w:adjustRightInd w:val="0"/>
        <w:snapToGrid w:val="0"/>
        <w:spacing w:beforeLines="50"/>
        <w:contextualSpacing/>
        <w:rPr>
          <w:rFonts w:ascii="仿宋_GB2312" w:hAnsi="宋体" w:eastAsia="仿宋_GB2312" w:cs="宋体"/>
          <w:color w:val="auto"/>
          <w:kern w:val="0"/>
          <w:szCs w:val="21"/>
        </w:rPr>
      </w:pPr>
      <w:r>
        <w:rPr>
          <w:rFonts w:hint="eastAsia" w:ascii="仿宋_GB2312" w:hAnsi="宋体" w:eastAsia="仿宋_GB2312" w:cs="宋体"/>
          <w:color w:val="auto"/>
          <w:kern w:val="0"/>
          <w:szCs w:val="21"/>
        </w:rPr>
        <w:t>备注：部门（单位）可根据本部门实际情况，对评价指标体系</w:t>
      </w:r>
      <w:r>
        <w:rPr>
          <w:rFonts w:hint="eastAsia" w:ascii="仿宋_GB2312" w:eastAsia="仿宋_GB2312"/>
          <w:color w:val="auto"/>
        </w:rPr>
        <w:t>进一步完善、量化、细化个性指标，形成本部门的指标体系。</w:t>
      </w: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sz w:val="24"/>
        <w:szCs w:val="24"/>
      </w:rPr>
    </w:pPr>
    <w:r>
      <w:rPr>
        <w:rStyle w:val="7"/>
        <w:rFonts w:hint="eastAsia"/>
        <w:sz w:val="24"/>
        <w:szCs w:val="24"/>
      </w:rPr>
      <w:t xml:space="preserve">— </w:t>
    </w: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1</w:t>
    </w:r>
    <w:r>
      <w:rPr>
        <w:sz w:val="24"/>
        <w:szCs w:val="24"/>
      </w:rPr>
      <w:fldChar w:fldCharType="end"/>
    </w:r>
    <w:r>
      <w:rPr>
        <w:rStyle w:val="7"/>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sz w:val="24"/>
        <w:szCs w:val="24"/>
      </w:rPr>
    </w:pPr>
    <w:r>
      <w:rPr>
        <w:rStyle w:val="7"/>
        <w:rFonts w:hint="eastAsia"/>
        <w:sz w:val="24"/>
        <w:szCs w:val="24"/>
      </w:rPr>
      <w:t xml:space="preserve">— </w:t>
    </w: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2</w:t>
    </w:r>
    <w:r>
      <w:rPr>
        <w:sz w:val="24"/>
        <w:szCs w:val="24"/>
      </w:rPr>
      <w:fldChar w:fldCharType="end"/>
    </w:r>
    <w:r>
      <w:rPr>
        <w:rStyle w:val="7"/>
        <w:rFonts w:hint="eastAsia"/>
        <w:sz w:val="24"/>
        <w:szCs w:val="24"/>
      </w:rPr>
      <w:t xml:space="preserve"> —</w:t>
    </w:r>
  </w:p>
  <w:p>
    <w:pPr>
      <w:pStyle w:val="3"/>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rPr>
    </w:pPr>
    <w:r>
      <w:fldChar w:fldCharType="begin"/>
    </w:r>
    <w:r>
      <w:rPr>
        <w:rStyle w:val="7"/>
      </w:rPr>
      <w:instrText xml:space="preserve">PAGE  </w:instrText>
    </w:r>
    <w:r>
      <w:fldChar w:fldCharType="end"/>
    </w:r>
  </w:p>
  <w:p>
    <w:pPr>
      <w:pStyle w:val="3"/>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E1Yzc3NWZkOWE5MzZiM2Y1MzJjMzEzNzFmZDc4OTQifQ=="/>
  </w:docVars>
  <w:rsids>
    <w:rsidRoot w:val="2CE55C20"/>
    <w:rsid w:val="000130E4"/>
    <w:rsid w:val="00072CFA"/>
    <w:rsid w:val="000C1D32"/>
    <w:rsid w:val="000C54E9"/>
    <w:rsid w:val="00126815"/>
    <w:rsid w:val="00127C55"/>
    <w:rsid w:val="001D516B"/>
    <w:rsid w:val="001D6DB9"/>
    <w:rsid w:val="00232502"/>
    <w:rsid w:val="00236C25"/>
    <w:rsid w:val="002C5263"/>
    <w:rsid w:val="002C6D03"/>
    <w:rsid w:val="002F5C62"/>
    <w:rsid w:val="00311646"/>
    <w:rsid w:val="00397D48"/>
    <w:rsid w:val="003F4085"/>
    <w:rsid w:val="00476BE8"/>
    <w:rsid w:val="004D3D4A"/>
    <w:rsid w:val="00533C04"/>
    <w:rsid w:val="00556181"/>
    <w:rsid w:val="0057666C"/>
    <w:rsid w:val="005963DC"/>
    <w:rsid w:val="005C0337"/>
    <w:rsid w:val="005E5B2E"/>
    <w:rsid w:val="00610432"/>
    <w:rsid w:val="00664AF6"/>
    <w:rsid w:val="006A1432"/>
    <w:rsid w:val="0070251B"/>
    <w:rsid w:val="00790A6B"/>
    <w:rsid w:val="00792218"/>
    <w:rsid w:val="007B2063"/>
    <w:rsid w:val="007C3874"/>
    <w:rsid w:val="007E20B0"/>
    <w:rsid w:val="00895833"/>
    <w:rsid w:val="00925404"/>
    <w:rsid w:val="009B584E"/>
    <w:rsid w:val="009F2555"/>
    <w:rsid w:val="00AA2705"/>
    <w:rsid w:val="00B00F2B"/>
    <w:rsid w:val="00B373CA"/>
    <w:rsid w:val="00BF74F8"/>
    <w:rsid w:val="00C06EE5"/>
    <w:rsid w:val="00C72CC4"/>
    <w:rsid w:val="00C7661D"/>
    <w:rsid w:val="00CB0BD2"/>
    <w:rsid w:val="00CC2826"/>
    <w:rsid w:val="00CD1E5D"/>
    <w:rsid w:val="00D06579"/>
    <w:rsid w:val="00D36DD4"/>
    <w:rsid w:val="00D41914"/>
    <w:rsid w:val="00D97928"/>
    <w:rsid w:val="00DC51DF"/>
    <w:rsid w:val="00E132F2"/>
    <w:rsid w:val="00E95E1E"/>
    <w:rsid w:val="00F135D1"/>
    <w:rsid w:val="00F812B4"/>
    <w:rsid w:val="00F95DB5"/>
    <w:rsid w:val="0396194E"/>
    <w:rsid w:val="05F30A80"/>
    <w:rsid w:val="083749E7"/>
    <w:rsid w:val="0C973CEA"/>
    <w:rsid w:val="0CB679B8"/>
    <w:rsid w:val="0DE528CD"/>
    <w:rsid w:val="11852FC0"/>
    <w:rsid w:val="11FB44A3"/>
    <w:rsid w:val="12645465"/>
    <w:rsid w:val="1336279F"/>
    <w:rsid w:val="16075890"/>
    <w:rsid w:val="18725427"/>
    <w:rsid w:val="19C2074B"/>
    <w:rsid w:val="1B470F16"/>
    <w:rsid w:val="1B97283E"/>
    <w:rsid w:val="1E5D0122"/>
    <w:rsid w:val="254E2FC7"/>
    <w:rsid w:val="25B607B7"/>
    <w:rsid w:val="263C173A"/>
    <w:rsid w:val="26563474"/>
    <w:rsid w:val="289D055E"/>
    <w:rsid w:val="2B5728D9"/>
    <w:rsid w:val="2C9F197B"/>
    <w:rsid w:val="2CA33441"/>
    <w:rsid w:val="2CAD42BA"/>
    <w:rsid w:val="2CE55C20"/>
    <w:rsid w:val="2D764F25"/>
    <w:rsid w:val="2F287302"/>
    <w:rsid w:val="30426D13"/>
    <w:rsid w:val="310F38E6"/>
    <w:rsid w:val="38010FF9"/>
    <w:rsid w:val="38527D74"/>
    <w:rsid w:val="3A43255A"/>
    <w:rsid w:val="3D6201A1"/>
    <w:rsid w:val="3E2C236F"/>
    <w:rsid w:val="3EC46785"/>
    <w:rsid w:val="3F063653"/>
    <w:rsid w:val="3F8A6044"/>
    <w:rsid w:val="42A95646"/>
    <w:rsid w:val="43A702D9"/>
    <w:rsid w:val="44592EA4"/>
    <w:rsid w:val="477245B4"/>
    <w:rsid w:val="49617FA5"/>
    <w:rsid w:val="49D01152"/>
    <w:rsid w:val="4AD3494D"/>
    <w:rsid w:val="4D171D42"/>
    <w:rsid w:val="4E4F0BB0"/>
    <w:rsid w:val="4FDA0B53"/>
    <w:rsid w:val="5B5B6CE5"/>
    <w:rsid w:val="5BE95901"/>
    <w:rsid w:val="6A0A15CD"/>
    <w:rsid w:val="6C154B3B"/>
    <w:rsid w:val="6D452F22"/>
    <w:rsid w:val="6DF352BD"/>
    <w:rsid w:val="705E3E6D"/>
    <w:rsid w:val="71C1048A"/>
    <w:rsid w:val="7396188C"/>
    <w:rsid w:val="73F35F5B"/>
    <w:rsid w:val="79C04582"/>
    <w:rsid w:val="7D1F0DA2"/>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Indent 2"/>
    <w:basedOn w:val="1"/>
    <w:unhideWhenUsed/>
    <w:qFormat/>
    <w:uiPriority w:val="0"/>
    <w:pPr>
      <w:ind w:firstLine="588" w:firstLineChars="200"/>
    </w:pPr>
    <w:rPr>
      <w:rFonts w:ascii="仿宋_GB2312" w:hAnsi="Calibri" w:eastAsia="仿宋_GB2312"/>
      <w:sz w:val="32"/>
    </w:rPr>
  </w:style>
  <w:style w:type="paragraph" w:styleId="3">
    <w:name w:val="footer"/>
    <w:basedOn w:val="1"/>
    <w:qFormat/>
    <w:uiPriority w:val="0"/>
    <w:pPr>
      <w:tabs>
        <w:tab w:val="center" w:pos="4153"/>
        <w:tab w:val="right" w:pos="8306"/>
      </w:tabs>
      <w:snapToGrid w:val="0"/>
      <w:jc w:val="left"/>
    </w:pPr>
    <w:rPr>
      <w:kern w:val="0"/>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7">
    <w:name w:val="page number"/>
    <w:qFormat/>
    <w:uiPriority w:val="0"/>
  </w:style>
  <w:style w:type="character" w:customStyle="1" w:styleId="8">
    <w:name w:val="标题 3 Char Char"/>
    <w:qFormat/>
    <w:uiPriority w:val="0"/>
    <w:rPr>
      <w:rFonts w:eastAsia="楷体_GB2312"/>
      <w:b/>
      <w:kern w:val="2"/>
      <w:sz w:val="32"/>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11</Pages>
  <Words>4367</Words>
  <Characters>4609</Characters>
  <Lines>40</Lines>
  <Paragraphs>11</Paragraphs>
  <TotalTime>0</TotalTime>
  <ScaleCrop>false</ScaleCrop>
  <LinksUpToDate>false</LinksUpToDate>
  <CharactersWithSpaces>5121</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Administrator</cp:lastModifiedBy>
  <cp:lastPrinted>2022-10-11T17:54:00Z</cp:lastPrinted>
  <dcterms:modified xsi:type="dcterms:W3CDTF">2022-10-14T08:30:02Z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89C7800DD13A476CBD0A2F9BB39C8FAD</vt:lpwstr>
  </property>
</Properties>
</file>