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宋体" w:hAnsi="宋体" w:cs="黑体"/>
          <w:bCs/>
          <w:sz w:val="32"/>
          <w:szCs w:val="32"/>
        </w:rPr>
      </w:pPr>
      <w:r>
        <w:rPr>
          <w:rFonts w:hint="eastAsia" w:ascii="宋体" w:hAnsi="宋体" w:cs="黑体"/>
          <w:bCs/>
          <w:sz w:val="32"/>
          <w:szCs w:val="32"/>
        </w:rPr>
        <w:t>附件2-1</w:t>
      </w:r>
    </w:p>
    <w:p>
      <w:pPr>
        <w:spacing w:line="348" w:lineRule="auto"/>
        <w:jc w:val="center"/>
        <w:rPr>
          <w:rFonts w:ascii="宋体" w:hAnsi="宋体"/>
          <w:bCs/>
          <w:sz w:val="42"/>
          <w:szCs w:val="42"/>
        </w:rPr>
      </w:pPr>
    </w:p>
    <w:p>
      <w:pPr>
        <w:spacing w:line="800" w:lineRule="exact"/>
        <w:jc w:val="center"/>
        <w:rPr>
          <w:rFonts w:ascii="宋体" w:hAnsi="宋体"/>
          <w:bCs/>
          <w:sz w:val="46"/>
          <w:szCs w:val="46"/>
        </w:rPr>
      </w:pPr>
      <w:r>
        <w:rPr>
          <w:rFonts w:hint="eastAsia" w:ascii="宋体" w:hAnsi="宋体"/>
          <w:bCs/>
          <w:sz w:val="46"/>
          <w:szCs w:val="46"/>
        </w:rPr>
        <w:t>华容县2021年度部门整体支出</w:t>
      </w:r>
    </w:p>
    <w:p>
      <w:pPr>
        <w:spacing w:line="800" w:lineRule="exact"/>
        <w:jc w:val="center"/>
        <w:rPr>
          <w:rFonts w:ascii="宋体" w:hAnsi="宋体"/>
          <w:bCs/>
          <w:sz w:val="46"/>
          <w:szCs w:val="46"/>
        </w:rPr>
      </w:pPr>
      <w:r>
        <w:rPr>
          <w:rFonts w:hint="eastAsia" w:ascii="宋体" w:hAnsi="宋体"/>
          <w:bCs/>
          <w:sz w:val="46"/>
          <w:szCs w:val="46"/>
        </w:rPr>
        <w:t>绩效评价自评报告</w:t>
      </w:r>
    </w:p>
    <w:p>
      <w:pPr>
        <w:rPr>
          <w:rFonts w:ascii="宋体" w:hAnsi="宋体"/>
          <w:b/>
          <w:sz w:val="32"/>
        </w:rPr>
      </w:pPr>
    </w:p>
    <w:p>
      <w:pPr>
        <w:rPr>
          <w:rFonts w:ascii="宋体" w:hAnsi="宋体"/>
          <w:b/>
          <w:sz w:val="32"/>
        </w:rPr>
      </w:pPr>
    </w:p>
    <w:p>
      <w:pPr>
        <w:rPr>
          <w:rFonts w:ascii="宋体" w:hAnsi="宋体"/>
          <w:b/>
          <w:sz w:val="32"/>
        </w:rPr>
      </w:pPr>
    </w:p>
    <w:p>
      <w:pPr>
        <w:spacing w:beforeLines="50" w:line="348" w:lineRule="auto"/>
        <w:ind w:firstLine="476" w:firstLineChars="150"/>
        <w:rPr>
          <w:rFonts w:ascii="宋体" w:hAnsi="宋体"/>
          <w:sz w:val="32"/>
          <w:szCs w:val="32"/>
          <w:u w:val="single"/>
        </w:rPr>
      </w:pPr>
      <w:r>
        <w:rPr>
          <w:rFonts w:hint="eastAsia" w:ascii="宋体" w:hAnsi="宋体"/>
          <w:sz w:val="32"/>
          <w:szCs w:val="32"/>
        </w:rPr>
        <w:t>部门(单位)名称：华容县公安局</w:t>
      </w:r>
    </w:p>
    <w:p>
      <w:pPr>
        <w:spacing w:beforeLines="50" w:line="348" w:lineRule="auto"/>
        <w:ind w:firstLine="476" w:firstLineChars="150"/>
        <w:rPr>
          <w:rFonts w:ascii="宋体" w:hAnsi="宋体"/>
          <w:spacing w:val="20"/>
          <w:sz w:val="32"/>
          <w:szCs w:val="32"/>
        </w:rPr>
      </w:pPr>
      <w:r>
        <w:rPr>
          <w:rFonts w:hint="eastAsia" w:ascii="宋体" w:hAnsi="宋体"/>
          <w:sz w:val="32"/>
          <w:szCs w:val="32"/>
        </w:rPr>
        <w:t>预</w:t>
      </w:r>
      <w:r>
        <w:rPr>
          <w:rFonts w:hint="eastAsia" w:ascii="宋体" w:hAnsi="宋体"/>
          <w:spacing w:val="30"/>
          <w:sz w:val="32"/>
          <w:szCs w:val="32"/>
        </w:rPr>
        <w:t xml:space="preserve"> 算 编 码：128001</w:t>
      </w:r>
    </w:p>
    <w:p>
      <w:pPr>
        <w:spacing w:beforeLines="50" w:line="348" w:lineRule="auto"/>
        <w:ind w:firstLine="476" w:firstLineChars="150"/>
        <w:rPr>
          <w:rFonts w:ascii="宋体" w:hAnsi="宋体"/>
          <w:sz w:val="32"/>
          <w:szCs w:val="32"/>
        </w:rPr>
      </w:pPr>
      <w:r>
        <w:rPr>
          <w:rFonts w:hint="eastAsia" w:ascii="宋体" w:hAnsi="宋体"/>
          <w:sz w:val="32"/>
          <w:szCs w:val="32"/>
        </w:rPr>
        <w:t>评价方式：部门（单位）绩效自评</w:t>
      </w:r>
    </w:p>
    <w:p>
      <w:pPr>
        <w:spacing w:beforeLines="50" w:line="348" w:lineRule="auto"/>
        <w:ind w:firstLine="476" w:firstLineChars="150"/>
        <w:rPr>
          <w:rFonts w:ascii="宋体" w:hAnsi="宋体"/>
          <w:sz w:val="32"/>
          <w:szCs w:val="32"/>
        </w:rPr>
      </w:pPr>
      <w:r>
        <w:rPr>
          <w:rFonts w:hint="eastAsia" w:ascii="宋体" w:hAnsi="宋体"/>
          <w:sz w:val="32"/>
          <w:szCs w:val="32"/>
        </w:rPr>
        <w:t xml:space="preserve">评价机构：部门（单位）评价组   </w:t>
      </w:r>
    </w:p>
    <w:p>
      <w:pPr>
        <w:spacing w:line="720" w:lineRule="exact"/>
        <w:ind w:firstLine="2188" w:firstLineChars="690"/>
        <w:rPr>
          <w:rFonts w:ascii="宋体" w:hAnsi="宋体"/>
          <w:sz w:val="32"/>
        </w:rPr>
      </w:pPr>
    </w:p>
    <w:p>
      <w:pPr>
        <w:spacing w:line="720" w:lineRule="exact"/>
        <w:ind w:firstLine="2188" w:firstLineChars="690"/>
        <w:rPr>
          <w:rFonts w:ascii="宋体" w:hAnsi="宋体"/>
          <w:sz w:val="32"/>
        </w:rPr>
      </w:pPr>
    </w:p>
    <w:p>
      <w:pPr>
        <w:spacing w:line="720" w:lineRule="exact"/>
        <w:ind w:firstLine="2188" w:firstLineChars="690"/>
        <w:rPr>
          <w:rFonts w:ascii="宋体" w:hAnsi="宋体"/>
          <w:sz w:val="32"/>
        </w:rPr>
      </w:pPr>
    </w:p>
    <w:p>
      <w:pPr>
        <w:spacing w:line="348" w:lineRule="auto"/>
        <w:jc w:val="center"/>
        <w:rPr>
          <w:rFonts w:ascii="宋体" w:hAnsi="宋体"/>
          <w:sz w:val="32"/>
        </w:rPr>
      </w:pPr>
      <w:r>
        <w:rPr>
          <w:rFonts w:hint="eastAsia" w:ascii="宋体" w:hAnsi="宋体"/>
          <w:sz w:val="32"/>
        </w:rPr>
        <w:t>报告日期：2022年5月26日</w:t>
      </w:r>
    </w:p>
    <w:p>
      <w:pPr>
        <w:autoSpaceDN w:val="0"/>
        <w:jc w:val="center"/>
        <w:textAlignment w:val="center"/>
        <w:rPr>
          <w:rFonts w:ascii="宋体" w:hAnsi="宋体"/>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ascii="宋体" w:hAnsi="宋体"/>
          <w:sz w:val="32"/>
        </w:rPr>
        <w:t>华容县财政</w:t>
      </w:r>
      <w:r>
        <w:rPr>
          <w:rFonts w:hint="eastAsia" w:ascii="宋体" w:hAnsi="宋体"/>
          <w:sz w:val="32"/>
          <w:szCs w:val="32"/>
        </w:rPr>
        <w:t>局（制）</w:t>
      </w: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3"/>
        <w:gridCol w:w="1134"/>
        <w:gridCol w:w="198"/>
        <w:gridCol w:w="795"/>
        <w:gridCol w:w="425"/>
        <w:gridCol w:w="1339"/>
        <w:gridCol w:w="226"/>
        <w:gridCol w:w="455"/>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联系人</w:t>
            </w:r>
          </w:p>
        </w:tc>
        <w:tc>
          <w:tcPr>
            <w:tcW w:w="3276" w:type="dxa"/>
            <w:gridSpan w:val="6"/>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olor w:val="000000"/>
                <w:sz w:val="24"/>
              </w:rPr>
              <w:t>刘崇诚</w:t>
            </w:r>
          </w:p>
        </w:tc>
        <w:tc>
          <w:tcPr>
            <w:tcW w:w="1764" w:type="dxa"/>
            <w:gridSpan w:val="2"/>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联络电话</w:t>
            </w:r>
          </w:p>
        </w:tc>
        <w:tc>
          <w:tcPr>
            <w:tcW w:w="3106" w:type="dxa"/>
            <w:gridSpan w:val="7"/>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olor w:val="000000"/>
                <w:sz w:val="24"/>
              </w:rPr>
              <w:t>15773002661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人员编制</w:t>
            </w:r>
          </w:p>
        </w:tc>
        <w:tc>
          <w:tcPr>
            <w:tcW w:w="3276" w:type="dxa"/>
            <w:gridSpan w:val="6"/>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316</w:t>
            </w:r>
          </w:p>
        </w:tc>
        <w:tc>
          <w:tcPr>
            <w:tcW w:w="1764" w:type="dxa"/>
            <w:gridSpan w:val="2"/>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实有人数</w:t>
            </w:r>
          </w:p>
        </w:tc>
        <w:tc>
          <w:tcPr>
            <w:tcW w:w="3106" w:type="dxa"/>
            <w:gridSpan w:val="7"/>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308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359" w:hRule="atLeast"/>
          <w:jc w:val="center"/>
        </w:trPr>
        <w:tc>
          <w:tcPr>
            <w:tcW w:w="1654" w:type="dxa"/>
            <w:gridSpan w:val="2"/>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职能职责概述</w:t>
            </w:r>
          </w:p>
        </w:tc>
        <w:tc>
          <w:tcPr>
            <w:tcW w:w="8146" w:type="dxa"/>
            <w:gridSpan w:val="15"/>
            <w:noWrap/>
            <w:vAlign w:val="center"/>
          </w:tcPr>
          <w:p>
            <w:pPr>
              <w:jc w:val="left"/>
              <w:rPr>
                <w:rFonts w:ascii="宋体" w:hAnsi="宋体" w:cstheme="majorEastAsia"/>
                <w:color w:val="000000"/>
                <w:sz w:val="24"/>
              </w:rPr>
            </w:pPr>
            <w:bookmarkStart w:id="0" w:name="OLE_LINK1"/>
            <w:r>
              <w:rPr>
                <w:rFonts w:hint="eastAsia" w:ascii="宋体" w:hAnsi="宋体" w:cstheme="majorEastAsia"/>
                <w:color w:val="000000"/>
              </w:rPr>
              <w:t>公安机关是政府的重要组成部分，是国家的行政机关，同时它又担负着刑事案件的侦查任务，因而它又是国家的司法机关之一。公安机关是政府的一个职能部门，依法管理社会治安，行使国家的行政权，同时公安机关又依法侦查刑事案件，行使国家的司法权。公安机关的性质具有双重性，即既有行使性又有司法性。公安机关的职责是：1、预防、制止和侦查违法犯罪活动；2、防范、打击恐怖活动；维护社会治安秩序，制止危害社会治安秩序的行为；3、管理交通、消防、危险物品；4、管理户口、公民身份证、国籍、入境事务和外国人在中国境内居留、旅行的有关事务。</w:t>
            </w:r>
            <w:bookmarkEnd w:id="0"/>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698" w:hRule="atLeast"/>
          <w:jc w:val="center"/>
        </w:trPr>
        <w:tc>
          <w:tcPr>
            <w:tcW w:w="1654" w:type="dxa"/>
            <w:gridSpan w:val="2"/>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年度主要</w:t>
            </w:r>
          </w:p>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工作内容</w:t>
            </w:r>
          </w:p>
        </w:tc>
        <w:tc>
          <w:tcPr>
            <w:tcW w:w="8146" w:type="dxa"/>
            <w:gridSpan w:val="15"/>
            <w:noWrap/>
            <w:vAlign w:val="center"/>
          </w:tcPr>
          <w:p>
            <w:pPr>
              <w:autoSpaceDN w:val="0"/>
              <w:spacing w:line="320" w:lineRule="exact"/>
              <w:jc w:val="left"/>
              <w:textAlignment w:val="center"/>
              <w:rPr>
                <w:rFonts w:ascii="宋体" w:hAnsi="宋体" w:cs="仿宋_GB2312"/>
                <w:color w:val="000000"/>
                <w:sz w:val="24"/>
              </w:rPr>
            </w:pPr>
            <w:r>
              <w:rPr>
                <w:rFonts w:hint="eastAsia" w:ascii="宋体" w:hAnsi="宋体" w:cstheme="majorEastAsia"/>
                <w:color w:val="000000"/>
                <w:sz w:val="24"/>
              </w:rPr>
              <w:t>1、及时掌握各类情报信息，维护全县社会政治大局稳定。2、严厉打击各类违法犯罪，维护全县社会治安大局稳定。3、建立良好的社会治安防控体系。4、加强公安法制建设，提高公安法制水平。5、严格公安行政管理。6、积极推进公安队伍正规化建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836" w:hRule="atLeast"/>
          <w:jc w:val="center"/>
        </w:trPr>
        <w:tc>
          <w:tcPr>
            <w:tcW w:w="1654" w:type="dxa"/>
            <w:gridSpan w:val="2"/>
            <w:noWrap/>
            <w:vAlign w:val="center"/>
          </w:tcPr>
          <w:p>
            <w:pPr>
              <w:autoSpaceDN w:val="0"/>
              <w:spacing w:line="320" w:lineRule="exact"/>
              <w:jc w:val="center"/>
              <w:textAlignment w:val="center"/>
              <w:rPr>
                <w:rFonts w:ascii="宋体" w:hAnsi="宋体" w:cs="仿宋_GB2312"/>
                <w:color w:val="000000"/>
                <w:spacing w:val="-6"/>
                <w:sz w:val="24"/>
              </w:rPr>
            </w:pPr>
            <w:r>
              <w:rPr>
                <w:rFonts w:hint="eastAsia" w:ascii="宋体" w:hAnsi="宋体" w:cs="仿宋_GB2312"/>
                <w:color w:val="000000"/>
                <w:spacing w:val="-6"/>
                <w:sz w:val="24"/>
              </w:rPr>
              <w:t>年度部门（单位）总体运行情况及取得的成绩</w:t>
            </w:r>
          </w:p>
        </w:tc>
        <w:tc>
          <w:tcPr>
            <w:tcW w:w="8146" w:type="dxa"/>
            <w:gridSpan w:val="15"/>
            <w:noWrap/>
            <w:vAlign w:val="center"/>
          </w:tcPr>
          <w:p>
            <w:pPr>
              <w:autoSpaceDN w:val="0"/>
              <w:spacing w:line="320" w:lineRule="exact"/>
              <w:jc w:val="left"/>
              <w:textAlignment w:val="center"/>
              <w:rPr>
                <w:rFonts w:ascii="宋体" w:hAnsi="宋体" w:cs="仿宋_GB2312"/>
                <w:color w:val="000000"/>
                <w:sz w:val="24"/>
              </w:rPr>
            </w:pPr>
            <w:r>
              <w:rPr>
                <w:rFonts w:hint="eastAsia" w:ascii="宋体" w:hAnsi="宋体"/>
                <w:color w:val="000000"/>
                <w:sz w:val="24"/>
              </w:rPr>
              <w:t>2021年，我们深入学习贯彻全国全省公安工作会议精神，全面打赢安保维稳攻坚战，全力推进扫黑除恶等一系列专项行动，全面夯实防范化解重大安全风险的根基，全面加强公安队伍建设，各项工作取得了令人瞩目的成绩。2021年</w:t>
            </w:r>
            <w:r>
              <w:rPr>
                <w:rFonts w:hint="eastAsia" w:ascii="宋体" w:hAnsi="宋体" w:cs="仿宋_GB2312"/>
                <w:bCs/>
                <w:sz w:val="24"/>
              </w:rPr>
              <w:t>县局荣获全市公安机关绩效评估成绩突出单位和县委县政府综合绩效考评突出贡献单位</w:t>
            </w:r>
            <w:r>
              <w:rPr>
                <w:rFonts w:hint="eastAsia" w:ascii="宋体" w:hAnsi="宋体"/>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收入合计</w:t>
            </w:r>
          </w:p>
        </w:tc>
        <w:tc>
          <w:tcPr>
            <w:tcW w:w="7020" w:type="dxa"/>
            <w:gridSpan w:val="13"/>
            <w:tcBorders>
              <w:left w:val="single" w:color="auto" w:sz="4" w:space="0"/>
            </w:tcBorders>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ign w:val="center"/>
          </w:tcPr>
          <w:p>
            <w:pPr>
              <w:autoSpaceDN w:val="0"/>
              <w:spacing w:line="320" w:lineRule="exact"/>
              <w:jc w:val="center"/>
              <w:textAlignment w:val="center"/>
              <w:rPr>
                <w:rFonts w:ascii="宋体" w:hAnsi="宋体" w:cs="仿宋_GB2312"/>
                <w:color w:val="000000"/>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宋体" w:hAnsi="宋体" w:cs="仿宋_GB2312"/>
                <w:color w:val="000000"/>
                <w:sz w:val="24"/>
              </w:rPr>
            </w:pPr>
          </w:p>
        </w:tc>
        <w:tc>
          <w:tcPr>
            <w:tcW w:w="1355" w:type="dxa"/>
            <w:gridSpan w:val="3"/>
            <w:tcBorders>
              <w:left w:val="single" w:color="auto" w:sz="4" w:space="0"/>
            </w:tcBorders>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上年结转</w:t>
            </w:r>
          </w:p>
        </w:tc>
        <w:tc>
          <w:tcPr>
            <w:tcW w:w="795" w:type="dxa"/>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公共财</w:t>
            </w:r>
          </w:p>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政拨款</w:t>
            </w:r>
          </w:p>
        </w:tc>
        <w:tc>
          <w:tcPr>
            <w:tcW w:w="1990" w:type="dxa"/>
            <w:gridSpan w:val="3"/>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政府基金拨款</w:t>
            </w:r>
          </w:p>
        </w:tc>
        <w:tc>
          <w:tcPr>
            <w:tcW w:w="1800" w:type="dxa"/>
            <w:gridSpan w:val="3"/>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纳入专户管理的非税收入拨款</w:t>
            </w:r>
          </w:p>
        </w:tc>
        <w:tc>
          <w:tcPr>
            <w:tcW w:w="1080" w:type="dxa"/>
            <w:gridSpan w:val="3"/>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其他</w:t>
            </w:r>
          </w:p>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sz w:val="24"/>
              </w:rPr>
              <w:t>华容县公安局本级</w:t>
            </w:r>
          </w:p>
        </w:tc>
        <w:tc>
          <w:tcPr>
            <w:tcW w:w="1080" w:type="dxa"/>
            <w:tcBorders>
              <w:right w:val="single" w:color="auto" w:sz="4" w:space="0"/>
            </w:tcBorders>
            <w:noWrap/>
            <w:vAlign w:val="center"/>
          </w:tcPr>
          <w:p>
            <w:pPr>
              <w:autoSpaceDN w:val="0"/>
              <w:spacing w:line="320" w:lineRule="exact"/>
              <w:jc w:val="left"/>
              <w:textAlignment w:val="center"/>
              <w:rPr>
                <w:rFonts w:ascii="宋体" w:hAnsi="宋体" w:cs="仿宋_GB2312"/>
                <w:color w:val="000000"/>
                <w:sz w:val="24"/>
              </w:rPr>
            </w:pPr>
            <w:r>
              <w:rPr>
                <w:rFonts w:ascii="宋体" w:hAnsi="宋体" w:cs="仿宋_GB2312"/>
                <w:color w:val="000000"/>
                <w:sz w:val="24"/>
              </w:rPr>
              <w:t>10,484.81</w:t>
            </w:r>
          </w:p>
        </w:tc>
        <w:tc>
          <w:tcPr>
            <w:tcW w:w="1355" w:type="dxa"/>
            <w:gridSpan w:val="3"/>
            <w:tcBorders>
              <w:left w:val="single" w:color="auto" w:sz="4" w:space="0"/>
            </w:tcBorders>
            <w:noWrap/>
            <w:vAlign w:val="center"/>
          </w:tcPr>
          <w:p>
            <w:pPr>
              <w:autoSpaceDN w:val="0"/>
              <w:spacing w:line="320" w:lineRule="exact"/>
              <w:jc w:val="left"/>
              <w:textAlignment w:val="center"/>
              <w:rPr>
                <w:rFonts w:ascii="宋体" w:hAnsi="宋体" w:cs="仿宋_GB2312"/>
                <w:color w:val="000000"/>
                <w:sz w:val="24"/>
              </w:rPr>
            </w:pPr>
          </w:p>
        </w:tc>
        <w:tc>
          <w:tcPr>
            <w:tcW w:w="795" w:type="dxa"/>
            <w:noWrap/>
            <w:vAlign w:val="center"/>
          </w:tcPr>
          <w:p>
            <w:pPr>
              <w:autoSpaceDN w:val="0"/>
              <w:spacing w:line="320" w:lineRule="exact"/>
              <w:jc w:val="left"/>
              <w:textAlignment w:val="center"/>
              <w:rPr>
                <w:rFonts w:ascii="宋体" w:hAnsi="宋体" w:cs="仿宋_GB2312"/>
                <w:color w:val="000000"/>
                <w:sz w:val="24"/>
              </w:rPr>
            </w:pPr>
            <w:r>
              <w:rPr>
                <w:rFonts w:ascii="宋体" w:hAnsi="宋体" w:cs="仿宋_GB2312"/>
                <w:color w:val="000000"/>
                <w:sz w:val="24"/>
              </w:rPr>
              <w:t>10,484.81</w:t>
            </w:r>
          </w:p>
        </w:tc>
        <w:tc>
          <w:tcPr>
            <w:tcW w:w="1990" w:type="dxa"/>
            <w:gridSpan w:val="3"/>
            <w:noWrap/>
            <w:vAlign w:val="center"/>
          </w:tcPr>
          <w:p>
            <w:pPr>
              <w:autoSpaceDN w:val="0"/>
              <w:spacing w:line="320" w:lineRule="exact"/>
              <w:jc w:val="left"/>
              <w:textAlignment w:val="center"/>
              <w:rPr>
                <w:rFonts w:ascii="宋体" w:hAnsi="宋体" w:cs="仿宋_GB2312"/>
                <w:color w:val="000000"/>
                <w:sz w:val="24"/>
              </w:rPr>
            </w:pPr>
          </w:p>
        </w:tc>
        <w:tc>
          <w:tcPr>
            <w:tcW w:w="1800" w:type="dxa"/>
            <w:gridSpan w:val="3"/>
            <w:noWrap/>
            <w:vAlign w:val="center"/>
          </w:tcPr>
          <w:p>
            <w:pPr>
              <w:autoSpaceDN w:val="0"/>
              <w:spacing w:line="320" w:lineRule="exact"/>
              <w:jc w:val="center"/>
              <w:textAlignment w:val="center"/>
              <w:rPr>
                <w:rFonts w:ascii="宋体" w:hAnsi="宋体" w:cs="仿宋_GB2312"/>
                <w:color w:val="000000"/>
                <w:sz w:val="24"/>
              </w:rPr>
            </w:pPr>
          </w:p>
        </w:tc>
        <w:tc>
          <w:tcPr>
            <w:tcW w:w="1080" w:type="dxa"/>
            <w:gridSpan w:val="3"/>
            <w:noWrap/>
            <w:vAlign w:val="center"/>
          </w:tcPr>
          <w:p>
            <w:pPr>
              <w:autoSpaceDN w:val="0"/>
              <w:spacing w:line="320" w:lineRule="exact"/>
              <w:jc w:val="left"/>
              <w:textAlignment w:val="center"/>
              <w:rPr>
                <w:rFonts w:ascii="宋体" w:hAnsi="宋体"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napToGrid w:val="0"/>
              <w:spacing w:line="320" w:lineRule="exact"/>
              <w:jc w:val="center"/>
              <w:rPr>
                <w:rFonts w:ascii="宋体" w:hAnsi="宋体" w:cs="仿宋_GB2312"/>
                <w:sz w:val="24"/>
              </w:rPr>
            </w:pPr>
            <w:r>
              <w:rPr>
                <w:rFonts w:hint="eastAsia" w:ascii="宋体" w:hAnsi="宋体"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其中：</w:t>
            </w:r>
          </w:p>
        </w:tc>
        <w:tc>
          <w:tcPr>
            <w:tcW w:w="1345" w:type="dxa"/>
            <w:gridSpan w:val="4"/>
            <w:tcBorders>
              <w:left w:val="single" w:color="auto" w:sz="4" w:space="0"/>
              <w:bottom w:val="single" w:color="auto" w:sz="4" w:space="0"/>
            </w:tcBorders>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宋体" w:hAnsi="宋体"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宋体" w:hAnsi="宋体" w:cs="仿宋_GB2312"/>
                <w:color w:val="000000"/>
                <w:sz w:val="24"/>
              </w:rPr>
            </w:pPr>
          </w:p>
        </w:tc>
        <w:tc>
          <w:tcPr>
            <w:tcW w:w="1355" w:type="dxa"/>
            <w:gridSpan w:val="3"/>
            <w:vMerge w:val="restart"/>
            <w:tcBorders>
              <w:top w:val="single" w:color="auto" w:sz="4" w:space="0"/>
              <w:left w:val="single" w:color="auto" w:sz="4" w:space="0"/>
            </w:tcBorders>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基本支出</w:t>
            </w:r>
          </w:p>
        </w:tc>
        <w:tc>
          <w:tcPr>
            <w:tcW w:w="3240" w:type="dxa"/>
            <w:gridSpan w:val="5"/>
            <w:tcBorders>
              <w:top w:val="single" w:color="auto" w:sz="4" w:space="0"/>
            </w:tcBorders>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其中：</w:t>
            </w:r>
          </w:p>
        </w:tc>
        <w:tc>
          <w:tcPr>
            <w:tcW w:w="1080" w:type="dxa"/>
            <w:vMerge w:val="restart"/>
            <w:tcBorders>
              <w:top w:val="single" w:color="auto" w:sz="4" w:space="0"/>
              <w:right w:val="single" w:color="auto" w:sz="4" w:space="0"/>
            </w:tcBorders>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当年结余</w:t>
            </w:r>
          </w:p>
        </w:tc>
        <w:tc>
          <w:tcPr>
            <w:tcW w:w="625" w:type="dxa"/>
            <w:vMerge w:val="restart"/>
            <w:tcBorders>
              <w:top w:val="single" w:color="auto" w:sz="4" w:space="0"/>
              <w:left w:val="single" w:color="auto" w:sz="4" w:space="0"/>
            </w:tcBorders>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宋体" w:hAnsi="宋体"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宋体" w:hAnsi="宋体" w:cs="仿宋_GB2312"/>
                <w:color w:val="000000"/>
                <w:sz w:val="24"/>
              </w:rPr>
            </w:pPr>
          </w:p>
        </w:tc>
        <w:tc>
          <w:tcPr>
            <w:tcW w:w="1355" w:type="dxa"/>
            <w:gridSpan w:val="3"/>
            <w:vMerge w:val="continue"/>
            <w:tcBorders>
              <w:left w:val="single" w:color="auto" w:sz="4" w:space="0"/>
            </w:tcBorders>
            <w:noWrap/>
            <w:vAlign w:val="center"/>
          </w:tcPr>
          <w:p>
            <w:pPr>
              <w:autoSpaceDN w:val="0"/>
              <w:spacing w:line="320" w:lineRule="exact"/>
              <w:jc w:val="center"/>
              <w:textAlignment w:val="center"/>
              <w:rPr>
                <w:rFonts w:ascii="宋体" w:hAnsi="宋体" w:cs="仿宋_GB2312"/>
                <w:color w:val="000000"/>
                <w:sz w:val="24"/>
              </w:rPr>
            </w:pPr>
          </w:p>
        </w:tc>
        <w:tc>
          <w:tcPr>
            <w:tcW w:w="795" w:type="dxa"/>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人员支出</w:t>
            </w:r>
          </w:p>
        </w:tc>
        <w:tc>
          <w:tcPr>
            <w:tcW w:w="2445" w:type="dxa"/>
            <w:gridSpan w:val="4"/>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公用支出</w:t>
            </w:r>
          </w:p>
        </w:tc>
        <w:tc>
          <w:tcPr>
            <w:tcW w:w="1080" w:type="dxa"/>
            <w:vMerge w:val="continue"/>
            <w:tcBorders>
              <w:right w:val="single" w:color="auto" w:sz="4" w:space="0"/>
            </w:tcBorders>
            <w:noWrap/>
            <w:vAlign w:val="center"/>
          </w:tcPr>
          <w:p>
            <w:pPr>
              <w:autoSpaceDN w:val="0"/>
              <w:spacing w:line="320" w:lineRule="exact"/>
              <w:jc w:val="center"/>
              <w:textAlignment w:val="center"/>
              <w:rPr>
                <w:rFonts w:ascii="宋体" w:hAnsi="宋体" w:cs="仿宋_GB2312"/>
                <w:color w:val="000000"/>
                <w:sz w:val="24"/>
              </w:rPr>
            </w:pPr>
          </w:p>
        </w:tc>
        <w:tc>
          <w:tcPr>
            <w:tcW w:w="720" w:type="dxa"/>
            <w:gridSpan w:val="3"/>
            <w:vMerge w:val="continue"/>
            <w:tcBorders>
              <w:left w:val="single" w:color="auto" w:sz="4" w:space="0"/>
              <w:right w:val="single" w:color="auto" w:sz="4" w:space="0"/>
            </w:tcBorders>
            <w:noWrap/>
            <w:vAlign w:val="center"/>
          </w:tcPr>
          <w:p>
            <w:pPr>
              <w:autoSpaceDN w:val="0"/>
              <w:spacing w:line="320" w:lineRule="exact"/>
              <w:jc w:val="center"/>
              <w:textAlignment w:val="center"/>
              <w:rPr>
                <w:rFonts w:ascii="宋体" w:hAnsi="宋体" w:cs="仿宋_GB2312"/>
                <w:color w:val="000000"/>
                <w:sz w:val="24"/>
              </w:rPr>
            </w:pPr>
          </w:p>
        </w:tc>
        <w:tc>
          <w:tcPr>
            <w:tcW w:w="625" w:type="dxa"/>
            <w:vMerge w:val="continue"/>
            <w:tcBorders>
              <w:left w:val="single" w:color="auto" w:sz="4" w:space="0"/>
            </w:tcBorders>
            <w:noWrap/>
            <w:vAlign w:val="center"/>
          </w:tcPr>
          <w:p>
            <w:pPr>
              <w:autoSpaceDN w:val="0"/>
              <w:spacing w:line="320" w:lineRule="exact"/>
              <w:jc w:val="center"/>
              <w:textAlignment w:val="center"/>
              <w:rPr>
                <w:rFonts w:ascii="宋体" w:hAnsi="宋体"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ign w:val="center"/>
          </w:tcPr>
          <w:p>
            <w:pPr>
              <w:spacing w:line="320" w:lineRule="exact"/>
              <w:jc w:val="left"/>
              <w:rPr>
                <w:rFonts w:ascii="宋体" w:hAnsi="宋体" w:cs="仿宋_GB2312"/>
                <w:sz w:val="24"/>
              </w:rPr>
            </w:pPr>
            <w:r>
              <w:rPr>
                <w:rFonts w:hint="eastAsia" w:ascii="宋体" w:hAnsi="宋体" w:cs="仿宋_GB2312"/>
                <w:sz w:val="24"/>
              </w:rPr>
              <w:t>华容县公安局本级</w:t>
            </w:r>
          </w:p>
        </w:tc>
        <w:tc>
          <w:tcPr>
            <w:tcW w:w="1080" w:type="dxa"/>
            <w:tcBorders>
              <w:right w:val="single" w:color="auto" w:sz="4" w:space="0"/>
            </w:tcBorders>
            <w:noWrap/>
            <w:vAlign w:val="center"/>
          </w:tcPr>
          <w:p>
            <w:pPr>
              <w:autoSpaceDN w:val="0"/>
              <w:spacing w:line="320" w:lineRule="exact"/>
              <w:jc w:val="center"/>
              <w:textAlignment w:val="center"/>
              <w:rPr>
                <w:rFonts w:ascii="宋体" w:hAnsi="宋体" w:cs="仿宋_GB2312"/>
                <w:color w:val="000000"/>
                <w:sz w:val="24"/>
              </w:rPr>
            </w:pPr>
            <w:r>
              <w:rPr>
                <w:rFonts w:ascii="宋体" w:hAnsi="宋体" w:cs="仿宋_GB2312"/>
                <w:color w:val="000000"/>
                <w:sz w:val="24"/>
              </w:rPr>
              <w:t>10,484.81</w:t>
            </w:r>
          </w:p>
        </w:tc>
        <w:tc>
          <w:tcPr>
            <w:tcW w:w="1355" w:type="dxa"/>
            <w:gridSpan w:val="3"/>
            <w:tcBorders>
              <w:left w:val="single" w:color="auto" w:sz="4" w:space="0"/>
            </w:tcBorders>
            <w:noWrap/>
            <w:vAlign w:val="center"/>
          </w:tcPr>
          <w:p>
            <w:pPr>
              <w:autoSpaceDN w:val="0"/>
              <w:spacing w:line="320" w:lineRule="exact"/>
              <w:jc w:val="center"/>
              <w:textAlignment w:val="center"/>
              <w:rPr>
                <w:rFonts w:ascii="宋体" w:hAnsi="宋体" w:cs="仿宋_GB2312"/>
                <w:color w:val="000000"/>
                <w:sz w:val="24"/>
              </w:rPr>
            </w:pPr>
            <w:r>
              <w:rPr>
                <w:rFonts w:ascii="宋体" w:hAnsi="宋体" w:cs="仿宋_GB2312"/>
                <w:color w:val="000000"/>
                <w:sz w:val="24"/>
              </w:rPr>
              <w:t>8,252.06</w:t>
            </w:r>
          </w:p>
        </w:tc>
        <w:tc>
          <w:tcPr>
            <w:tcW w:w="795" w:type="dxa"/>
            <w:noWrap/>
            <w:vAlign w:val="center"/>
          </w:tcPr>
          <w:p>
            <w:pPr>
              <w:autoSpaceDN w:val="0"/>
              <w:spacing w:line="320" w:lineRule="exact"/>
              <w:jc w:val="center"/>
              <w:textAlignment w:val="center"/>
              <w:rPr>
                <w:rFonts w:ascii="宋体" w:hAnsi="宋体" w:cs="仿宋_GB2312"/>
                <w:color w:val="000000"/>
                <w:sz w:val="24"/>
              </w:rPr>
            </w:pPr>
            <w:r>
              <w:rPr>
                <w:rFonts w:ascii="宋体" w:hAnsi="宋体" w:cs="仿宋_GB2312"/>
                <w:color w:val="000000"/>
                <w:sz w:val="24"/>
              </w:rPr>
              <w:t>6,397.16</w:t>
            </w:r>
          </w:p>
        </w:tc>
        <w:tc>
          <w:tcPr>
            <w:tcW w:w="2445" w:type="dxa"/>
            <w:gridSpan w:val="4"/>
            <w:noWrap/>
            <w:vAlign w:val="center"/>
          </w:tcPr>
          <w:p>
            <w:pPr>
              <w:autoSpaceDN w:val="0"/>
              <w:spacing w:line="320" w:lineRule="exact"/>
              <w:jc w:val="center"/>
              <w:textAlignment w:val="center"/>
              <w:rPr>
                <w:rFonts w:ascii="宋体" w:hAnsi="宋体" w:cs="仿宋_GB2312"/>
                <w:color w:val="000000"/>
                <w:sz w:val="24"/>
              </w:rPr>
            </w:pPr>
            <w:r>
              <w:rPr>
                <w:rFonts w:ascii="宋体" w:hAnsi="宋体" w:cs="仿宋_GB2312"/>
                <w:color w:val="000000"/>
                <w:sz w:val="24"/>
              </w:rPr>
              <w:t>1,854.91</w:t>
            </w:r>
          </w:p>
        </w:tc>
        <w:tc>
          <w:tcPr>
            <w:tcW w:w="1080" w:type="dxa"/>
            <w:noWrap/>
            <w:vAlign w:val="center"/>
          </w:tcPr>
          <w:p>
            <w:pPr>
              <w:autoSpaceDN w:val="0"/>
              <w:spacing w:line="320" w:lineRule="exact"/>
              <w:jc w:val="center"/>
              <w:textAlignment w:val="center"/>
              <w:rPr>
                <w:rFonts w:ascii="宋体" w:hAnsi="宋体" w:cs="仿宋_GB2312"/>
                <w:color w:val="000000"/>
                <w:sz w:val="24"/>
              </w:rPr>
            </w:pPr>
            <w:r>
              <w:rPr>
                <w:rFonts w:ascii="宋体" w:hAnsi="宋体" w:cs="仿宋_GB2312"/>
                <w:color w:val="000000"/>
                <w:sz w:val="24"/>
              </w:rPr>
              <w:t>2,232.75</w:t>
            </w:r>
          </w:p>
        </w:tc>
        <w:tc>
          <w:tcPr>
            <w:tcW w:w="720" w:type="dxa"/>
            <w:gridSpan w:val="3"/>
            <w:tcBorders>
              <w:right w:val="single" w:color="auto" w:sz="4" w:space="0"/>
            </w:tcBorders>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0</w:t>
            </w:r>
          </w:p>
        </w:tc>
        <w:tc>
          <w:tcPr>
            <w:tcW w:w="625" w:type="dxa"/>
            <w:tcBorders>
              <w:left w:val="single" w:color="auto" w:sz="4" w:space="0"/>
            </w:tcBorders>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pacing w:line="320" w:lineRule="exact"/>
              <w:jc w:val="center"/>
              <w:rPr>
                <w:rFonts w:ascii="宋体" w:hAnsi="宋体" w:cs="仿宋_GB2312"/>
                <w:sz w:val="24"/>
              </w:rPr>
            </w:pPr>
            <w:r>
              <w:rPr>
                <w:rFonts w:hint="eastAsia" w:ascii="宋体" w:hAnsi="宋体"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三公经费</w:t>
            </w:r>
          </w:p>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合计</w:t>
            </w:r>
          </w:p>
        </w:tc>
        <w:tc>
          <w:tcPr>
            <w:tcW w:w="7020" w:type="dxa"/>
            <w:gridSpan w:val="13"/>
            <w:tcBorders>
              <w:left w:val="single" w:color="auto" w:sz="4" w:space="0"/>
            </w:tcBorders>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宋体" w:hAnsi="宋体"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宋体" w:hAnsi="宋体" w:cs="仿宋_GB2312"/>
                <w:color w:val="000000"/>
                <w:sz w:val="24"/>
              </w:rPr>
            </w:pPr>
          </w:p>
        </w:tc>
        <w:tc>
          <w:tcPr>
            <w:tcW w:w="1355" w:type="dxa"/>
            <w:gridSpan w:val="3"/>
            <w:tcBorders>
              <w:left w:val="single" w:color="auto" w:sz="4" w:space="0"/>
            </w:tcBorders>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公务接待费</w:t>
            </w:r>
          </w:p>
        </w:tc>
        <w:tc>
          <w:tcPr>
            <w:tcW w:w="795" w:type="dxa"/>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公务用车运维费</w:t>
            </w:r>
          </w:p>
        </w:tc>
        <w:tc>
          <w:tcPr>
            <w:tcW w:w="2445" w:type="dxa"/>
            <w:gridSpan w:val="4"/>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公务用车购置费</w:t>
            </w:r>
          </w:p>
        </w:tc>
        <w:tc>
          <w:tcPr>
            <w:tcW w:w="2425" w:type="dxa"/>
            <w:gridSpan w:val="5"/>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ign w:val="center"/>
          </w:tcPr>
          <w:p>
            <w:pPr>
              <w:spacing w:line="320" w:lineRule="exact"/>
              <w:jc w:val="left"/>
              <w:rPr>
                <w:rFonts w:ascii="宋体" w:hAnsi="宋体" w:cs="仿宋_GB2312"/>
                <w:sz w:val="24"/>
              </w:rPr>
            </w:pPr>
            <w:r>
              <w:rPr>
                <w:rFonts w:hint="eastAsia" w:ascii="宋体" w:hAnsi="宋体" w:cs="仿宋_GB2312"/>
                <w:sz w:val="24"/>
              </w:rPr>
              <w:t>华容县公安局本级</w:t>
            </w:r>
          </w:p>
        </w:tc>
        <w:tc>
          <w:tcPr>
            <w:tcW w:w="1080" w:type="dxa"/>
            <w:tcBorders>
              <w:right w:val="single" w:color="auto" w:sz="4" w:space="0"/>
            </w:tcBorders>
            <w:noWrap/>
            <w:vAlign w:val="center"/>
          </w:tcPr>
          <w:p>
            <w:pPr>
              <w:autoSpaceDN w:val="0"/>
              <w:spacing w:line="320" w:lineRule="exact"/>
              <w:jc w:val="center"/>
              <w:textAlignment w:val="center"/>
              <w:rPr>
                <w:rFonts w:ascii="宋体" w:hAnsi="宋体" w:cs="仿宋_GB2312"/>
                <w:color w:val="000000"/>
                <w:sz w:val="24"/>
              </w:rPr>
            </w:pPr>
            <w:r>
              <w:rPr>
                <w:rFonts w:ascii="宋体" w:hAnsi="宋体" w:cs="仿宋_GB2312"/>
                <w:color w:val="000000"/>
                <w:sz w:val="24"/>
              </w:rPr>
              <w:t>218.49</w:t>
            </w:r>
          </w:p>
        </w:tc>
        <w:tc>
          <w:tcPr>
            <w:tcW w:w="1355" w:type="dxa"/>
            <w:gridSpan w:val="3"/>
            <w:tcBorders>
              <w:left w:val="single" w:color="auto" w:sz="4" w:space="0"/>
            </w:tcBorders>
            <w:noWrap/>
            <w:vAlign w:val="center"/>
          </w:tcPr>
          <w:p>
            <w:pPr>
              <w:autoSpaceDN w:val="0"/>
              <w:spacing w:line="320" w:lineRule="exact"/>
              <w:jc w:val="center"/>
              <w:textAlignment w:val="center"/>
              <w:rPr>
                <w:rFonts w:ascii="宋体" w:hAnsi="宋体" w:cs="仿宋_GB2312"/>
                <w:color w:val="000000"/>
                <w:sz w:val="24"/>
              </w:rPr>
            </w:pPr>
            <w:r>
              <w:rPr>
                <w:rFonts w:ascii="宋体" w:hAnsi="宋体" w:cs="仿宋_GB2312"/>
                <w:color w:val="000000"/>
                <w:sz w:val="24"/>
              </w:rPr>
              <w:t>1.91</w:t>
            </w:r>
          </w:p>
        </w:tc>
        <w:tc>
          <w:tcPr>
            <w:tcW w:w="795" w:type="dxa"/>
            <w:noWrap/>
            <w:vAlign w:val="center"/>
          </w:tcPr>
          <w:p>
            <w:pPr>
              <w:autoSpaceDN w:val="0"/>
              <w:spacing w:line="320" w:lineRule="exact"/>
              <w:jc w:val="center"/>
              <w:textAlignment w:val="center"/>
              <w:rPr>
                <w:rFonts w:ascii="宋体" w:hAnsi="宋体" w:cs="仿宋_GB2312"/>
                <w:color w:val="000000"/>
                <w:sz w:val="24"/>
              </w:rPr>
            </w:pPr>
            <w:r>
              <w:rPr>
                <w:rFonts w:ascii="宋体" w:hAnsi="宋体" w:cs="仿宋_GB2312"/>
                <w:color w:val="000000"/>
                <w:sz w:val="24"/>
              </w:rPr>
              <w:t>135.93</w:t>
            </w:r>
          </w:p>
        </w:tc>
        <w:tc>
          <w:tcPr>
            <w:tcW w:w="2445" w:type="dxa"/>
            <w:gridSpan w:val="4"/>
            <w:noWrap/>
            <w:vAlign w:val="center"/>
          </w:tcPr>
          <w:p>
            <w:pPr>
              <w:autoSpaceDN w:val="0"/>
              <w:spacing w:line="320" w:lineRule="exact"/>
              <w:jc w:val="center"/>
              <w:textAlignment w:val="center"/>
              <w:rPr>
                <w:rFonts w:ascii="宋体" w:hAnsi="宋体" w:cs="仿宋_GB2312"/>
                <w:color w:val="000000"/>
                <w:sz w:val="24"/>
              </w:rPr>
            </w:pPr>
            <w:r>
              <w:rPr>
                <w:rFonts w:ascii="宋体" w:hAnsi="宋体" w:cs="仿宋_GB2312"/>
                <w:color w:val="000000"/>
                <w:sz w:val="24"/>
              </w:rPr>
              <w:t>80.65</w:t>
            </w:r>
          </w:p>
        </w:tc>
        <w:tc>
          <w:tcPr>
            <w:tcW w:w="2425" w:type="dxa"/>
            <w:gridSpan w:val="5"/>
            <w:noWrap/>
            <w:vAlign w:val="center"/>
          </w:tcPr>
          <w:p>
            <w:pPr>
              <w:autoSpaceDN w:val="0"/>
              <w:spacing w:line="320" w:lineRule="exact"/>
              <w:jc w:val="center"/>
              <w:textAlignment w:val="center"/>
              <w:rPr>
                <w:rFonts w:ascii="宋体" w:hAnsi="宋体"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pacing w:line="320" w:lineRule="exact"/>
              <w:jc w:val="center"/>
              <w:rPr>
                <w:rFonts w:ascii="宋体" w:hAnsi="宋体" w:cs="仿宋_GB2312"/>
                <w:sz w:val="24"/>
              </w:rPr>
            </w:pPr>
            <w:r>
              <w:rPr>
                <w:rFonts w:hint="eastAsia" w:ascii="宋体" w:hAnsi="宋体"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固定资产</w:t>
            </w:r>
          </w:p>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合计</w:t>
            </w:r>
          </w:p>
        </w:tc>
        <w:tc>
          <w:tcPr>
            <w:tcW w:w="6079" w:type="dxa"/>
            <w:gridSpan w:val="11"/>
            <w:tcBorders>
              <w:left w:val="single" w:color="auto" w:sz="4" w:space="0"/>
              <w:right w:val="single" w:color="auto" w:sz="4" w:space="0"/>
            </w:tcBorders>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其中：</w:t>
            </w:r>
          </w:p>
        </w:tc>
        <w:tc>
          <w:tcPr>
            <w:tcW w:w="941" w:type="dxa"/>
            <w:gridSpan w:val="2"/>
            <w:vMerge w:val="restart"/>
            <w:tcBorders>
              <w:left w:val="single" w:color="auto" w:sz="4" w:space="0"/>
            </w:tcBorders>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宋体" w:hAnsi="宋体"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宋体" w:hAnsi="宋体" w:cs="仿宋_GB2312"/>
                <w:color w:val="000000"/>
                <w:sz w:val="24"/>
              </w:rPr>
            </w:pPr>
          </w:p>
        </w:tc>
        <w:tc>
          <w:tcPr>
            <w:tcW w:w="2150" w:type="dxa"/>
            <w:gridSpan w:val="4"/>
            <w:tcBorders>
              <w:left w:val="single" w:color="auto" w:sz="4" w:space="0"/>
            </w:tcBorders>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在用固定资产</w:t>
            </w:r>
          </w:p>
        </w:tc>
        <w:tc>
          <w:tcPr>
            <w:tcW w:w="3929" w:type="dxa"/>
            <w:gridSpan w:val="7"/>
            <w:tcBorders>
              <w:right w:val="single" w:color="auto" w:sz="4" w:space="0"/>
            </w:tcBorders>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出租固定资产</w:t>
            </w:r>
          </w:p>
        </w:tc>
        <w:tc>
          <w:tcPr>
            <w:tcW w:w="941" w:type="dxa"/>
            <w:gridSpan w:val="2"/>
            <w:vMerge w:val="continue"/>
            <w:tcBorders>
              <w:left w:val="single" w:color="auto" w:sz="4" w:space="0"/>
            </w:tcBorders>
            <w:noWrap/>
            <w:vAlign w:val="center"/>
          </w:tcPr>
          <w:p>
            <w:pPr>
              <w:autoSpaceDN w:val="0"/>
              <w:spacing w:line="320" w:lineRule="exact"/>
              <w:jc w:val="center"/>
              <w:textAlignment w:val="center"/>
              <w:rPr>
                <w:rFonts w:ascii="宋体" w:hAnsi="宋体"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17" w:hRule="atLeast"/>
          <w:jc w:val="center"/>
        </w:trPr>
        <w:tc>
          <w:tcPr>
            <w:tcW w:w="1700" w:type="dxa"/>
            <w:gridSpan w:val="3"/>
            <w:noWrap/>
            <w:vAlign w:val="center"/>
          </w:tcPr>
          <w:p>
            <w:pPr>
              <w:spacing w:line="320" w:lineRule="exact"/>
              <w:jc w:val="left"/>
              <w:rPr>
                <w:rFonts w:ascii="宋体" w:hAnsi="宋体" w:cs="仿宋_GB2312"/>
                <w:sz w:val="24"/>
              </w:rPr>
            </w:pPr>
            <w:r>
              <w:rPr>
                <w:rFonts w:hint="eastAsia" w:ascii="宋体" w:hAnsi="宋体" w:cs="仿宋_GB2312"/>
                <w:sz w:val="24"/>
              </w:rPr>
              <w:t>华容县公安局本级</w:t>
            </w:r>
          </w:p>
        </w:tc>
        <w:tc>
          <w:tcPr>
            <w:tcW w:w="1080" w:type="dxa"/>
            <w:tcBorders>
              <w:right w:val="single" w:color="auto" w:sz="4" w:space="0"/>
            </w:tcBorders>
            <w:noWrap/>
            <w:vAlign w:val="center"/>
          </w:tcPr>
          <w:p>
            <w:pPr>
              <w:autoSpaceDN w:val="0"/>
              <w:spacing w:line="320" w:lineRule="exact"/>
              <w:jc w:val="center"/>
              <w:textAlignment w:val="center"/>
              <w:rPr>
                <w:rFonts w:ascii="宋体" w:hAnsi="宋体" w:cs="仿宋_GB2312"/>
                <w:sz w:val="24"/>
              </w:rPr>
            </w:pPr>
            <w:r>
              <w:rPr>
                <w:rFonts w:ascii="宋体" w:hAnsi="宋体" w:cs="仿宋_GB2312"/>
                <w:sz w:val="24"/>
              </w:rPr>
              <w:t>5,965.76</w:t>
            </w:r>
          </w:p>
        </w:tc>
        <w:tc>
          <w:tcPr>
            <w:tcW w:w="2150" w:type="dxa"/>
            <w:gridSpan w:val="4"/>
            <w:tcBorders>
              <w:left w:val="single" w:color="auto" w:sz="4" w:space="0"/>
            </w:tcBorders>
            <w:noWrap/>
            <w:vAlign w:val="center"/>
          </w:tcPr>
          <w:p>
            <w:pPr>
              <w:autoSpaceDN w:val="0"/>
              <w:spacing w:line="320" w:lineRule="exact"/>
              <w:jc w:val="center"/>
              <w:textAlignment w:val="center"/>
              <w:rPr>
                <w:rFonts w:ascii="宋体" w:hAnsi="宋体" w:cs="仿宋_GB2312"/>
                <w:sz w:val="24"/>
              </w:rPr>
            </w:pPr>
            <w:r>
              <w:rPr>
                <w:rFonts w:ascii="宋体" w:hAnsi="宋体" w:cs="仿宋_GB2312"/>
                <w:sz w:val="24"/>
              </w:rPr>
              <w:t>5,965.76</w:t>
            </w:r>
          </w:p>
        </w:tc>
        <w:tc>
          <w:tcPr>
            <w:tcW w:w="3929" w:type="dxa"/>
            <w:gridSpan w:val="7"/>
            <w:noWrap/>
            <w:vAlign w:val="center"/>
          </w:tcPr>
          <w:p>
            <w:pPr>
              <w:autoSpaceDN w:val="0"/>
              <w:spacing w:line="320" w:lineRule="exact"/>
              <w:jc w:val="center"/>
              <w:textAlignment w:val="center"/>
              <w:rPr>
                <w:rFonts w:ascii="宋体" w:hAnsi="宋体" w:cs="仿宋_GB2312"/>
                <w:color w:val="000000"/>
                <w:sz w:val="24"/>
              </w:rPr>
            </w:pPr>
          </w:p>
        </w:tc>
        <w:tc>
          <w:tcPr>
            <w:tcW w:w="941" w:type="dxa"/>
            <w:gridSpan w:val="2"/>
            <w:noWrap/>
            <w:vAlign w:val="center"/>
          </w:tcPr>
          <w:p>
            <w:pPr>
              <w:autoSpaceDN w:val="0"/>
              <w:spacing w:line="320" w:lineRule="exact"/>
              <w:jc w:val="center"/>
              <w:textAlignment w:val="center"/>
              <w:rPr>
                <w:rFonts w:ascii="宋体" w:hAnsi="宋体"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整体支出绩效定性目标及实施计划完成情况</w:t>
            </w:r>
          </w:p>
        </w:tc>
        <w:tc>
          <w:tcPr>
            <w:tcW w:w="3489" w:type="dxa"/>
            <w:gridSpan w:val="7"/>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预期目标</w:t>
            </w:r>
          </w:p>
        </w:tc>
        <w:tc>
          <w:tcPr>
            <w:tcW w:w="4870" w:type="dxa"/>
            <w:gridSpan w:val="9"/>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05" w:hRule="atLeast"/>
          <w:jc w:val="center"/>
        </w:trPr>
        <w:tc>
          <w:tcPr>
            <w:tcW w:w="1441" w:type="dxa"/>
            <w:vMerge w:val="continue"/>
            <w:noWrap/>
            <w:vAlign w:val="center"/>
          </w:tcPr>
          <w:p>
            <w:pPr>
              <w:spacing w:line="320" w:lineRule="exact"/>
              <w:rPr>
                <w:rFonts w:ascii="宋体" w:hAnsi="宋体" w:cs="仿宋_GB2312"/>
                <w:sz w:val="24"/>
              </w:rPr>
            </w:pPr>
          </w:p>
        </w:tc>
        <w:tc>
          <w:tcPr>
            <w:tcW w:w="3489" w:type="dxa"/>
            <w:gridSpan w:val="7"/>
            <w:noWrap/>
            <w:vAlign w:val="center"/>
          </w:tcPr>
          <w:p>
            <w:pPr>
              <w:autoSpaceDN w:val="0"/>
              <w:spacing w:line="320" w:lineRule="exact"/>
              <w:jc w:val="left"/>
              <w:textAlignment w:val="center"/>
              <w:rPr>
                <w:rFonts w:ascii="宋体" w:hAnsi="宋体" w:cs="仿宋_GB2312"/>
                <w:color w:val="000000"/>
                <w:sz w:val="24"/>
              </w:rPr>
            </w:pPr>
            <w:r>
              <w:rPr>
                <w:rFonts w:hint="eastAsia" w:ascii="宋体" w:hAnsi="宋体" w:cs="仿宋_GB2312"/>
                <w:color w:val="000000"/>
                <w:sz w:val="24"/>
              </w:rPr>
              <w:t>1、及时掌握各类情报信息，维护全县社会政治大局稳定。2、严厉打击各类违法犯罪，维护全县社会治安大局稳定。3、建立良好的社会治安防控体系。4、加强公安法制建设，提高公安法制水平。5、严格公安行政管理。6、积极推进公安队伍正规化建设。</w:t>
            </w:r>
          </w:p>
        </w:tc>
        <w:tc>
          <w:tcPr>
            <w:tcW w:w="4870" w:type="dxa"/>
            <w:gridSpan w:val="9"/>
            <w:noWrap/>
          </w:tcPr>
          <w:p>
            <w:pPr>
              <w:autoSpaceDN w:val="0"/>
              <w:spacing w:line="320" w:lineRule="exact"/>
              <w:textAlignment w:val="center"/>
              <w:rPr>
                <w:rFonts w:ascii="宋体" w:hAnsi="宋体" w:cs="仿宋_GB2312"/>
                <w:sz w:val="24"/>
              </w:rPr>
            </w:pPr>
            <w:r>
              <w:rPr>
                <w:rFonts w:hint="eastAsia" w:ascii="宋体" w:hAnsi="宋体" w:cs="仿宋_GB2312"/>
                <w:sz w:val="24"/>
              </w:rPr>
              <w:t>（一）不惧风险，抗击疫情彰显新担当</w:t>
            </w:r>
          </w:p>
          <w:p>
            <w:pPr>
              <w:autoSpaceDN w:val="0"/>
              <w:spacing w:line="320" w:lineRule="exact"/>
              <w:textAlignment w:val="center"/>
              <w:rPr>
                <w:rFonts w:ascii="宋体" w:hAnsi="宋体" w:cs="仿宋_GB2312"/>
                <w:sz w:val="24"/>
              </w:rPr>
            </w:pPr>
            <w:r>
              <w:rPr>
                <w:rFonts w:hint="eastAsia" w:ascii="宋体" w:hAnsi="宋体" w:cs="仿宋_GB2312"/>
                <w:sz w:val="24"/>
              </w:rPr>
              <w:t>在疫情的传播力、危险性还不十分明确的情形下，全县广大民辅警闻警即动、披装上阵，战风雨、守卡口、护稳定、保循环。疫情防控期间，我们累计安排3000多人次坚守卡口、定点医院和隔离观察宾馆，大力开展流行病学调查和大数据信息核查，依法查处涉疫案件，多名民辅警受到表彰奖励，充分彰显了华容公安大局为重、扛风挡雨、能征善战的新担当。</w:t>
            </w:r>
          </w:p>
          <w:p>
            <w:pPr>
              <w:autoSpaceDN w:val="0"/>
              <w:spacing w:line="320" w:lineRule="exact"/>
              <w:textAlignment w:val="center"/>
              <w:rPr>
                <w:rFonts w:ascii="宋体" w:hAnsi="宋体" w:cs="仿宋_GB2312"/>
                <w:sz w:val="24"/>
              </w:rPr>
            </w:pPr>
            <w:r>
              <w:rPr>
                <w:rFonts w:hint="eastAsia" w:ascii="宋体" w:hAnsi="宋体" w:cs="仿宋_GB2312"/>
                <w:sz w:val="24"/>
              </w:rPr>
              <w:t>（二）打防并举，主责主业取得新成效</w:t>
            </w:r>
          </w:p>
          <w:p>
            <w:pPr>
              <w:autoSpaceDN w:val="0"/>
              <w:spacing w:line="320" w:lineRule="exact"/>
              <w:textAlignment w:val="center"/>
              <w:rPr>
                <w:rFonts w:ascii="宋体" w:hAnsi="宋体" w:cs="仿宋_GB2312"/>
                <w:sz w:val="24"/>
              </w:rPr>
            </w:pPr>
            <w:r>
              <w:rPr>
                <w:rFonts w:hint="eastAsia" w:ascii="宋体" w:hAnsi="宋体" w:cs="仿宋_GB2312"/>
                <w:sz w:val="24"/>
              </w:rPr>
              <w:t>以扫黑除恶专项斗争为龙头，深入开展反电诈、打盗抢、禁毒品、扫黄赌、净网络、扫扬尘和打击非法捕捞等专项行动，始终保持了对突出违法犯罪的严打高压态势。共侦办涉黑涉恶类案件32起、移送起诉45人、打掉恶势力团伙3个，共破获刑事案件361起、查处行政案件1242起、移送起诉363人、行政拘留479人。坚持以打促防、打防并举，充分发挥城市快警、驻村辅警、天网探头巡防巡控作用，人民群众见警率、安全感得到增强。</w:t>
            </w:r>
          </w:p>
          <w:p>
            <w:pPr>
              <w:autoSpaceDN w:val="0"/>
              <w:spacing w:line="320" w:lineRule="exact"/>
              <w:textAlignment w:val="center"/>
              <w:rPr>
                <w:rFonts w:ascii="宋体" w:hAnsi="宋体" w:cs="仿宋_GB2312"/>
                <w:sz w:val="24"/>
              </w:rPr>
            </w:pPr>
            <w:r>
              <w:rPr>
                <w:rFonts w:hint="eastAsia" w:ascii="宋体" w:hAnsi="宋体" w:cs="仿宋_GB2312"/>
                <w:sz w:val="24"/>
              </w:rPr>
              <w:t>（三）严格监管，法治公安迈出新步伐</w:t>
            </w:r>
            <w:r>
              <w:rPr>
                <w:rFonts w:hint="eastAsia" w:ascii="宋体" w:hAnsi="宋体" w:cs="仿宋_GB2312"/>
                <w:sz w:val="24"/>
              </w:rPr>
              <w:tab/>
            </w:r>
          </w:p>
          <w:p>
            <w:pPr>
              <w:autoSpaceDN w:val="0"/>
              <w:spacing w:line="320" w:lineRule="exact"/>
              <w:textAlignment w:val="center"/>
              <w:rPr>
                <w:rFonts w:ascii="宋体" w:hAnsi="宋体" w:cs="仿宋_GB2312"/>
                <w:sz w:val="24"/>
              </w:rPr>
            </w:pPr>
            <w:r>
              <w:rPr>
                <w:rFonts w:hint="eastAsia" w:ascii="宋体" w:hAnsi="宋体" w:cs="仿宋_GB2312"/>
                <w:sz w:val="24"/>
              </w:rPr>
              <w:t>加强执法网上巡查和日常监管，整治执法顽瘴痼疾94条，通过以查促改、以整改促规范，守住了公安工作“生命线”。全年未发生一起典型执法问题和重大执法过错。</w:t>
            </w:r>
          </w:p>
          <w:p>
            <w:pPr>
              <w:autoSpaceDN w:val="0"/>
              <w:spacing w:line="320" w:lineRule="exact"/>
              <w:textAlignment w:val="center"/>
              <w:rPr>
                <w:rFonts w:ascii="宋体" w:hAnsi="宋体" w:cs="仿宋_GB2312"/>
                <w:sz w:val="24"/>
              </w:rPr>
            </w:pPr>
            <w:r>
              <w:rPr>
                <w:rFonts w:hint="eastAsia" w:ascii="宋体" w:hAnsi="宋体" w:cs="仿宋_GB2312"/>
                <w:sz w:val="24"/>
              </w:rPr>
              <w:t>（四）强基固本，县域警务开启新篇章</w:t>
            </w:r>
          </w:p>
          <w:p>
            <w:pPr>
              <w:autoSpaceDN w:val="0"/>
              <w:spacing w:line="320" w:lineRule="exact"/>
              <w:textAlignment w:val="center"/>
              <w:rPr>
                <w:rFonts w:ascii="宋体" w:hAnsi="宋体" w:cs="仿宋_GB2312"/>
                <w:sz w:val="24"/>
              </w:rPr>
            </w:pPr>
            <w:r>
              <w:rPr>
                <w:rFonts w:hint="eastAsia" w:ascii="宋体" w:hAnsi="宋体" w:cs="仿宋_GB2312"/>
                <w:sz w:val="24"/>
              </w:rPr>
              <w:t>以防范化解重大风险为切入点，深入推进县域警务战略。从8个类别34个维度，对影响安全稳定的风险进行全要素、全覆盖的大起底、大排查、大研判，共排查风险点近2万个，出台《全县政治安全和社会稳定风险评估报告》，为相关部门和警种防范化解重大风险提供了精准的数据支撑和科学的指导。筑牢了保安全、护稳定的坚固防线。加强民爆物品和公众场所、重点单位隐患排查，公共安全事故、暴恐案事件零发生。</w:t>
            </w:r>
          </w:p>
          <w:p>
            <w:pPr>
              <w:autoSpaceDN w:val="0"/>
              <w:spacing w:line="320" w:lineRule="exact"/>
              <w:textAlignment w:val="center"/>
              <w:rPr>
                <w:rFonts w:ascii="宋体" w:hAnsi="宋体" w:cs="仿宋_GB2312"/>
                <w:sz w:val="24"/>
              </w:rPr>
            </w:pPr>
            <w:r>
              <w:rPr>
                <w:rFonts w:hint="eastAsia" w:ascii="宋体" w:hAnsi="宋体" w:cs="仿宋_GB2312"/>
                <w:sz w:val="24"/>
              </w:rPr>
              <w:t>（五）严管厚爱，队伍面貌发生新变化</w:t>
            </w:r>
          </w:p>
          <w:p>
            <w:pPr>
              <w:autoSpaceDN w:val="0"/>
              <w:spacing w:line="320" w:lineRule="exact"/>
              <w:textAlignment w:val="center"/>
              <w:rPr>
                <w:rFonts w:ascii="宋体" w:hAnsi="宋体" w:cs="仿宋_GB2312"/>
                <w:sz w:val="24"/>
              </w:rPr>
            </w:pPr>
            <w:r>
              <w:rPr>
                <w:rFonts w:hint="eastAsia" w:ascii="宋体" w:hAnsi="宋体" w:cs="仿宋_GB2312"/>
                <w:sz w:val="24"/>
              </w:rPr>
              <w:t>深入开展“坚持政治建警全面从严治警”教育整顿，党委将“国之大者”作为中心组学习的首要课题，全警认真学党章党史、警纪警规、正反典型，扎实开展问题查纠和问题整改，有力提升了队伍守初心、担使命的政治自觉、思想自觉、行动自觉。举行“七一”庆祝、从警30年荣誉仪式、退休仪式等活动，隆重庆祝首个中国人民警察节，扎实做好巡视巡察整改工作，党建的引领保障作用得到进一步加强。推进全警实战大练兵，开展集中学习6次、晨跑42次、体能测试5次，民辅警体能和基本功得到大幅提升。加强先进典型的培育、宣传和推介，20名民辅警获评全县“十佳民警”“十佳辅警”，全局共有17个集体、169名民辅警受到上级表彰奖励，涌现了全省百优民警龚文等一批先进典型，充分展现了公安民警克已奉公、无私奉献的良好形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整体支出</w:t>
            </w:r>
          </w:p>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绩效定量目标及实施计划完成情况</w:t>
            </w:r>
          </w:p>
        </w:tc>
        <w:tc>
          <w:tcPr>
            <w:tcW w:w="2496" w:type="dxa"/>
            <w:gridSpan w:val="5"/>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评价内容</w:t>
            </w:r>
          </w:p>
        </w:tc>
        <w:tc>
          <w:tcPr>
            <w:tcW w:w="1418" w:type="dxa"/>
            <w:gridSpan w:val="3"/>
            <w:noWrap/>
            <w:vAlign w:val="center"/>
          </w:tcPr>
          <w:p>
            <w:pPr>
              <w:autoSpaceDN w:val="0"/>
              <w:spacing w:line="320" w:lineRule="exact"/>
              <w:jc w:val="center"/>
              <w:textAlignment w:val="center"/>
              <w:rPr>
                <w:rFonts w:ascii="宋体" w:hAnsi="宋体" w:cs="仿宋_GB2312"/>
                <w:sz w:val="24"/>
              </w:rPr>
            </w:pPr>
            <w:r>
              <w:rPr>
                <w:rFonts w:hint="eastAsia" w:ascii="宋体" w:hAnsi="宋体" w:cs="仿宋_GB2312"/>
                <w:sz w:val="24"/>
              </w:rPr>
              <w:t>完成情况</w:t>
            </w:r>
          </w:p>
        </w:tc>
        <w:tc>
          <w:tcPr>
            <w:tcW w:w="4445" w:type="dxa"/>
            <w:gridSpan w:val="8"/>
            <w:noWrap/>
            <w:vAlign w:val="center"/>
          </w:tcPr>
          <w:p>
            <w:pPr>
              <w:autoSpaceDN w:val="0"/>
              <w:spacing w:line="320" w:lineRule="exact"/>
              <w:jc w:val="center"/>
              <w:textAlignment w:val="center"/>
              <w:rPr>
                <w:rFonts w:ascii="宋体" w:hAnsi="宋体" w:cs="仿宋_GB2312"/>
                <w:sz w:val="24"/>
              </w:rPr>
            </w:pPr>
            <w:r>
              <w:rPr>
                <w:rFonts w:hint="eastAsia" w:ascii="宋体" w:hAnsi="宋体" w:cs="仿宋_GB2312"/>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宋体" w:hAnsi="宋体" w:cs="仿宋_GB2312"/>
                <w:sz w:val="24"/>
              </w:rPr>
            </w:pPr>
          </w:p>
        </w:tc>
        <w:tc>
          <w:tcPr>
            <w:tcW w:w="1362" w:type="dxa"/>
            <w:gridSpan w:val="4"/>
            <w:vMerge w:val="restart"/>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产出目标</w:t>
            </w:r>
          </w:p>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（部门工作实绩，包含上级部门和县委县政府布置的重点工作、实事任务等，根据部门实际进行调整细化）</w:t>
            </w:r>
          </w:p>
        </w:tc>
        <w:tc>
          <w:tcPr>
            <w:tcW w:w="1134" w:type="dxa"/>
            <w:vMerge w:val="restart"/>
            <w:noWrap/>
            <w:vAlign w:val="center"/>
          </w:tcPr>
          <w:p>
            <w:pPr>
              <w:autoSpaceDN w:val="0"/>
              <w:spacing w:line="320" w:lineRule="exact"/>
              <w:textAlignment w:val="center"/>
              <w:rPr>
                <w:rFonts w:ascii="宋体" w:hAnsi="宋体" w:cs="仿宋_GB2312"/>
                <w:color w:val="000000"/>
                <w:sz w:val="24"/>
              </w:rPr>
            </w:pPr>
            <w:r>
              <w:rPr>
                <w:rFonts w:hint="eastAsia" w:ascii="宋体" w:hAnsi="宋体" w:cs="仿宋_GB2312"/>
                <w:color w:val="000000"/>
                <w:sz w:val="24"/>
              </w:rPr>
              <w:t>质量指标</w:t>
            </w:r>
          </w:p>
        </w:tc>
        <w:tc>
          <w:tcPr>
            <w:tcW w:w="1418" w:type="dxa"/>
            <w:gridSpan w:val="3"/>
            <w:noWrap/>
            <w:vAlign w:val="center"/>
          </w:tcPr>
          <w:p>
            <w:pPr>
              <w:autoSpaceDN w:val="0"/>
              <w:spacing w:line="320" w:lineRule="exact"/>
              <w:jc w:val="left"/>
              <w:textAlignment w:val="center"/>
              <w:rPr>
                <w:rFonts w:ascii="宋体" w:hAnsi="宋体" w:cs="仿宋_GB2312"/>
                <w:sz w:val="24"/>
              </w:rPr>
            </w:pPr>
            <w:r>
              <w:rPr>
                <w:rFonts w:hint="eastAsia" w:ascii="宋体" w:hAnsi="宋体" w:cs="仿宋_GB2312"/>
                <w:sz w:val="24"/>
              </w:rPr>
              <w:t>指标1：强基固本，县域警务开启新篇章</w:t>
            </w:r>
          </w:p>
        </w:tc>
        <w:tc>
          <w:tcPr>
            <w:tcW w:w="4445" w:type="dxa"/>
            <w:gridSpan w:val="8"/>
            <w:noWrap/>
            <w:vAlign w:val="center"/>
          </w:tcPr>
          <w:p>
            <w:pPr>
              <w:autoSpaceDN w:val="0"/>
              <w:spacing w:line="320" w:lineRule="exact"/>
              <w:textAlignment w:val="center"/>
              <w:rPr>
                <w:rFonts w:ascii="宋体" w:hAnsi="宋体" w:cs="仿宋_GB2312"/>
                <w:sz w:val="24"/>
              </w:rPr>
            </w:pPr>
            <w:r>
              <w:rPr>
                <w:rFonts w:hint="eastAsia" w:ascii="宋体" w:hAnsi="宋体" w:cs="仿宋_GB2312"/>
                <w:sz w:val="24"/>
              </w:rPr>
              <w:t>以防范化解重大风险为切入点，深入推进县域警务战略。从8个类别34个维度，对影响安全稳定的风险进行全要素、全覆盖的大起底、大排查、大研判，共排查风险点近2万个，出台《全县政治安全和社会稳定风险评估报告》，为相关部门和警种防范化解重大风险提供了精准的数据支撑和科学的指导。筑牢了保安全、护稳定的坚固防线。加强民爆物品和公众场所、重点单位隐患排查，公共安全事故、暴恐案事件零发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宋体" w:hAnsi="宋体" w:cs="仿宋_GB2312"/>
                <w:sz w:val="24"/>
              </w:rPr>
            </w:pPr>
          </w:p>
        </w:tc>
        <w:tc>
          <w:tcPr>
            <w:tcW w:w="1362" w:type="dxa"/>
            <w:gridSpan w:val="4"/>
            <w:vMerge w:val="continue"/>
            <w:noWrap/>
            <w:vAlign w:val="center"/>
          </w:tcPr>
          <w:p>
            <w:pPr>
              <w:autoSpaceDN w:val="0"/>
              <w:spacing w:line="320" w:lineRule="exact"/>
              <w:rPr>
                <w:rFonts w:ascii="宋体" w:hAnsi="宋体" w:cs="仿宋_GB2312"/>
                <w:sz w:val="24"/>
              </w:rPr>
            </w:pPr>
          </w:p>
        </w:tc>
        <w:tc>
          <w:tcPr>
            <w:tcW w:w="1134" w:type="dxa"/>
            <w:vMerge w:val="continue"/>
            <w:noWrap/>
            <w:vAlign w:val="center"/>
          </w:tcPr>
          <w:p>
            <w:pPr>
              <w:spacing w:line="320" w:lineRule="exact"/>
              <w:rPr>
                <w:rFonts w:ascii="宋体" w:hAnsi="宋体" w:cs="仿宋_GB2312"/>
                <w:sz w:val="24"/>
              </w:rPr>
            </w:pPr>
          </w:p>
        </w:tc>
        <w:tc>
          <w:tcPr>
            <w:tcW w:w="1418" w:type="dxa"/>
            <w:gridSpan w:val="3"/>
            <w:noWrap/>
            <w:vAlign w:val="center"/>
          </w:tcPr>
          <w:p>
            <w:pPr>
              <w:autoSpaceDN w:val="0"/>
              <w:spacing w:line="320" w:lineRule="exact"/>
              <w:jc w:val="left"/>
              <w:textAlignment w:val="center"/>
              <w:rPr>
                <w:rFonts w:ascii="宋体" w:hAnsi="宋体" w:cs="仿宋_GB2312"/>
                <w:sz w:val="24"/>
              </w:rPr>
            </w:pPr>
            <w:r>
              <w:rPr>
                <w:rFonts w:hint="eastAsia" w:ascii="宋体" w:hAnsi="宋体" w:cs="仿宋_GB2312"/>
                <w:sz w:val="24"/>
              </w:rPr>
              <w:t>指标2：严管厚爱，队伍面貌发生新变化</w:t>
            </w:r>
          </w:p>
        </w:tc>
        <w:tc>
          <w:tcPr>
            <w:tcW w:w="4445" w:type="dxa"/>
            <w:gridSpan w:val="8"/>
            <w:noWrap/>
            <w:vAlign w:val="center"/>
          </w:tcPr>
          <w:p>
            <w:pPr>
              <w:autoSpaceDN w:val="0"/>
              <w:spacing w:line="320" w:lineRule="exact"/>
              <w:jc w:val="left"/>
              <w:textAlignment w:val="center"/>
              <w:rPr>
                <w:rFonts w:ascii="宋体" w:hAnsi="宋体" w:cs="仿宋_GB2312"/>
                <w:sz w:val="24"/>
              </w:rPr>
            </w:pPr>
            <w:r>
              <w:rPr>
                <w:rFonts w:hint="eastAsia" w:ascii="宋体" w:hAnsi="宋体" w:cs="仿宋_GB2312"/>
                <w:sz w:val="24"/>
              </w:rPr>
              <w:t>深入开展“坚持政治建警全面从严治警”教育整顿，党委将“国之大者”作为中心组学习的首要课题，全警认真学党章党史、警纪警规、正反典型，扎实开展问题查纠和问题整改，有力提升了队伍守初心、担使命的政治自觉、思想自觉、行动自觉。举行“七一”庆祝、从警30年荣誉仪式、退休仪式等活动，隆重庆祝首个中国人民警察节，扎实做好巡视巡察整改工作，党建的引领保障作用得到进一步加强。推进全警实战大练兵，开展集中学习6次、晨跑42次、体能测试5次，民辅警体能和基本功得到大幅提升。加强先进典型的培育、宣传和推介，20名民辅警获评全县“十佳民警”“十佳辅警”，全局共有17个集体、169名民辅警受到上级表彰奖励，涌现了全省百优民警龚文等一批先进典型，充分展现了公安民警克已奉公、无私奉献的良好形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宋体" w:hAnsi="宋体" w:cs="仿宋_GB2312"/>
                <w:sz w:val="24"/>
              </w:rPr>
            </w:pPr>
          </w:p>
        </w:tc>
        <w:tc>
          <w:tcPr>
            <w:tcW w:w="1362" w:type="dxa"/>
            <w:gridSpan w:val="4"/>
            <w:vMerge w:val="continue"/>
            <w:noWrap/>
            <w:vAlign w:val="center"/>
          </w:tcPr>
          <w:p>
            <w:pPr>
              <w:autoSpaceDN w:val="0"/>
              <w:spacing w:line="320" w:lineRule="exact"/>
              <w:rPr>
                <w:rFonts w:ascii="宋体" w:hAnsi="宋体" w:cs="仿宋_GB2312"/>
                <w:sz w:val="24"/>
              </w:rPr>
            </w:pPr>
          </w:p>
        </w:tc>
        <w:tc>
          <w:tcPr>
            <w:tcW w:w="1134" w:type="dxa"/>
            <w:vMerge w:val="restart"/>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数量指标</w:t>
            </w:r>
          </w:p>
        </w:tc>
        <w:tc>
          <w:tcPr>
            <w:tcW w:w="1418" w:type="dxa"/>
            <w:gridSpan w:val="3"/>
            <w:noWrap/>
            <w:vAlign w:val="center"/>
          </w:tcPr>
          <w:p>
            <w:pPr>
              <w:autoSpaceDN w:val="0"/>
              <w:spacing w:line="320" w:lineRule="exact"/>
              <w:jc w:val="left"/>
              <w:textAlignment w:val="center"/>
              <w:rPr>
                <w:rFonts w:ascii="宋体" w:hAnsi="宋体" w:cs="仿宋_GB2312"/>
                <w:sz w:val="24"/>
              </w:rPr>
            </w:pPr>
            <w:r>
              <w:rPr>
                <w:rFonts w:hint="eastAsia" w:ascii="宋体" w:hAnsi="宋体" w:cs="仿宋_GB2312"/>
                <w:sz w:val="24"/>
              </w:rPr>
              <w:t>指标1：不惧风险，抗击疫情彰显新担当</w:t>
            </w:r>
          </w:p>
        </w:tc>
        <w:tc>
          <w:tcPr>
            <w:tcW w:w="4445" w:type="dxa"/>
            <w:gridSpan w:val="8"/>
            <w:noWrap/>
            <w:vAlign w:val="center"/>
          </w:tcPr>
          <w:p>
            <w:pPr>
              <w:autoSpaceDN w:val="0"/>
              <w:spacing w:line="320" w:lineRule="exact"/>
              <w:textAlignment w:val="center"/>
              <w:rPr>
                <w:rFonts w:ascii="宋体" w:hAnsi="宋体" w:cs="仿宋_GB2312"/>
                <w:sz w:val="24"/>
              </w:rPr>
            </w:pPr>
            <w:r>
              <w:rPr>
                <w:rFonts w:hint="eastAsia" w:ascii="宋体" w:hAnsi="宋体" w:cs="仿宋_GB2312"/>
                <w:sz w:val="24"/>
              </w:rPr>
              <w:t>在疫情的传播力、危险性还不十分明确的情形下，全县广大民辅警闻警即动、披装上阵，战风雨、守卡口、护稳定、保循环。疫情防控期间，我们累计安排3000多人次坚守卡口、定点医院和隔离观察宾馆，大力开展流行病学调查和大数据信息核查，依法查处涉疫案件，28名民辅警受到表彰奖励，充分彰显了华容公安大局为重、扛风挡雨、能征善战的新担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ign w:val="center"/>
          </w:tcPr>
          <w:p>
            <w:pPr>
              <w:spacing w:line="320" w:lineRule="exact"/>
              <w:rPr>
                <w:rFonts w:ascii="宋体" w:hAnsi="宋体" w:cs="仿宋_GB2312"/>
                <w:sz w:val="24"/>
              </w:rPr>
            </w:pPr>
          </w:p>
        </w:tc>
        <w:tc>
          <w:tcPr>
            <w:tcW w:w="1362" w:type="dxa"/>
            <w:gridSpan w:val="4"/>
            <w:vMerge w:val="continue"/>
            <w:noWrap/>
            <w:vAlign w:val="center"/>
          </w:tcPr>
          <w:p>
            <w:pPr>
              <w:autoSpaceDN w:val="0"/>
              <w:spacing w:line="320" w:lineRule="exact"/>
              <w:rPr>
                <w:rFonts w:ascii="宋体" w:hAnsi="宋体" w:cs="仿宋_GB2312"/>
                <w:sz w:val="24"/>
              </w:rPr>
            </w:pPr>
          </w:p>
        </w:tc>
        <w:tc>
          <w:tcPr>
            <w:tcW w:w="1134" w:type="dxa"/>
            <w:vMerge w:val="continue"/>
            <w:noWrap/>
            <w:vAlign w:val="center"/>
          </w:tcPr>
          <w:p>
            <w:pPr>
              <w:autoSpaceDN w:val="0"/>
              <w:spacing w:line="320" w:lineRule="exact"/>
              <w:jc w:val="center"/>
              <w:textAlignment w:val="center"/>
              <w:rPr>
                <w:rFonts w:ascii="宋体" w:hAnsi="宋体" w:cs="仿宋_GB2312"/>
                <w:sz w:val="24"/>
              </w:rPr>
            </w:pPr>
          </w:p>
        </w:tc>
        <w:tc>
          <w:tcPr>
            <w:tcW w:w="1418" w:type="dxa"/>
            <w:gridSpan w:val="3"/>
            <w:noWrap/>
            <w:vAlign w:val="center"/>
          </w:tcPr>
          <w:p>
            <w:pPr>
              <w:autoSpaceDN w:val="0"/>
              <w:spacing w:line="320" w:lineRule="exact"/>
              <w:jc w:val="left"/>
              <w:textAlignment w:val="center"/>
              <w:rPr>
                <w:rFonts w:ascii="宋体" w:hAnsi="宋体" w:cs="仿宋_GB2312"/>
                <w:sz w:val="24"/>
              </w:rPr>
            </w:pPr>
            <w:r>
              <w:rPr>
                <w:rFonts w:hint="eastAsia" w:ascii="宋体" w:hAnsi="宋体" w:cs="仿宋_GB2312"/>
                <w:sz w:val="24"/>
              </w:rPr>
              <w:t>指标2：打防并举，主责主业取得新成效</w:t>
            </w:r>
          </w:p>
        </w:tc>
        <w:tc>
          <w:tcPr>
            <w:tcW w:w="4445" w:type="dxa"/>
            <w:gridSpan w:val="8"/>
            <w:noWrap/>
            <w:vAlign w:val="center"/>
          </w:tcPr>
          <w:p>
            <w:pPr>
              <w:autoSpaceDN w:val="0"/>
              <w:spacing w:line="320" w:lineRule="exact"/>
              <w:textAlignment w:val="center"/>
              <w:rPr>
                <w:rFonts w:ascii="宋体" w:hAnsi="宋体" w:cs="仿宋_GB2312"/>
                <w:sz w:val="24"/>
              </w:rPr>
            </w:pPr>
            <w:r>
              <w:rPr>
                <w:rFonts w:hint="eastAsia" w:ascii="宋体" w:hAnsi="宋体" w:cs="仿宋_GB2312"/>
                <w:sz w:val="24"/>
              </w:rPr>
              <w:t>以扫黑除恶专项斗争为龙头，深入开展反电诈、打盗抢、禁毒品、扫黄赌、净网络、扫扬尘和打击非法捕捞等专项行动，始终保持了对突出违法犯罪的严打高压态势。共侦办涉黑涉恶类案件32起、移送起诉45人、打掉恶势力团伙3个，共破获刑事案件361起、查处行政案件1242起、移送起诉363人、行政拘留479人。坚持以打促防、打防并举，充分发挥城市快警、驻村辅警、天网探头巡防巡控作用，人民群众见警率、安全感得到增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ign w:val="center"/>
          </w:tcPr>
          <w:p>
            <w:pPr>
              <w:spacing w:line="320" w:lineRule="exact"/>
              <w:rPr>
                <w:rFonts w:ascii="宋体" w:hAnsi="宋体" w:cs="仿宋_GB2312"/>
                <w:sz w:val="24"/>
              </w:rPr>
            </w:pPr>
          </w:p>
        </w:tc>
        <w:tc>
          <w:tcPr>
            <w:tcW w:w="1362" w:type="dxa"/>
            <w:gridSpan w:val="4"/>
            <w:vMerge w:val="continue"/>
            <w:noWrap/>
            <w:vAlign w:val="center"/>
          </w:tcPr>
          <w:p>
            <w:pPr>
              <w:autoSpaceDN w:val="0"/>
              <w:spacing w:line="320" w:lineRule="exact"/>
              <w:rPr>
                <w:rFonts w:ascii="宋体" w:hAnsi="宋体" w:cs="仿宋_GB2312"/>
                <w:sz w:val="24"/>
              </w:rPr>
            </w:pPr>
          </w:p>
        </w:tc>
        <w:tc>
          <w:tcPr>
            <w:tcW w:w="1134" w:type="dxa"/>
            <w:vMerge w:val="continue"/>
            <w:noWrap/>
            <w:vAlign w:val="center"/>
          </w:tcPr>
          <w:p>
            <w:pPr>
              <w:autoSpaceDN w:val="0"/>
              <w:spacing w:line="320" w:lineRule="exact"/>
              <w:jc w:val="center"/>
              <w:textAlignment w:val="center"/>
              <w:rPr>
                <w:rFonts w:ascii="宋体" w:hAnsi="宋体" w:cs="仿宋_GB2312"/>
                <w:sz w:val="24"/>
              </w:rPr>
            </w:pPr>
          </w:p>
        </w:tc>
        <w:tc>
          <w:tcPr>
            <w:tcW w:w="1418" w:type="dxa"/>
            <w:gridSpan w:val="3"/>
            <w:noWrap/>
            <w:vAlign w:val="center"/>
          </w:tcPr>
          <w:p>
            <w:pPr>
              <w:autoSpaceDN w:val="0"/>
              <w:spacing w:line="320" w:lineRule="exact"/>
              <w:jc w:val="left"/>
              <w:textAlignment w:val="center"/>
              <w:rPr>
                <w:rFonts w:ascii="宋体" w:hAnsi="宋体" w:cs="仿宋_GB2312"/>
                <w:sz w:val="24"/>
              </w:rPr>
            </w:pPr>
            <w:r>
              <w:rPr>
                <w:rFonts w:hint="eastAsia" w:ascii="宋体" w:hAnsi="宋体" w:cs="仿宋_GB2312"/>
                <w:sz w:val="24"/>
              </w:rPr>
              <w:t>指标3：严格监管，法治公安迈出新步伐</w:t>
            </w:r>
          </w:p>
        </w:tc>
        <w:tc>
          <w:tcPr>
            <w:tcW w:w="4445" w:type="dxa"/>
            <w:gridSpan w:val="8"/>
            <w:noWrap/>
            <w:vAlign w:val="center"/>
          </w:tcPr>
          <w:p>
            <w:pPr>
              <w:autoSpaceDN w:val="0"/>
              <w:spacing w:line="320" w:lineRule="exact"/>
              <w:textAlignment w:val="center"/>
              <w:rPr>
                <w:rFonts w:ascii="宋体" w:hAnsi="宋体" w:cs="仿宋_GB2312"/>
                <w:bCs/>
                <w:sz w:val="24"/>
              </w:rPr>
            </w:pPr>
            <w:r>
              <w:rPr>
                <w:rFonts w:hint="eastAsia" w:ascii="宋体" w:hAnsi="宋体" w:cs="仿宋_GB2312"/>
                <w:sz w:val="24"/>
              </w:rPr>
              <w:t>加强执法网上巡查和日常监管，整治执法顽瘴痼疾94条，通过以查促改、以整改促规范，守住了公安工作“生命线”。全年未发生一起典型执法问题和重大执法过错。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宋体" w:hAnsi="宋体" w:cs="仿宋_GB2312"/>
                <w:sz w:val="24"/>
              </w:rPr>
            </w:pPr>
          </w:p>
        </w:tc>
        <w:tc>
          <w:tcPr>
            <w:tcW w:w="1362" w:type="dxa"/>
            <w:gridSpan w:val="4"/>
            <w:vMerge w:val="continue"/>
            <w:noWrap/>
            <w:vAlign w:val="center"/>
          </w:tcPr>
          <w:p>
            <w:pPr>
              <w:autoSpaceDN w:val="0"/>
              <w:spacing w:line="320" w:lineRule="exact"/>
              <w:rPr>
                <w:rFonts w:ascii="宋体" w:hAnsi="宋体" w:cs="仿宋_GB2312"/>
                <w:sz w:val="24"/>
              </w:rPr>
            </w:pPr>
          </w:p>
        </w:tc>
        <w:tc>
          <w:tcPr>
            <w:tcW w:w="1134" w:type="dxa"/>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时效指标</w:t>
            </w:r>
          </w:p>
        </w:tc>
        <w:tc>
          <w:tcPr>
            <w:tcW w:w="1418" w:type="dxa"/>
            <w:gridSpan w:val="3"/>
            <w:noWrap/>
            <w:vAlign w:val="center"/>
          </w:tcPr>
          <w:p>
            <w:pPr>
              <w:autoSpaceDN w:val="0"/>
              <w:spacing w:line="320" w:lineRule="exact"/>
              <w:jc w:val="left"/>
              <w:textAlignment w:val="center"/>
              <w:rPr>
                <w:rFonts w:ascii="宋体" w:hAnsi="宋体" w:cs="仿宋_GB2312"/>
                <w:sz w:val="24"/>
              </w:rPr>
            </w:pPr>
            <w:r>
              <w:rPr>
                <w:rFonts w:hint="eastAsia" w:ascii="宋体" w:hAnsi="宋体" w:cs="仿宋_GB2312"/>
                <w:sz w:val="24"/>
              </w:rPr>
              <w:t>年底前完成</w:t>
            </w:r>
          </w:p>
        </w:tc>
        <w:tc>
          <w:tcPr>
            <w:tcW w:w="4445" w:type="dxa"/>
            <w:gridSpan w:val="8"/>
            <w:noWrap/>
            <w:vAlign w:val="center"/>
          </w:tcPr>
          <w:p>
            <w:pPr>
              <w:autoSpaceDN w:val="0"/>
              <w:spacing w:line="320" w:lineRule="exact"/>
              <w:jc w:val="left"/>
              <w:textAlignment w:val="center"/>
              <w:rPr>
                <w:rFonts w:ascii="宋体" w:hAnsi="宋体" w:cs="仿宋_GB2312"/>
                <w:sz w:val="24"/>
              </w:rPr>
            </w:pPr>
            <w:r>
              <w:rPr>
                <w:rFonts w:hint="eastAsia" w:ascii="宋体" w:hAnsi="宋体" w:cs="仿宋_GB2312"/>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宋体" w:hAnsi="宋体" w:cs="仿宋_GB2312"/>
                <w:sz w:val="24"/>
              </w:rPr>
            </w:pPr>
          </w:p>
        </w:tc>
        <w:tc>
          <w:tcPr>
            <w:tcW w:w="1362" w:type="dxa"/>
            <w:gridSpan w:val="4"/>
            <w:vMerge w:val="continue"/>
            <w:noWrap/>
            <w:vAlign w:val="center"/>
          </w:tcPr>
          <w:p>
            <w:pPr>
              <w:autoSpaceDN w:val="0"/>
              <w:spacing w:line="320" w:lineRule="exact"/>
              <w:rPr>
                <w:rFonts w:ascii="宋体" w:hAnsi="宋体" w:cs="仿宋_GB2312"/>
                <w:sz w:val="24"/>
              </w:rPr>
            </w:pPr>
          </w:p>
        </w:tc>
        <w:tc>
          <w:tcPr>
            <w:tcW w:w="1134" w:type="dxa"/>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成本指标</w:t>
            </w:r>
          </w:p>
        </w:tc>
        <w:tc>
          <w:tcPr>
            <w:tcW w:w="1418" w:type="dxa"/>
            <w:gridSpan w:val="3"/>
            <w:noWrap/>
            <w:vAlign w:val="center"/>
          </w:tcPr>
          <w:p>
            <w:pPr>
              <w:autoSpaceDN w:val="0"/>
              <w:spacing w:line="320" w:lineRule="exact"/>
              <w:jc w:val="left"/>
              <w:textAlignment w:val="center"/>
              <w:rPr>
                <w:rFonts w:ascii="宋体" w:hAnsi="宋体" w:cs="仿宋_GB2312"/>
                <w:sz w:val="24"/>
              </w:rPr>
            </w:pPr>
            <w:r>
              <w:rPr>
                <w:rFonts w:hint="eastAsia" w:ascii="宋体" w:hAnsi="宋体" w:cs="仿宋_GB2312"/>
                <w:sz w:val="24"/>
              </w:rPr>
              <w:t>控制在预算内</w:t>
            </w:r>
          </w:p>
        </w:tc>
        <w:tc>
          <w:tcPr>
            <w:tcW w:w="4445" w:type="dxa"/>
            <w:gridSpan w:val="8"/>
            <w:noWrap/>
            <w:vAlign w:val="center"/>
          </w:tcPr>
          <w:p>
            <w:pPr>
              <w:autoSpaceDN w:val="0"/>
              <w:spacing w:line="320" w:lineRule="exact"/>
              <w:jc w:val="left"/>
              <w:textAlignment w:val="center"/>
              <w:rPr>
                <w:rFonts w:ascii="宋体" w:hAnsi="宋体" w:cs="仿宋_GB2312"/>
                <w:sz w:val="24"/>
              </w:rPr>
            </w:pPr>
            <w:r>
              <w:rPr>
                <w:rFonts w:hint="eastAsia" w:ascii="宋体" w:hAnsi="宋体" w:cs="仿宋_GB2312"/>
                <w:sz w:val="24"/>
              </w:rPr>
              <w:t>控制在预算内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102" w:hRule="atLeast"/>
          <w:jc w:val="center"/>
        </w:trPr>
        <w:tc>
          <w:tcPr>
            <w:tcW w:w="1441" w:type="dxa"/>
            <w:vMerge w:val="continue"/>
            <w:noWrap/>
            <w:vAlign w:val="center"/>
          </w:tcPr>
          <w:p>
            <w:pPr>
              <w:spacing w:line="320" w:lineRule="exact"/>
              <w:rPr>
                <w:rFonts w:ascii="宋体" w:hAnsi="宋体" w:cs="仿宋_GB2312"/>
                <w:sz w:val="24"/>
              </w:rPr>
            </w:pPr>
          </w:p>
        </w:tc>
        <w:tc>
          <w:tcPr>
            <w:tcW w:w="1362" w:type="dxa"/>
            <w:gridSpan w:val="4"/>
            <w:vMerge w:val="restart"/>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效益目标</w:t>
            </w:r>
          </w:p>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（预期实现的效益）</w:t>
            </w:r>
          </w:p>
        </w:tc>
        <w:tc>
          <w:tcPr>
            <w:tcW w:w="1134" w:type="dxa"/>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社会效益</w:t>
            </w:r>
          </w:p>
        </w:tc>
        <w:tc>
          <w:tcPr>
            <w:tcW w:w="1418" w:type="dxa"/>
            <w:gridSpan w:val="3"/>
            <w:noWrap/>
            <w:vAlign w:val="center"/>
          </w:tcPr>
          <w:p>
            <w:pPr>
              <w:autoSpaceDN w:val="0"/>
              <w:spacing w:line="320" w:lineRule="exact"/>
              <w:jc w:val="left"/>
              <w:textAlignment w:val="center"/>
              <w:rPr>
                <w:rFonts w:ascii="宋体" w:hAnsi="宋体" w:cs="仿宋_GB2312"/>
                <w:sz w:val="24"/>
              </w:rPr>
            </w:pPr>
            <w:r>
              <w:rPr>
                <w:rFonts w:ascii="宋体" w:hAnsi="宋体" w:cs="仿宋_GB2312"/>
                <w:sz w:val="24"/>
              </w:rPr>
              <w:t>1.</w:t>
            </w:r>
            <w:r>
              <w:rPr>
                <w:rFonts w:hint="eastAsia" w:ascii="宋体" w:hAnsi="宋体" w:cs="仿宋_GB2312"/>
                <w:sz w:val="24"/>
              </w:rPr>
              <w:t>预防、制止和侦查违法犯罪活动、维护社会治安秩序，制止危害社会治安秩序的行为；</w:t>
            </w:r>
          </w:p>
          <w:p>
            <w:pPr>
              <w:autoSpaceDN w:val="0"/>
              <w:spacing w:line="320" w:lineRule="exact"/>
              <w:jc w:val="left"/>
              <w:textAlignment w:val="center"/>
              <w:rPr>
                <w:rFonts w:ascii="宋体" w:hAnsi="宋体" w:cs="仿宋_GB2312"/>
                <w:sz w:val="24"/>
              </w:rPr>
            </w:pPr>
            <w:r>
              <w:rPr>
                <w:rFonts w:ascii="宋体" w:hAnsi="宋体" w:cs="仿宋_GB2312"/>
                <w:sz w:val="24"/>
              </w:rPr>
              <w:t>2.</w:t>
            </w:r>
            <w:r>
              <w:rPr>
                <w:rFonts w:hint="eastAsia" w:ascii="宋体" w:hAnsi="宋体" w:cs="仿宋_GB2312"/>
                <w:sz w:val="24"/>
              </w:rPr>
              <w:t>依法稳妥维护好全县政治大局稳定</w:t>
            </w:r>
          </w:p>
        </w:tc>
        <w:tc>
          <w:tcPr>
            <w:tcW w:w="4445" w:type="dxa"/>
            <w:gridSpan w:val="8"/>
            <w:noWrap/>
            <w:vAlign w:val="center"/>
          </w:tcPr>
          <w:p>
            <w:pPr>
              <w:autoSpaceDN w:val="0"/>
              <w:spacing w:line="320" w:lineRule="exact"/>
              <w:jc w:val="left"/>
              <w:textAlignment w:val="center"/>
              <w:rPr>
                <w:rFonts w:ascii="宋体" w:hAnsi="宋体" w:cs="仿宋_GB2312"/>
                <w:b/>
                <w:sz w:val="24"/>
                <w:highlight w:val="yellow"/>
              </w:rPr>
            </w:pPr>
            <w:r>
              <w:rPr>
                <w:rFonts w:ascii="宋体" w:hAnsi="宋体" w:cs="仿宋_GB2312"/>
                <w:sz w:val="24"/>
              </w:rPr>
              <w:t>1.</w:t>
            </w:r>
            <w:r>
              <w:rPr>
                <w:rFonts w:hint="eastAsia" w:ascii="宋体" w:hAnsi="宋体" w:cs="仿宋_GB2312"/>
                <w:sz w:val="24"/>
              </w:rPr>
              <w:t>对违法犯罪保持高压严打态势，深入开展扫黑除恶专项斗争，社会治安秩序根本好转，侦破了一批大要案件，社会效果显著；</w:t>
            </w:r>
            <w:r>
              <w:rPr>
                <w:rFonts w:ascii="宋体" w:hAnsi="宋体" w:cs="仿宋_GB2312"/>
                <w:sz w:val="24"/>
              </w:rPr>
              <w:t>2.</w:t>
            </w:r>
            <w:r>
              <w:rPr>
                <w:rFonts w:hint="eastAsia" w:ascii="宋体" w:hAnsi="宋体" w:cs="仿宋_GB2312"/>
                <w:sz w:val="24"/>
              </w:rPr>
              <w:t>通过一村一辅警、城市快警、派出所及“四所”建设，完善了立体化、信息化社会治安防控体系，改善了治安条件，维护了经济环境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宋体" w:hAnsi="宋体" w:cs="仿宋_GB2312"/>
                <w:sz w:val="24"/>
              </w:rPr>
            </w:pPr>
          </w:p>
        </w:tc>
        <w:tc>
          <w:tcPr>
            <w:tcW w:w="1362" w:type="dxa"/>
            <w:gridSpan w:val="4"/>
            <w:vMerge w:val="continue"/>
            <w:noWrap/>
            <w:vAlign w:val="center"/>
          </w:tcPr>
          <w:p>
            <w:pPr>
              <w:autoSpaceDN w:val="0"/>
              <w:spacing w:line="320" w:lineRule="exact"/>
              <w:rPr>
                <w:rFonts w:ascii="宋体" w:hAnsi="宋体" w:cs="仿宋_GB2312"/>
                <w:sz w:val="24"/>
              </w:rPr>
            </w:pPr>
          </w:p>
        </w:tc>
        <w:tc>
          <w:tcPr>
            <w:tcW w:w="1134" w:type="dxa"/>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经济效益</w:t>
            </w:r>
          </w:p>
        </w:tc>
        <w:tc>
          <w:tcPr>
            <w:tcW w:w="1418" w:type="dxa"/>
            <w:gridSpan w:val="3"/>
            <w:noWrap/>
            <w:vAlign w:val="center"/>
          </w:tcPr>
          <w:p>
            <w:pPr>
              <w:autoSpaceDN w:val="0"/>
              <w:spacing w:line="320" w:lineRule="exact"/>
              <w:jc w:val="left"/>
              <w:textAlignment w:val="center"/>
              <w:rPr>
                <w:rFonts w:ascii="宋体" w:hAnsi="宋体" w:cs="仿宋_GB2312"/>
                <w:sz w:val="24"/>
              </w:rPr>
            </w:pPr>
            <w:r>
              <w:rPr>
                <w:rFonts w:hint="eastAsia" w:ascii="宋体" w:hAnsi="宋体" w:cs="仿宋_GB2312"/>
                <w:sz w:val="24"/>
              </w:rPr>
              <w:t>维护全市大局稳定，推进平安华容、法治华容建设</w:t>
            </w:r>
          </w:p>
        </w:tc>
        <w:tc>
          <w:tcPr>
            <w:tcW w:w="4445" w:type="dxa"/>
            <w:gridSpan w:val="8"/>
            <w:noWrap/>
            <w:vAlign w:val="center"/>
          </w:tcPr>
          <w:p>
            <w:pPr>
              <w:autoSpaceDN w:val="0"/>
              <w:spacing w:line="320" w:lineRule="exact"/>
              <w:jc w:val="left"/>
              <w:textAlignment w:val="center"/>
              <w:rPr>
                <w:rFonts w:ascii="宋体" w:hAnsi="宋体" w:cs="仿宋_GB2312"/>
                <w:sz w:val="24"/>
              </w:rPr>
            </w:pPr>
            <w:r>
              <w:rPr>
                <w:rFonts w:hint="eastAsia" w:ascii="宋体" w:hAnsi="宋体" w:cs="仿宋_GB2312"/>
                <w:sz w:val="24"/>
              </w:rPr>
              <w:t>以安保维稳和扫黑除恶为抓手，确保了全县大局稳定</w:t>
            </w:r>
            <w:r>
              <w:rPr>
                <w:rFonts w:ascii="宋体" w:hAnsi="宋体" w:cs="仿宋_GB2312"/>
                <w:sz w:val="24"/>
              </w:rPr>
              <w:t>,</w:t>
            </w:r>
            <w:r>
              <w:rPr>
                <w:rFonts w:hint="eastAsia" w:ascii="宋体" w:hAnsi="宋体" w:cs="仿宋_GB2312"/>
                <w:sz w:val="24"/>
              </w:rPr>
              <w:t>有力推进了平安华容、法治华容建设</w:t>
            </w:r>
            <w:r>
              <w:rPr>
                <w:rFonts w:ascii="宋体" w:hAnsi="宋体" w:cs="仿宋_GB2312"/>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宋体" w:hAnsi="宋体" w:cs="仿宋_GB2312"/>
                <w:sz w:val="24"/>
              </w:rPr>
            </w:pPr>
          </w:p>
        </w:tc>
        <w:tc>
          <w:tcPr>
            <w:tcW w:w="1362" w:type="dxa"/>
            <w:gridSpan w:val="4"/>
            <w:vMerge w:val="continue"/>
            <w:noWrap/>
            <w:vAlign w:val="center"/>
          </w:tcPr>
          <w:p>
            <w:pPr>
              <w:autoSpaceDN w:val="0"/>
              <w:spacing w:line="320" w:lineRule="exact"/>
              <w:rPr>
                <w:rFonts w:ascii="宋体" w:hAnsi="宋体" w:cs="仿宋_GB2312"/>
                <w:sz w:val="24"/>
              </w:rPr>
            </w:pPr>
          </w:p>
        </w:tc>
        <w:tc>
          <w:tcPr>
            <w:tcW w:w="1134" w:type="dxa"/>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生态效益</w:t>
            </w:r>
          </w:p>
        </w:tc>
        <w:tc>
          <w:tcPr>
            <w:tcW w:w="1418" w:type="dxa"/>
            <w:gridSpan w:val="3"/>
            <w:noWrap/>
            <w:vAlign w:val="center"/>
          </w:tcPr>
          <w:p>
            <w:pPr>
              <w:autoSpaceDN w:val="0"/>
              <w:spacing w:line="320" w:lineRule="exact"/>
              <w:jc w:val="left"/>
              <w:textAlignment w:val="center"/>
              <w:rPr>
                <w:rFonts w:ascii="宋体" w:hAnsi="宋体" w:cs="仿宋_GB2312"/>
                <w:sz w:val="24"/>
              </w:rPr>
            </w:pPr>
            <w:r>
              <w:rPr>
                <w:rFonts w:hint="eastAsia" w:ascii="宋体" w:hAnsi="宋体" w:cs="仿宋_GB2312"/>
                <w:sz w:val="24"/>
              </w:rPr>
              <w:t>深入开展政治建警</w:t>
            </w:r>
          </w:p>
        </w:tc>
        <w:tc>
          <w:tcPr>
            <w:tcW w:w="4445" w:type="dxa"/>
            <w:gridSpan w:val="8"/>
            <w:noWrap/>
            <w:vAlign w:val="center"/>
          </w:tcPr>
          <w:p>
            <w:pPr>
              <w:autoSpaceDN w:val="0"/>
              <w:spacing w:line="320" w:lineRule="exact"/>
              <w:jc w:val="left"/>
              <w:textAlignment w:val="center"/>
              <w:rPr>
                <w:rFonts w:ascii="宋体" w:hAnsi="宋体" w:cs="仿宋_GB2312"/>
                <w:bCs/>
                <w:sz w:val="24"/>
              </w:rPr>
            </w:pPr>
            <w:r>
              <w:rPr>
                <w:rFonts w:hint="eastAsia" w:ascii="宋体" w:hAnsi="宋体" w:cs="仿宋_GB2312"/>
                <w:sz w:val="24"/>
              </w:rPr>
              <w:t>扎实开展“不忘初心，牢记使命”主题教育，组织开展全国全省公安工作会议精神宣讲、聆听“岳阳公安先进事迹宣讲报告团”宣讲、参观廉政教育警示基地、主题教育知识测试、征集“华容公安荣誉馆”展品、“学习强国”平台学习比赶超、“践行新使命、忠诚保大庆”主题演讲比赛等系列活动。积极培育和推介先典型，涌现出了一大批先进集体和个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宋体" w:hAnsi="宋体" w:cs="仿宋_GB2312"/>
                <w:sz w:val="24"/>
              </w:rPr>
            </w:pPr>
          </w:p>
        </w:tc>
        <w:tc>
          <w:tcPr>
            <w:tcW w:w="1362" w:type="dxa"/>
            <w:gridSpan w:val="4"/>
            <w:vMerge w:val="continue"/>
            <w:noWrap/>
            <w:vAlign w:val="center"/>
          </w:tcPr>
          <w:p>
            <w:pPr>
              <w:autoSpaceDN w:val="0"/>
              <w:spacing w:line="320" w:lineRule="exact"/>
              <w:rPr>
                <w:rFonts w:ascii="宋体" w:hAnsi="宋体" w:cs="仿宋_GB2312"/>
                <w:sz w:val="24"/>
              </w:rPr>
            </w:pPr>
          </w:p>
        </w:tc>
        <w:tc>
          <w:tcPr>
            <w:tcW w:w="1134" w:type="dxa"/>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社会公众或服务对象满意度</w:t>
            </w:r>
          </w:p>
        </w:tc>
        <w:tc>
          <w:tcPr>
            <w:tcW w:w="1418" w:type="dxa"/>
            <w:gridSpan w:val="3"/>
            <w:noWrap/>
            <w:vAlign w:val="center"/>
          </w:tcPr>
          <w:p>
            <w:pPr>
              <w:autoSpaceDN w:val="0"/>
              <w:spacing w:line="320" w:lineRule="exact"/>
              <w:jc w:val="left"/>
              <w:textAlignment w:val="center"/>
              <w:rPr>
                <w:rFonts w:ascii="宋体" w:hAnsi="宋体" w:cs="仿宋_GB2312"/>
                <w:sz w:val="24"/>
              </w:rPr>
            </w:pPr>
            <w:r>
              <w:rPr>
                <w:rFonts w:hint="eastAsia" w:ascii="宋体" w:hAnsi="宋体" w:cs="仿宋_GB2312"/>
                <w:sz w:val="24"/>
              </w:rPr>
              <w:t>从严治警，公众评价整体提升。</w:t>
            </w:r>
          </w:p>
        </w:tc>
        <w:tc>
          <w:tcPr>
            <w:tcW w:w="4445" w:type="dxa"/>
            <w:gridSpan w:val="8"/>
            <w:noWrap/>
            <w:vAlign w:val="center"/>
          </w:tcPr>
          <w:p>
            <w:pPr>
              <w:autoSpaceDN w:val="0"/>
              <w:spacing w:line="320" w:lineRule="exact"/>
              <w:jc w:val="left"/>
              <w:textAlignment w:val="center"/>
              <w:rPr>
                <w:rFonts w:ascii="宋体" w:hAnsi="宋体" w:cs="仿宋_GB2312"/>
                <w:bCs/>
                <w:sz w:val="24"/>
              </w:rPr>
            </w:pPr>
            <w:r>
              <w:rPr>
                <w:rFonts w:hint="eastAsia" w:ascii="宋体" w:hAnsi="宋体" w:cs="仿宋_GB2312"/>
                <w:bCs/>
                <w:sz w:val="24"/>
              </w:rPr>
              <w:t>县局荣获全市公安机关绩效评估成绩突出单位和县委县政府综合绩效考评突出贡献单位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803" w:type="dxa"/>
            <w:gridSpan w:val="5"/>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绩效自评综合得分</w:t>
            </w:r>
          </w:p>
        </w:tc>
        <w:tc>
          <w:tcPr>
            <w:tcW w:w="6997" w:type="dxa"/>
            <w:gridSpan w:val="12"/>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92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803" w:type="dxa"/>
            <w:gridSpan w:val="5"/>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评价等次</w:t>
            </w:r>
          </w:p>
        </w:tc>
        <w:tc>
          <w:tcPr>
            <w:tcW w:w="6997" w:type="dxa"/>
            <w:gridSpan w:val="12"/>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姓  名</w:t>
            </w:r>
          </w:p>
        </w:tc>
        <w:tc>
          <w:tcPr>
            <w:tcW w:w="3276" w:type="dxa"/>
            <w:gridSpan w:val="6"/>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职务/职称</w:t>
            </w:r>
          </w:p>
        </w:tc>
        <w:tc>
          <w:tcPr>
            <w:tcW w:w="1764" w:type="dxa"/>
            <w:gridSpan w:val="2"/>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单  位</w:t>
            </w:r>
          </w:p>
        </w:tc>
        <w:tc>
          <w:tcPr>
            <w:tcW w:w="3106" w:type="dxa"/>
            <w:gridSpan w:val="7"/>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涂继伟</w:t>
            </w:r>
          </w:p>
        </w:tc>
        <w:tc>
          <w:tcPr>
            <w:tcW w:w="3276" w:type="dxa"/>
            <w:gridSpan w:val="6"/>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副局长</w:t>
            </w:r>
          </w:p>
        </w:tc>
        <w:tc>
          <w:tcPr>
            <w:tcW w:w="1764" w:type="dxa"/>
            <w:gridSpan w:val="2"/>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华容县公安局</w:t>
            </w:r>
          </w:p>
        </w:tc>
        <w:tc>
          <w:tcPr>
            <w:tcW w:w="3106" w:type="dxa"/>
            <w:gridSpan w:val="7"/>
            <w:noWrap/>
            <w:vAlign w:val="center"/>
          </w:tcPr>
          <w:p>
            <w:pPr>
              <w:autoSpaceDN w:val="0"/>
              <w:spacing w:line="320" w:lineRule="exact"/>
              <w:jc w:val="center"/>
              <w:textAlignment w:val="center"/>
              <w:rPr>
                <w:rFonts w:ascii="宋体" w:hAnsi="宋体"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白尊红</w:t>
            </w:r>
          </w:p>
        </w:tc>
        <w:tc>
          <w:tcPr>
            <w:tcW w:w="3276" w:type="dxa"/>
            <w:gridSpan w:val="6"/>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theme="minorEastAsia"/>
                <w:color w:val="000000"/>
                <w:sz w:val="24"/>
              </w:rPr>
              <w:t>警务保障室主任</w:t>
            </w:r>
          </w:p>
        </w:tc>
        <w:tc>
          <w:tcPr>
            <w:tcW w:w="1764" w:type="dxa"/>
            <w:gridSpan w:val="2"/>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华容县公安局</w:t>
            </w:r>
          </w:p>
        </w:tc>
        <w:tc>
          <w:tcPr>
            <w:tcW w:w="3106" w:type="dxa"/>
            <w:gridSpan w:val="7"/>
            <w:noWrap/>
            <w:vAlign w:val="center"/>
          </w:tcPr>
          <w:p>
            <w:pPr>
              <w:autoSpaceDN w:val="0"/>
              <w:spacing w:line="320" w:lineRule="exact"/>
              <w:jc w:val="center"/>
              <w:textAlignment w:val="center"/>
              <w:rPr>
                <w:rFonts w:ascii="宋体" w:hAnsi="宋体"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傅冰芳</w:t>
            </w:r>
          </w:p>
        </w:tc>
        <w:tc>
          <w:tcPr>
            <w:tcW w:w="3276" w:type="dxa"/>
            <w:gridSpan w:val="6"/>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theme="minorEastAsia"/>
                <w:color w:val="000000"/>
                <w:sz w:val="24"/>
              </w:rPr>
              <w:t>警务保障室教导员</w:t>
            </w:r>
          </w:p>
        </w:tc>
        <w:tc>
          <w:tcPr>
            <w:tcW w:w="1764" w:type="dxa"/>
            <w:gridSpan w:val="2"/>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华容县公安局</w:t>
            </w:r>
          </w:p>
        </w:tc>
        <w:tc>
          <w:tcPr>
            <w:tcW w:w="3106" w:type="dxa"/>
            <w:gridSpan w:val="7"/>
            <w:noWrap/>
            <w:vAlign w:val="center"/>
          </w:tcPr>
          <w:p>
            <w:pPr>
              <w:autoSpaceDN w:val="0"/>
              <w:spacing w:line="320" w:lineRule="exact"/>
              <w:jc w:val="center"/>
              <w:textAlignment w:val="center"/>
              <w:rPr>
                <w:rFonts w:ascii="宋体" w:hAnsi="宋体"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杨艳</w:t>
            </w:r>
          </w:p>
        </w:tc>
        <w:tc>
          <w:tcPr>
            <w:tcW w:w="3276" w:type="dxa"/>
            <w:gridSpan w:val="6"/>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警务保障室科员</w:t>
            </w:r>
          </w:p>
        </w:tc>
        <w:tc>
          <w:tcPr>
            <w:tcW w:w="1764" w:type="dxa"/>
            <w:gridSpan w:val="2"/>
            <w:noWrap/>
            <w:vAlign w:val="center"/>
          </w:tcPr>
          <w:p>
            <w:pPr>
              <w:autoSpaceDN w:val="0"/>
              <w:spacing w:line="320" w:lineRule="exact"/>
              <w:jc w:val="center"/>
              <w:textAlignment w:val="center"/>
              <w:rPr>
                <w:rFonts w:ascii="宋体" w:hAnsi="宋体" w:cs="仿宋_GB2312"/>
                <w:color w:val="000000"/>
                <w:sz w:val="24"/>
              </w:rPr>
            </w:pPr>
            <w:r>
              <w:rPr>
                <w:rFonts w:hint="eastAsia" w:ascii="宋体" w:hAnsi="宋体" w:cs="仿宋_GB2312"/>
                <w:color w:val="000000"/>
                <w:sz w:val="24"/>
              </w:rPr>
              <w:t>华容县公安局</w:t>
            </w:r>
          </w:p>
        </w:tc>
        <w:tc>
          <w:tcPr>
            <w:tcW w:w="3106" w:type="dxa"/>
            <w:gridSpan w:val="7"/>
            <w:noWrap/>
            <w:vAlign w:val="center"/>
          </w:tcPr>
          <w:p>
            <w:pPr>
              <w:autoSpaceDN w:val="0"/>
              <w:spacing w:line="320" w:lineRule="exact"/>
              <w:jc w:val="center"/>
              <w:textAlignment w:val="center"/>
              <w:rPr>
                <w:rFonts w:ascii="宋体" w:hAnsi="宋体" w:cs="仿宋_GB2312"/>
                <w:color w:val="000000"/>
                <w:sz w:val="24"/>
              </w:rPr>
            </w:pPr>
          </w:p>
          <w:p>
            <w:pPr>
              <w:autoSpaceDN w:val="0"/>
              <w:spacing w:line="320" w:lineRule="exact"/>
              <w:jc w:val="center"/>
              <w:textAlignment w:val="center"/>
              <w:rPr>
                <w:rFonts w:ascii="宋体" w:hAnsi="宋体"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798" w:hRule="atLeast"/>
          <w:jc w:val="center"/>
        </w:trPr>
        <w:tc>
          <w:tcPr>
            <w:tcW w:w="9800" w:type="dxa"/>
            <w:gridSpan w:val="17"/>
            <w:noWrap/>
            <w:vAlign w:val="center"/>
          </w:tcPr>
          <w:p>
            <w:pPr>
              <w:autoSpaceDN w:val="0"/>
              <w:spacing w:line="320" w:lineRule="exact"/>
              <w:jc w:val="left"/>
              <w:textAlignment w:val="center"/>
              <w:rPr>
                <w:rFonts w:ascii="宋体" w:hAnsi="宋体" w:cs="仿宋_GB2312"/>
                <w:color w:val="000000"/>
                <w:sz w:val="24"/>
              </w:rPr>
            </w:pPr>
            <w:r>
              <w:rPr>
                <w:rFonts w:hint="eastAsia" w:ascii="宋体" w:hAnsi="宋体" w:cs="仿宋_GB2312"/>
                <w:color w:val="000000"/>
                <w:sz w:val="24"/>
              </w:rPr>
              <w:t>评价组组长（签字）：</w:t>
            </w:r>
          </w:p>
          <w:p>
            <w:pPr>
              <w:autoSpaceDN w:val="0"/>
              <w:spacing w:line="320" w:lineRule="exact"/>
              <w:jc w:val="left"/>
              <w:textAlignment w:val="center"/>
              <w:rPr>
                <w:rFonts w:ascii="宋体" w:hAnsi="宋体" w:cs="仿宋_GB2312"/>
                <w:color w:val="000000"/>
                <w:sz w:val="24"/>
              </w:rPr>
            </w:pPr>
          </w:p>
          <w:p>
            <w:pPr>
              <w:autoSpaceDN w:val="0"/>
              <w:spacing w:line="320" w:lineRule="exact"/>
              <w:jc w:val="left"/>
              <w:textAlignment w:val="center"/>
              <w:rPr>
                <w:rFonts w:ascii="宋体" w:hAnsi="宋体" w:cs="仿宋_GB2312"/>
                <w:color w:val="000000"/>
                <w:sz w:val="24"/>
              </w:rPr>
            </w:pPr>
          </w:p>
          <w:p>
            <w:pPr>
              <w:autoSpaceDN w:val="0"/>
              <w:spacing w:line="320" w:lineRule="exact"/>
              <w:jc w:val="left"/>
              <w:textAlignment w:val="center"/>
              <w:rPr>
                <w:rFonts w:ascii="宋体" w:hAnsi="宋体" w:cs="仿宋_GB2312"/>
                <w:color w:val="000000"/>
                <w:sz w:val="24"/>
              </w:rPr>
            </w:pPr>
            <w:r>
              <w:rPr>
                <w:rFonts w:hint="eastAsia" w:ascii="宋体" w:hAnsi="宋体"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121" w:hRule="atLeast"/>
          <w:jc w:val="center"/>
        </w:trPr>
        <w:tc>
          <w:tcPr>
            <w:tcW w:w="9800" w:type="dxa"/>
            <w:gridSpan w:val="17"/>
            <w:noWrap/>
            <w:vAlign w:val="center"/>
          </w:tcPr>
          <w:p>
            <w:pPr>
              <w:autoSpaceDN w:val="0"/>
              <w:spacing w:line="320" w:lineRule="exact"/>
              <w:jc w:val="left"/>
              <w:textAlignment w:val="center"/>
              <w:rPr>
                <w:rFonts w:ascii="宋体" w:hAnsi="宋体" w:cs="仿宋_GB2312"/>
                <w:color w:val="000000"/>
                <w:sz w:val="24"/>
              </w:rPr>
            </w:pPr>
            <w:r>
              <w:rPr>
                <w:rFonts w:hint="eastAsia" w:ascii="宋体" w:hAnsi="宋体" w:cs="仿宋_GB2312"/>
                <w:color w:val="000000"/>
                <w:sz w:val="24"/>
              </w:rPr>
              <w:t>部门（单位）意见：</w:t>
            </w:r>
          </w:p>
          <w:p>
            <w:pPr>
              <w:autoSpaceDN w:val="0"/>
              <w:spacing w:line="320" w:lineRule="exact"/>
              <w:jc w:val="left"/>
              <w:textAlignment w:val="center"/>
              <w:rPr>
                <w:rFonts w:ascii="宋体" w:hAnsi="宋体" w:cs="仿宋_GB2312"/>
                <w:color w:val="000000"/>
                <w:sz w:val="24"/>
              </w:rPr>
            </w:pPr>
          </w:p>
          <w:p>
            <w:pPr>
              <w:autoSpaceDN w:val="0"/>
              <w:spacing w:line="320" w:lineRule="exact"/>
              <w:jc w:val="left"/>
              <w:textAlignment w:val="center"/>
              <w:rPr>
                <w:rFonts w:ascii="宋体" w:hAnsi="宋体" w:cs="仿宋_GB2312"/>
                <w:color w:val="000000"/>
                <w:sz w:val="24"/>
              </w:rPr>
            </w:pPr>
          </w:p>
          <w:p>
            <w:pPr>
              <w:autoSpaceDN w:val="0"/>
              <w:spacing w:line="320" w:lineRule="exact"/>
              <w:jc w:val="left"/>
              <w:textAlignment w:val="center"/>
              <w:rPr>
                <w:rFonts w:ascii="宋体" w:hAnsi="宋体" w:cs="仿宋_GB2312"/>
                <w:color w:val="000000"/>
                <w:sz w:val="24"/>
              </w:rPr>
            </w:pPr>
            <w:r>
              <w:rPr>
                <w:rFonts w:hint="eastAsia" w:ascii="宋体" w:hAnsi="宋体" w:cs="仿宋_GB2312"/>
                <w:color w:val="000000"/>
                <w:sz w:val="24"/>
              </w:rPr>
              <w:t xml:space="preserve">                                         部门（单位）负责人（签章）：</w:t>
            </w:r>
          </w:p>
          <w:p>
            <w:pPr>
              <w:autoSpaceDN w:val="0"/>
              <w:spacing w:line="320" w:lineRule="exact"/>
              <w:jc w:val="left"/>
              <w:textAlignment w:val="center"/>
              <w:rPr>
                <w:rFonts w:ascii="宋体" w:hAnsi="宋体" w:cs="仿宋_GB2312"/>
                <w:color w:val="000000"/>
                <w:sz w:val="24"/>
              </w:rPr>
            </w:pPr>
            <w:r>
              <w:rPr>
                <w:rFonts w:hint="eastAsia" w:ascii="宋体" w:hAnsi="宋体"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4" w:hRule="atLeast"/>
          <w:jc w:val="center"/>
        </w:trPr>
        <w:tc>
          <w:tcPr>
            <w:tcW w:w="9800" w:type="dxa"/>
            <w:gridSpan w:val="17"/>
            <w:noWrap/>
            <w:vAlign w:val="center"/>
          </w:tcPr>
          <w:p>
            <w:pPr>
              <w:spacing w:line="320" w:lineRule="exact"/>
              <w:rPr>
                <w:rFonts w:ascii="宋体" w:hAnsi="宋体"/>
                <w:sz w:val="24"/>
              </w:rPr>
            </w:pPr>
            <w:r>
              <w:rPr>
                <w:rFonts w:hint="eastAsia" w:ascii="宋体" w:hAnsi="宋体"/>
                <w:sz w:val="24"/>
              </w:rPr>
              <w:t>财政部门归口业务科室意见：</w:t>
            </w:r>
          </w:p>
          <w:p>
            <w:pPr>
              <w:spacing w:line="320" w:lineRule="exact"/>
              <w:rPr>
                <w:rFonts w:ascii="宋体" w:hAnsi="宋体"/>
                <w:sz w:val="24"/>
              </w:rPr>
            </w:pPr>
          </w:p>
          <w:p>
            <w:pPr>
              <w:spacing w:line="320" w:lineRule="exact"/>
              <w:rPr>
                <w:rFonts w:ascii="宋体" w:hAnsi="宋体"/>
                <w:sz w:val="24"/>
              </w:rPr>
            </w:pPr>
          </w:p>
          <w:p>
            <w:pPr>
              <w:spacing w:line="320" w:lineRule="exact"/>
              <w:rPr>
                <w:rFonts w:ascii="宋体" w:hAnsi="宋体"/>
                <w:sz w:val="24"/>
              </w:rPr>
            </w:pPr>
          </w:p>
          <w:p>
            <w:pPr>
              <w:spacing w:line="320" w:lineRule="exact"/>
              <w:rPr>
                <w:rFonts w:ascii="宋体" w:hAnsi="宋体"/>
                <w:sz w:val="24"/>
              </w:rPr>
            </w:pPr>
            <w:r>
              <w:rPr>
                <w:rFonts w:hint="eastAsia" w:ascii="宋体" w:hAnsi="宋体"/>
                <w:sz w:val="24"/>
              </w:rPr>
              <w:t xml:space="preserve">                                  财政部门归口业务科室负责人（签章）：</w:t>
            </w:r>
          </w:p>
          <w:p>
            <w:pPr>
              <w:autoSpaceDN w:val="0"/>
              <w:spacing w:line="320" w:lineRule="exact"/>
              <w:jc w:val="left"/>
              <w:textAlignment w:val="center"/>
              <w:rPr>
                <w:rFonts w:ascii="宋体" w:hAnsi="宋体" w:cs="仿宋_GB2312"/>
                <w:color w:val="000000"/>
                <w:sz w:val="24"/>
              </w:rPr>
            </w:pPr>
            <w:r>
              <w:rPr>
                <w:rFonts w:hint="eastAsia" w:ascii="宋体" w:hAnsi="宋体"/>
                <w:sz w:val="24"/>
              </w:rPr>
              <w:t xml:space="preserve">                                                                 年    月   日</w:t>
            </w:r>
          </w:p>
        </w:tc>
      </w:tr>
    </w:tbl>
    <w:p>
      <w:pPr>
        <w:rPr>
          <w:rFonts w:ascii="宋体" w:hAnsi="宋体" w:cs="仿宋_GB2312"/>
          <w:bCs/>
          <w:sz w:val="28"/>
          <w:szCs w:val="28"/>
        </w:rPr>
      </w:pPr>
      <w:r>
        <w:rPr>
          <w:rFonts w:hint="eastAsia" w:ascii="宋体" w:hAnsi="宋体" w:cs="仿宋_GB2312"/>
          <w:bCs/>
          <w:sz w:val="28"/>
          <w:szCs w:val="28"/>
        </w:rPr>
        <w:t>填报人（签名）：                     联系电话：15773002661</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tcPr>
          <w:p>
            <w:pPr>
              <w:jc w:val="center"/>
              <w:rPr>
                <w:rFonts w:ascii="宋体" w:hAnsi="宋体" w:cs="黑体"/>
                <w:bCs/>
                <w:sz w:val="28"/>
                <w:szCs w:val="28"/>
              </w:rPr>
            </w:pPr>
            <w:r>
              <w:rPr>
                <w:rFonts w:hint="eastAsia" w:ascii="宋体" w:hAnsi="宋体" w:cs="黑体"/>
                <w:bCs/>
                <w:sz w:val="28"/>
                <w:szCs w:val="28"/>
              </w:rPr>
              <w:t>五、评价报告综述（文字部分）</w:t>
            </w:r>
          </w:p>
          <w:p>
            <w:pPr>
              <w:ind w:firstLine="480" w:firstLineChars="200"/>
              <w:jc w:val="left"/>
              <w:rPr>
                <w:rFonts w:ascii="宋体" w:hAnsi="宋体" w:cs="黑体"/>
                <w:bCs/>
                <w:sz w:val="24"/>
              </w:rPr>
            </w:pPr>
            <w:r>
              <w:rPr>
                <w:rFonts w:hint="eastAsia" w:ascii="宋体" w:hAnsi="宋体" w:cs="黑体"/>
                <w:bCs/>
                <w:sz w:val="24"/>
              </w:rPr>
              <w:t>为有序推进我局全面预算绩效管理工作，强化财政支出绩效理念和责任意识，切实提高财政资金使用效益，根据《华容县财政局关于开展2021年度财政支出绩效自评工作的通知》（华财函【2022】37号）要求，我局组织专门人员对我局2021年度部门整体支出进行了绩效评价，现将绩效评价情况报告如下：</w:t>
            </w:r>
          </w:p>
          <w:p>
            <w:pPr>
              <w:spacing w:line="560" w:lineRule="exact"/>
              <w:ind w:firstLine="560" w:firstLineChars="200"/>
              <w:rPr>
                <w:rFonts w:ascii="宋体" w:hAnsi="宋体" w:cs="黑体"/>
                <w:bCs/>
                <w:color w:val="000000" w:themeColor="text1"/>
                <w:sz w:val="28"/>
                <w:szCs w:val="28"/>
              </w:rPr>
            </w:pPr>
            <w:r>
              <w:rPr>
                <w:rFonts w:hint="eastAsia" w:ascii="宋体" w:hAnsi="宋体" w:cs="黑体"/>
                <w:bCs/>
                <w:color w:val="000000" w:themeColor="text1"/>
                <w:sz w:val="28"/>
                <w:szCs w:val="28"/>
              </w:rPr>
              <w:t>一、部门（单位）概况</w:t>
            </w:r>
          </w:p>
          <w:p>
            <w:pPr>
              <w:ind w:firstLine="480" w:firstLineChars="200"/>
              <w:rPr>
                <w:rFonts w:ascii="宋体" w:hAnsi="宋体" w:cstheme="minorEastAsia"/>
                <w:color w:val="000000" w:themeColor="text1"/>
                <w:sz w:val="24"/>
              </w:rPr>
            </w:pPr>
            <w:r>
              <w:rPr>
                <w:rFonts w:hint="eastAsia" w:ascii="宋体" w:hAnsi="宋体" w:cstheme="minorEastAsia"/>
                <w:color w:val="000000" w:themeColor="text1"/>
                <w:sz w:val="24"/>
              </w:rPr>
              <w:t>华容县公安局</w:t>
            </w:r>
            <w:r>
              <w:rPr>
                <w:rFonts w:hint="eastAsia" w:ascii="宋体" w:hAnsi="宋体" w:cs="宋体"/>
                <w:color w:val="000000"/>
                <w:sz w:val="24"/>
              </w:rPr>
              <w:t>现有行政政法编制316人，实有在职人员309人，退休人员120人，遗孀6人,协辅警、一村一辅警及退伍老兵504人。小车49台，电动巡逻车9台。</w:t>
            </w:r>
            <w:r>
              <w:rPr>
                <w:rFonts w:hint="eastAsia" w:ascii="宋体" w:hAnsi="宋体" w:cstheme="minorEastAsia"/>
                <w:color w:val="000000" w:themeColor="text1"/>
                <w:sz w:val="24"/>
              </w:rPr>
              <w:t>公安机关是政府的重要组成部分，是国家的行政机关，同时它又担负着刑事案件的侦查任务，因而它又是国家的司法机关之一。公安机关是政府的一个职能部门，依法管理社会治安，行使国家的行政权，同时公安机关又依法侦查刑事案件，行使国家的司法权。公安机关的性质具有双重性，即既有行使性又有司法性。公安机关的职责是：1、预防、制止和侦查违法犯罪活动；2、防范、打击恐怖活动；维护社会治安秩序，制止危害社会治安秩序的行为；3、管理交通、消防、危险物品；4、管理户口、公民身份证、国籍、入境事务和外国人在中国境内居留、旅行的有关事务。其年度主要工作内容是：1、及时掌握各类情报信息，维护全县社会政治大局稳定。2、严厉打击各类违法犯罪，维护全县社会治安大局稳定。3、建立良好的社会治安防控体系。4、加强公安法制建设，提高公安法制水平。5、严格公安行政管理。6、积极推进公安队伍正规化建设。</w:t>
            </w:r>
          </w:p>
          <w:p>
            <w:pPr>
              <w:spacing w:line="560" w:lineRule="exact"/>
              <w:ind w:firstLine="560" w:firstLineChars="200"/>
              <w:rPr>
                <w:rFonts w:ascii="宋体" w:hAnsi="宋体" w:cs="黑体"/>
                <w:bCs/>
                <w:sz w:val="28"/>
                <w:szCs w:val="28"/>
              </w:rPr>
            </w:pPr>
            <w:r>
              <w:rPr>
                <w:rFonts w:hint="eastAsia" w:ascii="宋体" w:hAnsi="宋体" w:cs="黑体"/>
                <w:bCs/>
                <w:sz w:val="28"/>
                <w:szCs w:val="28"/>
              </w:rPr>
              <w:t>二、部门（单位）整体支出管理及使用情况</w:t>
            </w:r>
          </w:p>
          <w:p>
            <w:pPr>
              <w:ind w:firstLine="480"/>
              <w:rPr>
                <w:rFonts w:ascii="宋体" w:hAnsi="宋体" w:cstheme="minorEastAsia"/>
                <w:sz w:val="24"/>
              </w:rPr>
            </w:pPr>
          </w:p>
          <w:p>
            <w:pPr>
              <w:ind w:firstLine="480"/>
              <w:rPr>
                <w:rFonts w:ascii="宋体" w:hAnsi="宋体" w:cstheme="minorEastAsia"/>
                <w:sz w:val="24"/>
              </w:rPr>
            </w:pPr>
            <w:r>
              <w:rPr>
                <w:rFonts w:hint="eastAsia" w:ascii="宋体" w:hAnsi="宋体" w:cstheme="minorEastAsia"/>
                <w:sz w:val="24"/>
              </w:rPr>
              <w:t>2021年度财政收入总计</w:t>
            </w:r>
            <w:r>
              <w:rPr>
                <w:rFonts w:ascii="宋体" w:hAnsi="宋体" w:cstheme="minorEastAsia"/>
                <w:sz w:val="24"/>
              </w:rPr>
              <w:t>10484.81</w:t>
            </w:r>
            <w:r>
              <w:rPr>
                <w:rFonts w:hint="eastAsia" w:ascii="宋体" w:hAnsi="宋体" w:cstheme="minorEastAsia"/>
                <w:sz w:val="24"/>
              </w:rPr>
              <w:t>万元，其中一般性公共预算财政拨款</w:t>
            </w:r>
            <w:r>
              <w:rPr>
                <w:rFonts w:ascii="宋体" w:hAnsi="宋体" w:cstheme="minorEastAsia"/>
                <w:sz w:val="24"/>
              </w:rPr>
              <w:t>10484.81</w:t>
            </w:r>
            <w:r>
              <w:rPr>
                <w:rFonts w:hint="eastAsia" w:ascii="宋体" w:hAnsi="宋体" w:cstheme="minorEastAsia"/>
                <w:sz w:val="24"/>
              </w:rPr>
              <w:t>万元，上年度无结余。支出总计</w:t>
            </w:r>
            <w:r>
              <w:rPr>
                <w:rFonts w:ascii="宋体" w:hAnsi="宋体" w:cstheme="minorEastAsia"/>
                <w:sz w:val="24"/>
              </w:rPr>
              <w:t>10484.81</w:t>
            </w:r>
            <w:r>
              <w:rPr>
                <w:rFonts w:hint="eastAsia" w:ascii="宋体" w:hAnsi="宋体" w:cstheme="minorEastAsia"/>
                <w:sz w:val="24"/>
              </w:rPr>
              <w:t>万元，其中人员支出</w:t>
            </w:r>
            <w:r>
              <w:rPr>
                <w:rFonts w:ascii="宋体" w:hAnsi="宋体" w:cstheme="minorEastAsia"/>
                <w:sz w:val="24"/>
              </w:rPr>
              <w:t>6397.16</w:t>
            </w:r>
            <w:r>
              <w:rPr>
                <w:rFonts w:hint="eastAsia" w:ascii="宋体" w:hAnsi="宋体" w:cstheme="minorEastAsia"/>
                <w:sz w:val="24"/>
              </w:rPr>
              <w:t>万元，公用支出</w:t>
            </w:r>
            <w:r>
              <w:rPr>
                <w:rFonts w:ascii="宋体" w:hAnsi="宋体" w:cstheme="minorEastAsia"/>
                <w:sz w:val="24"/>
              </w:rPr>
              <w:t>1854.91</w:t>
            </w:r>
            <w:r>
              <w:rPr>
                <w:rFonts w:hint="eastAsia" w:ascii="宋体" w:hAnsi="宋体" w:cstheme="minorEastAsia"/>
                <w:sz w:val="24"/>
              </w:rPr>
              <w:t>万元，无专项支出。与2020年相比，主要原因是人员经费减少1.09%，日常公用经费减少0.71%，是响应财政过“紧日子”号召，精简节约的结果。</w:t>
            </w:r>
          </w:p>
          <w:p>
            <w:pPr>
              <w:ind w:firstLine="480"/>
              <w:rPr>
                <w:rFonts w:ascii="宋体" w:hAnsi="宋体" w:cstheme="minorEastAsia"/>
                <w:sz w:val="24"/>
              </w:rPr>
            </w:pPr>
            <w:r>
              <w:rPr>
                <w:rFonts w:hint="eastAsia" w:ascii="宋体" w:hAnsi="宋体" w:cs="黑体"/>
                <w:bCs/>
                <w:sz w:val="28"/>
                <w:szCs w:val="28"/>
              </w:rPr>
              <w:t>三、部门（单位）整体支出绩效情况</w:t>
            </w:r>
          </w:p>
          <w:p>
            <w:pPr>
              <w:ind w:firstLine="480"/>
              <w:rPr>
                <w:rFonts w:ascii="宋体" w:hAnsi="宋体" w:cstheme="minorEastAsia"/>
                <w:sz w:val="24"/>
              </w:rPr>
            </w:pPr>
            <w:r>
              <w:rPr>
                <w:rFonts w:hint="eastAsia" w:ascii="宋体" w:hAnsi="宋体" w:cstheme="minorEastAsia"/>
                <w:sz w:val="24"/>
              </w:rPr>
              <w:t>2021年工作总结如下：</w:t>
            </w:r>
          </w:p>
          <w:p>
            <w:pPr>
              <w:ind w:firstLine="480"/>
              <w:rPr>
                <w:rFonts w:ascii="宋体" w:hAnsi="宋体" w:cstheme="minorEastAsia"/>
                <w:sz w:val="24"/>
              </w:rPr>
            </w:pPr>
            <w:r>
              <w:rPr>
                <w:rFonts w:hint="eastAsia" w:ascii="宋体" w:hAnsi="宋体" w:cstheme="minorEastAsia"/>
                <w:sz w:val="24"/>
              </w:rPr>
              <w:t>（一）坚决打赢政治安全和社会稳定“保卫战”，确保万无一失</w:t>
            </w:r>
          </w:p>
          <w:p>
            <w:pPr>
              <w:ind w:firstLine="480"/>
              <w:rPr>
                <w:rFonts w:ascii="宋体" w:hAnsi="宋体" w:cs="仿宋_GB2312"/>
                <w:sz w:val="24"/>
              </w:rPr>
            </w:pPr>
            <w:r>
              <w:rPr>
                <w:rFonts w:hint="eastAsia" w:ascii="宋体" w:hAnsi="宋体" w:cs="仿宋_GB2312"/>
                <w:sz w:val="24"/>
              </w:rPr>
              <w:t>始终将维护政治安全和社会稳定放在首位，紧紧围绕“五个不发生，三个确保”的工作目标，坚持网上网下并重，强化线索核查、专项调查、情报搜集工作，精准实施防范打击处置。深入推进公安信访突出问题攻坚化解，要把信访维稳工作作为检验干部执行力、检阅干部战斗力、检查干部凝聚力的重要标准。常态化落实领导干部接访包案制度，确保公安信访事项办结率和合格率持续保持100%。</w:t>
            </w:r>
          </w:p>
          <w:p>
            <w:pPr>
              <w:autoSpaceDN w:val="0"/>
              <w:spacing w:line="320" w:lineRule="exact"/>
              <w:ind w:firstLine="480" w:firstLineChars="200"/>
              <w:textAlignment w:val="center"/>
              <w:rPr>
                <w:rFonts w:ascii="宋体" w:hAnsi="宋体" w:cstheme="minorEastAsia"/>
                <w:sz w:val="24"/>
              </w:rPr>
            </w:pPr>
            <w:r>
              <w:rPr>
                <w:rFonts w:hint="eastAsia" w:ascii="宋体" w:hAnsi="宋体" w:cstheme="minorEastAsia"/>
                <w:sz w:val="24"/>
              </w:rPr>
              <w:t>（二）坚决打赢严打整治“攻坚战”，做到敢拼敢赢</w:t>
            </w:r>
          </w:p>
          <w:p>
            <w:pPr>
              <w:autoSpaceDN w:val="0"/>
              <w:spacing w:line="320" w:lineRule="exact"/>
              <w:ind w:firstLine="480" w:firstLineChars="200"/>
              <w:textAlignment w:val="center"/>
              <w:rPr>
                <w:rFonts w:ascii="宋体" w:hAnsi="宋体" w:cs="仿宋_GB2312"/>
                <w:sz w:val="24"/>
              </w:rPr>
            </w:pPr>
            <w:r>
              <w:rPr>
                <w:rFonts w:hint="eastAsia" w:ascii="宋体" w:hAnsi="宋体" w:cs="仿宋_GB2312"/>
                <w:sz w:val="24"/>
              </w:rPr>
              <w:t>要用主力攻坚主业，用专业对付职业，用警情主导警务。毫不动摇地把打击作为公安机关主责主业，滚动开展“侦破会战”“净风1号”等专项行动，严厉打击各类违法犯罪活动。深化侦破打击考评考核，提高侦破打击在绩效考评中的分值权重，强化牵头警种攻坚克难和打团伙、破系列的能力水平，把侦破打击和干部选拔任用紧密挂钩，要有案子不破，心里难过，案犯在逃，心急火燎的心态，人人争当排头兵，决不当逃兵；争当战斗员，决不当伤病员；争当推土机决不当拖拉机。切实扭转华容侦破打击长期落后的局面，坚决压制“黑拐枪”、“黄赌毒”、“食药环”、“盗抢骗”等多发性犯罪。</w:t>
            </w:r>
          </w:p>
          <w:p>
            <w:pPr>
              <w:autoSpaceDN w:val="0"/>
              <w:spacing w:line="320" w:lineRule="exact"/>
              <w:ind w:firstLine="480" w:firstLineChars="200"/>
              <w:textAlignment w:val="center"/>
              <w:rPr>
                <w:rFonts w:ascii="宋体" w:hAnsi="宋体" w:cs="仿宋_GB2312"/>
                <w:sz w:val="24"/>
              </w:rPr>
            </w:pPr>
            <w:r>
              <w:rPr>
                <w:rFonts w:hint="eastAsia" w:ascii="宋体" w:hAnsi="宋体" w:cs="仿宋_GB2312"/>
                <w:sz w:val="24"/>
              </w:rPr>
              <w:t>（三）坚决打赢公共安全风险“阻击战”，建设平安高地</w:t>
            </w:r>
          </w:p>
          <w:p>
            <w:pPr>
              <w:autoSpaceDN w:val="0"/>
              <w:spacing w:line="320" w:lineRule="exact"/>
              <w:ind w:firstLine="480" w:firstLineChars="200"/>
              <w:textAlignment w:val="center"/>
              <w:rPr>
                <w:rFonts w:ascii="宋体" w:hAnsi="宋体" w:cs="仿宋_GB2312"/>
                <w:sz w:val="24"/>
              </w:rPr>
            </w:pPr>
            <w:r>
              <w:rPr>
                <w:rFonts w:hint="eastAsia" w:ascii="宋体" w:hAnsi="宋体" w:cs="仿宋_GB2312"/>
                <w:sz w:val="24"/>
              </w:rPr>
              <w:t>以新一轮县域警务为抓手，紧盯重大公共安全风险，强力除隐患、防事故、保安全。强化道路交通安全防控，围绕“减量控大”，聚焦“车、路、人、企”，深化交通问题顽瘴痼疾集中整治，确保实现省整治办交办的重点隐患整改率达到100%。强化公共安全隐患治理，深入推进危爆物品管控整治，落实安全防范主体责任，严格把控日常流向登记、监管责任和制度，确保“不漏管、不被盗、不流失、不炸响”。加强对寄递物流、汽车维修、宾馆酒店等行业场所的安全监管，依法做好城乡社区消防工作，严防各类事故。全力助推疫情防控，严格按照全链条精准防控要求，配合落实密接追踪、风险筛查、流调溯源等防疫措施，严守封闭管理、核酸检测、轨迹核查、过度隔离“四条底线”，确保监所疫情“零感染”。强化社会治安防控，突出显性用警，充分发挥“城市快警”和“驻村辅警”作用，强化机关支援基层、集中清查、公安武警联勤武装巡逻等机制，抓好社会面防控，以省民生实事校园安防设施建设为重点，加快推进全县乡村“雪亮工程”建设，最大限度减少可防可控案件的发生。</w:t>
            </w:r>
          </w:p>
          <w:p>
            <w:pPr>
              <w:autoSpaceDN w:val="0"/>
              <w:spacing w:line="320" w:lineRule="exact"/>
              <w:ind w:firstLine="480" w:firstLineChars="200"/>
              <w:textAlignment w:val="center"/>
              <w:rPr>
                <w:rFonts w:ascii="宋体" w:hAnsi="宋体" w:cs="仿宋_GB2312"/>
                <w:sz w:val="24"/>
              </w:rPr>
            </w:pPr>
            <w:r>
              <w:rPr>
                <w:rFonts w:hint="eastAsia" w:ascii="宋体" w:hAnsi="宋体" w:cs="仿宋_GB2312"/>
                <w:sz w:val="24"/>
              </w:rPr>
              <w:t>（四）坚决打赢执法规范化建设“防御战”，守住公平底线</w:t>
            </w:r>
          </w:p>
          <w:p>
            <w:pPr>
              <w:autoSpaceDN w:val="0"/>
              <w:spacing w:line="320" w:lineRule="exact"/>
              <w:ind w:firstLine="480" w:firstLineChars="200"/>
              <w:textAlignment w:val="center"/>
              <w:rPr>
                <w:rFonts w:ascii="宋体" w:hAnsi="宋体" w:cs="仿宋_GB2312"/>
                <w:sz w:val="24"/>
              </w:rPr>
            </w:pPr>
            <w:r>
              <w:rPr>
                <w:rFonts w:hint="eastAsia" w:ascii="宋体" w:hAnsi="宋体" w:cs="仿宋_GB2312"/>
                <w:sz w:val="24"/>
              </w:rPr>
              <w:t>执法工作是底线工作，是安全工作，是公安工作的“生命线”，必须牢牢守住。要加强对民辅警的教育引导和监督，经常喊醒，让他们少犯错误、不犯错误。坚守依法执法的底线和红线。要加强执法监督，充分发挥“侦查监督与协作配合办公室”作用，加大网上执法巡查、案件评查力度，把问题发现在早、发现在小。</w:t>
            </w:r>
          </w:p>
          <w:p>
            <w:pPr>
              <w:autoSpaceDN w:val="0"/>
              <w:spacing w:line="320" w:lineRule="exact"/>
              <w:ind w:firstLine="480" w:firstLineChars="200"/>
              <w:textAlignment w:val="center"/>
              <w:rPr>
                <w:rFonts w:ascii="宋体" w:hAnsi="宋体" w:cs="仿宋_GB2312"/>
                <w:sz w:val="24"/>
              </w:rPr>
            </w:pPr>
            <w:r>
              <w:rPr>
                <w:rFonts w:hint="eastAsia" w:ascii="宋体" w:hAnsi="宋体" w:cs="仿宋_GB2312"/>
                <w:sz w:val="24"/>
              </w:rPr>
              <w:t>（五）坚决打赢基础工作和现代化建设“攻垒战”，创建智慧公安</w:t>
            </w:r>
          </w:p>
          <w:p>
            <w:pPr>
              <w:ind w:firstLine="480" w:firstLineChars="200"/>
              <w:rPr>
                <w:rFonts w:ascii="宋体" w:hAnsi="宋体" w:cs="仿宋_GB2312"/>
                <w:sz w:val="24"/>
              </w:rPr>
            </w:pPr>
            <w:r>
              <w:rPr>
                <w:rFonts w:hint="eastAsia" w:ascii="宋体" w:hAnsi="宋体" w:cs="仿宋_GB2312"/>
                <w:sz w:val="24"/>
              </w:rPr>
              <w:t>坚持大抓基层、大抓基础，小步快跑、积少成多，接续加强基层基础和智慧警务建设，通过持续努力，改变基础不牢、手段落后的局面，助推公安工作高质量发展。要千方百计增收节支，落实过“紧日子”的要求，坚持勤俭办一切事业，从节约一度电、一滴水、一张纸开始，加强支出管理，有计划合理安排支出，严格把好审核关，把有限的经费用在刀刃上。</w:t>
            </w:r>
          </w:p>
          <w:p>
            <w:pPr>
              <w:ind w:firstLine="480" w:firstLineChars="200"/>
              <w:rPr>
                <w:rFonts w:ascii="宋体" w:hAnsi="宋体" w:cs="仿宋_GB2312"/>
                <w:sz w:val="24"/>
              </w:rPr>
            </w:pPr>
            <w:r>
              <w:rPr>
                <w:rFonts w:hint="eastAsia" w:ascii="宋体" w:hAnsi="宋体" w:cs="仿宋_GB2312"/>
                <w:sz w:val="24"/>
              </w:rPr>
              <w:t>（六）坚决打赢政治建警“整体战”，实现百花争春</w:t>
            </w:r>
          </w:p>
          <w:p>
            <w:pPr>
              <w:ind w:firstLine="480" w:firstLineChars="200"/>
              <w:rPr>
                <w:rFonts w:ascii="宋体" w:hAnsi="宋体" w:cs="仿宋_GB2312"/>
                <w:sz w:val="24"/>
              </w:rPr>
            </w:pPr>
            <w:r>
              <w:rPr>
                <w:rFonts w:hint="eastAsia" w:ascii="宋体" w:hAnsi="宋体" w:cs="仿宋_GB2312"/>
                <w:sz w:val="24"/>
              </w:rPr>
              <w:t>政治建警是一项系统工程，必须坚持系统观念，切实强化政治功能、组织保障、工作推动、纪律作风，多头并进，整体推进。一是要强化学习教育。要坚持第一议题制度，探索逢会必学制度，完善学习奖惩制度，务实开展“三会一课”，深入开展党的六中全会精神学习培训，坚持不懈用党的创新理论武装全警头脑，巩固拓展党史学习教育和教育整顿成果，提升支部凝聚力和战斗力。二是要强化实战练兵。创新开展实战演练，扎实推进日常训练，坚持抓好晨跑训练，确保民警基本体能、基本技能、规范执法考核人人达标过关。三是要强化纪律作风。要从上班考勤、会风会纪、内务卫生、着装上班、请假销假等小事抓起，完善规章制度，</w:t>
            </w:r>
            <w:bookmarkStart w:id="1" w:name="_GoBack"/>
            <w:bookmarkEnd w:id="1"/>
            <w:r>
              <w:rPr>
                <w:rFonts w:hint="eastAsia" w:ascii="宋体" w:hAnsi="宋体" w:cs="仿宋_GB2312"/>
                <w:sz w:val="24"/>
              </w:rPr>
              <w:t>加密日常督察，狠抓作风养成，强化队伍服从意识、规矩意识。要加强执纪监督，对督查发现、群众投诉举报的问题和警务评议推送的不满意样本，一查到底，绝不姑息。四是要强化公安宣传。将公安宣传工作纳入绩效评估，建立定期通报和奖励制度，加强宣传工作培训。五是要强化争先创优。要强化干部和辅警队伍正向激励，选树培养一批身边的正面典型，进一步健全奖惩激励工作机制，拿出一部分奖励名额，对专项行动和专项工作成绩突出的单位和有突出贡献的民辅警进行专项表彰奖励，鼓舞人心、激励斗志。</w:t>
            </w:r>
          </w:p>
          <w:p>
            <w:pPr>
              <w:ind w:firstLine="482" w:firstLineChars="200"/>
              <w:rPr>
                <w:rFonts w:ascii="宋体" w:hAnsi="宋体"/>
                <w:b/>
                <w:bCs/>
                <w:sz w:val="24"/>
              </w:rPr>
            </w:pPr>
            <w:r>
              <w:rPr>
                <w:rFonts w:hint="eastAsia" w:ascii="宋体" w:hAnsi="宋体"/>
                <w:b/>
                <w:bCs/>
                <w:sz w:val="24"/>
              </w:rPr>
              <w:t>四、存在的问题及原因分析</w:t>
            </w:r>
          </w:p>
          <w:p>
            <w:pPr>
              <w:ind w:firstLine="480" w:firstLineChars="200"/>
              <w:rPr>
                <w:rFonts w:ascii="宋体" w:hAnsi="宋体"/>
                <w:bCs/>
                <w:sz w:val="24"/>
              </w:rPr>
            </w:pPr>
            <w:r>
              <w:rPr>
                <w:rFonts w:hint="eastAsia" w:ascii="宋体" w:hAnsi="宋体"/>
                <w:bCs/>
                <w:sz w:val="24"/>
              </w:rPr>
              <w:t>在预算执行过程中存在执行偏离绩效目标的情况，主要体现在以下几个方面：</w:t>
            </w:r>
          </w:p>
          <w:p>
            <w:pPr>
              <w:ind w:firstLine="480" w:firstLineChars="200"/>
              <w:rPr>
                <w:rFonts w:ascii="宋体" w:hAnsi="宋体"/>
                <w:bCs/>
                <w:sz w:val="24"/>
              </w:rPr>
            </w:pPr>
            <w:r>
              <w:rPr>
                <w:rFonts w:hint="eastAsia" w:ascii="宋体" w:hAnsi="宋体"/>
                <w:bCs/>
                <w:sz w:val="24"/>
              </w:rPr>
              <w:t>（一）预算完成率有待提高。由于部分项目资金、结余资金下达时间较晚未能及时使用拨付，有关项目工作开展时间较晚、结算支出时间滞后导致预算完成率较低，有待进一步提高。</w:t>
            </w:r>
          </w:p>
          <w:p>
            <w:pPr>
              <w:ind w:firstLine="480" w:firstLineChars="200"/>
              <w:rPr>
                <w:rFonts w:ascii="宋体" w:hAnsi="宋体"/>
                <w:bCs/>
                <w:sz w:val="24"/>
              </w:rPr>
            </w:pPr>
            <w:r>
              <w:rPr>
                <w:rFonts w:hint="eastAsia" w:ascii="宋体" w:hAnsi="宋体"/>
                <w:bCs/>
                <w:sz w:val="24"/>
              </w:rPr>
              <w:t>（二）预算绩效管理工作有待健全。对于预算绩效管理工作重视不够，对于预算绩效管理的计划性不足，我</w:t>
            </w:r>
            <w:r>
              <w:rPr>
                <w:rFonts w:hint="eastAsia" w:ascii="宋体" w:hAnsi="宋体"/>
                <w:bCs/>
                <w:sz w:val="24"/>
                <w:lang w:eastAsia="zh-CN"/>
              </w:rPr>
              <w:t>局</w:t>
            </w:r>
            <w:r>
              <w:rPr>
                <w:rFonts w:hint="eastAsia" w:ascii="宋体" w:hAnsi="宋体"/>
                <w:bCs/>
                <w:sz w:val="24"/>
              </w:rPr>
              <w:t>配套的工作机制还不成熟，相应的预算绩效管理办法还在制定中。在预算执行过程中，绩效管理的参与性不足。</w:t>
            </w:r>
          </w:p>
          <w:p>
            <w:pPr>
              <w:ind w:firstLine="482" w:firstLineChars="200"/>
              <w:rPr>
                <w:rFonts w:ascii="宋体" w:hAnsi="宋体"/>
                <w:b/>
                <w:bCs/>
                <w:sz w:val="24"/>
              </w:rPr>
            </w:pPr>
            <w:r>
              <w:rPr>
                <w:rFonts w:hint="eastAsia" w:ascii="宋体" w:hAnsi="宋体"/>
                <w:b/>
                <w:bCs/>
                <w:color w:val="FF0000"/>
                <w:sz w:val="24"/>
              </w:rPr>
              <w:t>　</w:t>
            </w:r>
            <w:r>
              <w:rPr>
                <w:rFonts w:hint="eastAsia" w:ascii="宋体" w:hAnsi="宋体"/>
                <w:b/>
                <w:bCs/>
                <w:sz w:val="24"/>
              </w:rPr>
              <w:t>五、下一步改进措施</w:t>
            </w:r>
          </w:p>
          <w:p>
            <w:pPr>
              <w:rPr>
                <w:rFonts w:ascii="宋体" w:hAnsi="宋体"/>
                <w:bCs/>
                <w:sz w:val="28"/>
                <w:szCs w:val="28"/>
              </w:rPr>
            </w:pPr>
            <w:r>
              <w:rPr>
                <w:rFonts w:hint="eastAsia" w:ascii="宋体" w:hAnsi="宋体"/>
                <w:bCs/>
                <w:sz w:val="24"/>
              </w:rPr>
              <w:t>　　一是把预算管理纳入项目管理体系，把预算编制与预算的执行工作贯穿于项目执行的全过程；二是加强与财政部门的沟通衔接，及时了解财政、财务规章制度，约束财经纪律，特别是对与当前财政经济环境不适用的事项，要及时征求财政意见，提供充分理由说服党委暂缓或停止事项；三是对业务类项目要实行深度整合，除财政据实核定项外，根据大类业务设立项目，既确保资金使用，又能应对年中临时新增业务。</w:t>
            </w:r>
          </w:p>
        </w:tc>
      </w:tr>
    </w:tbl>
    <w:p>
      <w:pPr>
        <w:spacing w:line="348" w:lineRule="auto"/>
        <w:rPr>
          <w:rFonts w:ascii="宋体" w:hAnsi="宋体"/>
          <w:bCs/>
          <w:sz w:val="28"/>
          <w:szCs w:val="28"/>
        </w:rPr>
      </w:pPr>
    </w:p>
    <w:p>
      <w:pPr>
        <w:rPr>
          <w:rFonts w:ascii="宋体" w:hAnsi="宋体"/>
          <w:sz w:val="32"/>
          <w:szCs w:val="32"/>
        </w:rPr>
      </w:pPr>
      <w:r>
        <w:rPr>
          <w:rFonts w:hint="eastAsia" w:ascii="宋体" w:hAnsi="宋体"/>
          <w:sz w:val="32"/>
          <w:szCs w:val="32"/>
        </w:rPr>
        <w:t>附件3-1</w:t>
      </w:r>
    </w:p>
    <w:p>
      <w:pPr>
        <w:jc w:val="center"/>
        <w:rPr>
          <w:rFonts w:ascii="宋体" w:hAnsi="宋体"/>
          <w:sz w:val="38"/>
          <w:szCs w:val="38"/>
        </w:rPr>
      </w:pPr>
      <w:r>
        <w:rPr>
          <w:rFonts w:hint="eastAsia" w:ascii="宋体" w:hAnsi="宋体"/>
          <w:sz w:val="38"/>
          <w:szCs w:val="38"/>
        </w:rPr>
        <w:t>部门整体支出绩效评价评分表（参考样表）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b/>
                <w:bCs/>
                <w:kern w:val="0"/>
                <w:sz w:val="18"/>
                <w:szCs w:val="18"/>
              </w:rPr>
            </w:pPr>
            <w:r>
              <w:rPr>
                <w:rFonts w:hint="eastAsia" w:ascii="宋体" w:hAnsi="宋体"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b/>
                <w:bCs/>
                <w:kern w:val="0"/>
                <w:sz w:val="18"/>
                <w:szCs w:val="18"/>
              </w:rPr>
            </w:pPr>
            <w:r>
              <w:rPr>
                <w:rFonts w:hint="eastAsia" w:ascii="宋体" w:hAnsi="宋体"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b/>
                <w:bCs/>
                <w:kern w:val="0"/>
                <w:sz w:val="18"/>
                <w:szCs w:val="18"/>
              </w:rPr>
            </w:pPr>
            <w:r>
              <w:rPr>
                <w:rFonts w:hint="eastAsia" w:ascii="宋体" w:hAnsi="宋体"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b/>
                <w:bCs/>
                <w:kern w:val="0"/>
                <w:sz w:val="18"/>
                <w:szCs w:val="18"/>
              </w:rPr>
            </w:pPr>
            <w:r>
              <w:rPr>
                <w:rFonts w:hint="eastAsia" w:ascii="宋体" w:hAnsi="宋体"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b/>
                <w:bCs/>
                <w:kern w:val="0"/>
                <w:sz w:val="18"/>
                <w:szCs w:val="18"/>
              </w:rPr>
            </w:pPr>
            <w:r>
              <w:rPr>
                <w:rFonts w:hint="eastAsia" w:ascii="宋体" w:hAnsi="宋体"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宋体" w:hAnsi="宋体" w:cs="宋体"/>
                <w:b/>
                <w:bCs/>
                <w:kern w:val="0"/>
                <w:sz w:val="18"/>
                <w:szCs w:val="18"/>
              </w:rPr>
            </w:pPr>
            <w:r>
              <w:rPr>
                <w:rFonts w:hint="eastAsia" w:ascii="宋体" w:hAnsi="宋体"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宋体" w:hAnsi="宋体" w:cs="宋体"/>
                <w:b/>
                <w:bCs/>
                <w:spacing w:val="-10"/>
                <w:kern w:val="0"/>
                <w:sz w:val="18"/>
                <w:szCs w:val="18"/>
              </w:rPr>
            </w:pPr>
            <w:r>
              <w:rPr>
                <w:rFonts w:hint="eastAsia" w:ascii="宋体" w:hAnsi="宋体"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投  入</w:t>
            </w:r>
            <w:r>
              <w:rPr>
                <w:rFonts w:hint="eastAsia" w:ascii="宋体" w:hAnsi="宋体" w:cs="宋体"/>
                <w:kern w:val="0"/>
                <w:sz w:val="18"/>
                <w:szCs w:val="18"/>
              </w:rPr>
              <w:br w:type="textWrapping"/>
            </w:r>
            <w:r>
              <w:rPr>
                <w:rFonts w:hint="eastAsia" w:ascii="宋体" w:hAnsi="宋体"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预算配置</w:t>
            </w:r>
            <w:r>
              <w:rPr>
                <w:rFonts w:hint="eastAsia" w:ascii="宋体" w:hAnsi="宋体" w:cs="宋体"/>
                <w:kern w:val="0"/>
                <w:sz w:val="18"/>
                <w:szCs w:val="18"/>
              </w:rPr>
              <w:br w:type="textWrapping"/>
            </w:r>
            <w:r>
              <w:rPr>
                <w:rFonts w:hint="eastAsia" w:ascii="宋体" w:hAnsi="宋体" w:cs="宋体"/>
                <w:kern w:val="0"/>
                <w:sz w:val="18"/>
                <w:szCs w:val="18"/>
              </w:rPr>
              <w:t>（15分）</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财政供养人员</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控制率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以100%为标准。在职人员控制率≦100%，计5分；每超过一个百分点扣0.5分，扣完为止。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5</w:t>
            </w:r>
          </w:p>
        </w:tc>
        <w:tc>
          <w:tcPr>
            <w:tcW w:w="1080" w:type="dxa"/>
            <w:tcBorders>
              <w:top w:val="nil"/>
              <w:left w:val="nil"/>
              <w:bottom w:val="single" w:color="auto" w:sz="4" w:space="0"/>
              <w:right w:val="single" w:color="auto" w:sz="4" w:space="0"/>
            </w:tcBorders>
            <w:noWrap/>
            <w:vAlign w:val="center"/>
          </w:tcPr>
          <w:p>
            <w:pPr>
              <w:widowControl/>
              <w:spacing w:line="240" w:lineRule="exact"/>
              <w:jc w:val="left"/>
              <w:rPr>
                <w:rFonts w:ascii="宋体" w:hAnsi="宋体"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宋体" w:hAnsi="宋体"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宋体" w:hAnsi="宋体"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“三公经费”</w:t>
            </w:r>
            <w:r>
              <w:rPr>
                <w:rFonts w:hint="eastAsia" w:ascii="宋体" w:hAnsi="宋体" w:cs="宋体"/>
                <w:kern w:val="0"/>
                <w:sz w:val="18"/>
                <w:szCs w:val="18"/>
              </w:rPr>
              <w:br w:type="textWrapping"/>
            </w:r>
            <w:r>
              <w:rPr>
                <w:rFonts w:hint="eastAsia" w:ascii="宋体" w:hAnsi="宋体" w:cs="宋体"/>
                <w:kern w:val="0"/>
                <w:sz w:val="18"/>
                <w:szCs w:val="18"/>
              </w:rPr>
              <w:t>变动率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“三公经费”变动率≦0,计5分；</w:t>
            </w:r>
            <w:r>
              <w:rPr>
                <w:rFonts w:hint="eastAsia" w:ascii="宋体" w:hAnsi="宋体" w:cs="宋体"/>
                <w:kern w:val="0"/>
                <w:sz w:val="18"/>
                <w:szCs w:val="18"/>
              </w:rPr>
              <w:br w:type="textWrapping"/>
            </w:r>
            <w:r>
              <w:rPr>
                <w:rFonts w:hint="eastAsia" w:ascii="宋体" w:hAnsi="宋体"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5</w:t>
            </w:r>
          </w:p>
        </w:tc>
        <w:tc>
          <w:tcPr>
            <w:tcW w:w="1080" w:type="dxa"/>
            <w:tcBorders>
              <w:top w:val="nil"/>
              <w:left w:val="nil"/>
              <w:bottom w:val="single" w:color="auto" w:sz="4" w:space="0"/>
              <w:right w:val="single" w:color="auto" w:sz="4" w:space="0"/>
            </w:tcBorders>
            <w:noWrap/>
            <w:vAlign w:val="center"/>
          </w:tcPr>
          <w:p>
            <w:pPr>
              <w:widowControl/>
              <w:spacing w:line="240" w:lineRule="exact"/>
              <w:jc w:val="left"/>
              <w:rPr>
                <w:rFonts w:ascii="宋体" w:hAnsi="宋体"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宋体" w:hAnsi="宋体"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宋体" w:hAnsi="宋体"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重点支出</w:t>
            </w:r>
            <w:r>
              <w:rPr>
                <w:rFonts w:hint="eastAsia" w:ascii="宋体" w:hAnsi="宋体" w:cs="宋体"/>
                <w:kern w:val="0"/>
                <w:sz w:val="18"/>
                <w:szCs w:val="18"/>
              </w:rPr>
              <w:br w:type="textWrapping"/>
            </w:r>
            <w:r>
              <w:rPr>
                <w:rFonts w:hint="eastAsia" w:ascii="宋体" w:hAnsi="宋体" w:cs="宋体"/>
                <w:kern w:val="0"/>
                <w:sz w:val="18"/>
                <w:szCs w:val="18"/>
              </w:rPr>
              <w:t>安排率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5</w:t>
            </w:r>
          </w:p>
        </w:tc>
        <w:tc>
          <w:tcPr>
            <w:tcW w:w="1080" w:type="dxa"/>
            <w:tcBorders>
              <w:top w:val="nil"/>
              <w:left w:val="nil"/>
              <w:bottom w:val="single" w:color="auto" w:sz="4" w:space="0"/>
              <w:right w:val="single" w:color="auto" w:sz="4" w:space="0"/>
            </w:tcBorders>
            <w:noWrap/>
            <w:vAlign w:val="center"/>
          </w:tcPr>
          <w:p>
            <w:pPr>
              <w:widowControl/>
              <w:spacing w:line="240" w:lineRule="exact"/>
              <w:jc w:val="left"/>
              <w:rPr>
                <w:rFonts w:ascii="宋体" w:hAnsi="宋体"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过  程</w:t>
            </w:r>
            <w:r>
              <w:rPr>
                <w:rFonts w:hint="eastAsia" w:ascii="宋体" w:hAnsi="宋体" w:cs="宋体"/>
                <w:kern w:val="0"/>
                <w:sz w:val="18"/>
                <w:szCs w:val="18"/>
              </w:rPr>
              <w:br w:type="textWrapping"/>
            </w:r>
            <w:r>
              <w:rPr>
                <w:rFonts w:hint="eastAsia" w:ascii="宋体" w:hAnsi="宋体"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预算执行</w:t>
            </w:r>
            <w:r>
              <w:rPr>
                <w:rFonts w:hint="eastAsia" w:ascii="宋体" w:hAnsi="宋体" w:cs="宋体"/>
                <w:kern w:val="0"/>
                <w:sz w:val="18"/>
                <w:szCs w:val="18"/>
              </w:rPr>
              <w:br w:type="textWrapping"/>
            </w:r>
            <w:r>
              <w:rPr>
                <w:rFonts w:hint="eastAsia" w:ascii="宋体" w:hAnsi="宋体" w:cs="宋体"/>
                <w:kern w:val="0"/>
                <w:sz w:val="18"/>
                <w:szCs w:val="18"/>
              </w:rPr>
              <w:t>（15分）</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预算调整率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p>
        </w:tc>
      </w:tr>
      <w:tr>
        <w:tblPrEx>
          <w:tblCellMar>
            <w:top w:w="0" w:type="dxa"/>
            <w:left w:w="108" w:type="dxa"/>
            <w:bottom w:w="0" w:type="dxa"/>
            <w:right w:w="108" w:type="dxa"/>
          </w:tblCellMar>
        </w:tblPrEx>
        <w:trPr>
          <w:trHeight w:val="922"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宋体" w:hAnsi="宋体"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宋体" w:hAnsi="宋体"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支付进度</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br w:type="textWrapping"/>
            </w:r>
            <w:r>
              <w:rPr>
                <w:rFonts w:hint="eastAsia" w:ascii="宋体" w:hAnsi="宋体"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宋体" w:hAnsi="宋体"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宋体" w:hAnsi="宋体"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资金结余</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p>
        </w:tc>
      </w:tr>
      <w:tr>
        <w:tblPrEx>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宋体" w:hAnsi="宋体"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宋体" w:hAnsi="宋体"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“三公经费”</w:t>
            </w:r>
            <w:r>
              <w:rPr>
                <w:rFonts w:hint="eastAsia" w:ascii="宋体" w:hAnsi="宋体" w:cs="宋体"/>
                <w:kern w:val="0"/>
                <w:sz w:val="18"/>
                <w:szCs w:val="18"/>
              </w:rPr>
              <w:br w:type="textWrapping"/>
            </w:r>
            <w:r>
              <w:rPr>
                <w:rFonts w:hint="eastAsia" w:ascii="宋体" w:hAnsi="宋体" w:cs="宋体"/>
                <w:kern w:val="0"/>
                <w:sz w:val="18"/>
                <w:szCs w:val="18"/>
              </w:rPr>
              <w:t>控制率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以100%为标准。三公经费控制率≦100%，计6分；</w:t>
            </w:r>
            <w:r>
              <w:rPr>
                <w:rFonts w:hint="eastAsia" w:ascii="宋体" w:hAnsi="宋体" w:cs="宋体"/>
                <w:kern w:val="0"/>
                <w:sz w:val="18"/>
                <w:szCs w:val="18"/>
              </w:rPr>
              <w:br w:type="textWrapping"/>
            </w:r>
            <w:r>
              <w:rPr>
                <w:rFonts w:hint="eastAsia" w:ascii="宋体" w:hAnsi="宋体"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6</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6</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p>
        </w:tc>
      </w:tr>
      <w:tr>
        <w:tblPrEx>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宋体" w:hAnsi="宋体"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预算管理</w:t>
            </w:r>
            <w:r>
              <w:rPr>
                <w:rFonts w:hint="eastAsia" w:ascii="宋体" w:hAnsi="宋体" w:cs="宋体"/>
                <w:kern w:val="0"/>
                <w:sz w:val="18"/>
                <w:szCs w:val="18"/>
              </w:rPr>
              <w:br w:type="textWrapping"/>
            </w:r>
            <w:r>
              <w:rPr>
                <w:rFonts w:hint="eastAsia" w:ascii="宋体" w:hAnsi="宋体" w:cs="宋体"/>
                <w:kern w:val="0"/>
                <w:sz w:val="18"/>
                <w:szCs w:val="18"/>
              </w:rPr>
              <w:t>（15分）</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管理制度</w:t>
            </w:r>
            <w:r>
              <w:rPr>
                <w:rFonts w:hint="eastAsia" w:ascii="宋体" w:hAnsi="宋体" w:cs="宋体"/>
                <w:kern w:val="0"/>
                <w:sz w:val="18"/>
                <w:szCs w:val="18"/>
              </w:rPr>
              <w:br w:type="textWrapping"/>
            </w:r>
            <w:r>
              <w:rPr>
                <w:rFonts w:hint="eastAsia" w:ascii="宋体" w:hAnsi="宋体" w:cs="宋体"/>
                <w:kern w:val="0"/>
                <w:sz w:val="18"/>
                <w:szCs w:val="18"/>
              </w:rPr>
              <w:t>健全性</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①已制定或具有预算资金管理办法，内部财务管理制度、会计核算制度等管理制度，1分；</w:t>
            </w:r>
            <w:r>
              <w:rPr>
                <w:rFonts w:hint="eastAsia" w:ascii="宋体" w:hAnsi="宋体" w:cs="宋体"/>
                <w:kern w:val="0"/>
                <w:sz w:val="18"/>
                <w:szCs w:val="18"/>
              </w:rPr>
              <w:br w:type="textWrapping"/>
            </w:r>
            <w:r>
              <w:rPr>
                <w:rFonts w:hint="eastAsia" w:ascii="宋体" w:hAnsi="宋体" w:cs="宋体"/>
                <w:kern w:val="0"/>
                <w:sz w:val="18"/>
                <w:szCs w:val="18"/>
              </w:rPr>
              <w:t>②相关管理制度合法、合规、完整，1分；</w:t>
            </w:r>
            <w:r>
              <w:rPr>
                <w:rFonts w:hint="eastAsia" w:ascii="宋体" w:hAnsi="宋体" w:cs="宋体"/>
                <w:kern w:val="0"/>
                <w:sz w:val="18"/>
                <w:szCs w:val="18"/>
              </w:rPr>
              <w:br w:type="textWrapping"/>
            </w:r>
            <w:r>
              <w:rPr>
                <w:rFonts w:hint="eastAsia" w:ascii="宋体" w:hAnsi="宋体"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p>
        </w:tc>
      </w:tr>
      <w:tr>
        <w:tblPrEx>
          <w:tblCellMar>
            <w:top w:w="0" w:type="dxa"/>
            <w:left w:w="108" w:type="dxa"/>
            <w:bottom w:w="0" w:type="dxa"/>
            <w:right w:w="108" w:type="dxa"/>
          </w:tblCellMar>
        </w:tblPrEx>
        <w:trPr>
          <w:trHeight w:val="1716"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宋体" w:hAnsi="宋体"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宋体" w:hAnsi="宋体"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资金使用</w:t>
            </w:r>
            <w:r>
              <w:rPr>
                <w:rFonts w:hint="eastAsia" w:ascii="宋体" w:hAnsi="宋体" w:cs="宋体"/>
                <w:kern w:val="0"/>
                <w:sz w:val="18"/>
                <w:szCs w:val="18"/>
              </w:rPr>
              <w:br w:type="textWrapping"/>
            </w:r>
            <w:r>
              <w:rPr>
                <w:rFonts w:hint="eastAsia" w:ascii="宋体" w:hAnsi="宋体" w:cs="宋体"/>
                <w:kern w:val="0"/>
                <w:sz w:val="18"/>
                <w:szCs w:val="18"/>
              </w:rPr>
              <w:t>合规性</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①支出符合国家财经法规和财务管理制度规定以及有关专项资金管理办法的规定；</w:t>
            </w:r>
            <w:r>
              <w:rPr>
                <w:rFonts w:hint="eastAsia" w:ascii="宋体" w:hAnsi="宋体" w:cs="宋体"/>
                <w:kern w:val="0"/>
                <w:sz w:val="18"/>
                <w:szCs w:val="18"/>
              </w:rPr>
              <w:br w:type="textWrapping"/>
            </w:r>
            <w:r>
              <w:rPr>
                <w:rFonts w:hint="eastAsia" w:ascii="宋体" w:hAnsi="宋体" w:cs="宋体"/>
                <w:kern w:val="0"/>
                <w:sz w:val="18"/>
                <w:szCs w:val="18"/>
              </w:rPr>
              <w:t>②资金拨付有完整的审批程序和手续；</w:t>
            </w:r>
            <w:r>
              <w:rPr>
                <w:rFonts w:hint="eastAsia" w:ascii="宋体" w:hAnsi="宋体" w:cs="宋体"/>
                <w:kern w:val="0"/>
                <w:sz w:val="18"/>
                <w:szCs w:val="18"/>
              </w:rPr>
              <w:br w:type="textWrapping"/>
            </w:r>
            <w:r>
              <w:rPr>
                <w:rFonts w:hint="eastAsia" w:ascii="宋体" w:hAnsi="宋体" w:cs="宋体"/>
                <w:kern w:val="0"/>
                <w:sz w:val="18"/>
                <w:szCs w:val="18"/>
              </w:rPr>
              <w:t>③项目支出按规定经过评估论证；</w:t>
            </w:r>
            <w:r>
              <w:rPr>
                <w:rFonts w:hint="eastAsia" w:ascii="宋体" w:hAnsi="宋体" w:cs="宋体"/>
                <w:kern w:val="0"/>
                <w:sz w:val="18"/>
                <w:szCs w:val="18"/>
              </w:rPr>
              <w:br w:type="textWrapping"/>
            </w:r>
            <w:r>
              <w:rPr>
                <w:rFonts w:hint="eastAsia" w:ascii="宋体" w:hAnsi="宋体" w:cs="宋体"/>
                <w:kern w:val="0"/>
                <w:sz w:val="18"/>
                <w:szCs w:val="18"/>
              </w:rPr>
              <w:t>④支出符合部门预算批复的用途；</w:t>
            </w:r>
            <w:r>
              <w:rPr>
                <w:rFonts w:hint="eastAsia" w:ascii="宋体" w:hAnsi="宋体" w:cs="宋体"/>
                <w:kern w:val="0"/>
                <w:sz w:val="18"/>
                <w:szCs w:val="18"/>
              </w:rPr>
              <w:br w:type="textWrapping"/>
            </w:r>
            <w:r>
              <w:rPr>
                <w:rFonts w:hint="eastAsia" w:ascii="宋体" w:hAnsi="宋体" w:cs="宋体"/>
                <w:spacing w:val="-6"/>
                <w:kern w:val="0"/>
                <w:sz w:val="18"/>
                <w:szCs w:val="18"/>
              </w:rPr>
              <w:t>⑤资金使用无截留、挤占、挪用、虚列支出等情况。</w:t>
            </w:r>
            <w:r>
              <w:rPr>
                <w:rFonts w:hint="eastAsia" w:ascii="宋体" w:hAnsi="宋体" w:cs="宋体"/>
                <w:spacing w:val="-6"/>
                <w:kern w:val="0"/>
                <w:sz w:val="18"/>
                <w:szCs w:val="18"/>
              </w:rPr>
              <w:br w:type="textWrapping"/>
            </w:r>
            <w:r>
              <w:rPr>
                <w:rFonts w:hint="eastAsia" w:ascii="宋体" w:hAnsi="宋体"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p>
        </w:tc>
      </w:tr>
      <w:tr>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宋体" w:hAnsi="宋体"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宋体" w:hAnsi="宋体" w:cs="宋体"/>
                <w:kern w:val="0"/>
                <w:sz w:val="18"/>
                <w:szCs w:val="18"/>
              </w:rPr>
            </w:pP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①按规定内容公开预决算信息，1分；</w:t>
            </w:r>
            <w:r>
              <w:rPr>
                <w:rFonts w:hint="eastAsia" w:ascii="宋体" w:hAnsi="宋体" w:cs="宋体"/>
                <w:kern w:val="0"/>
                <w:sz w:val="18"/>
                <w:szCs w:val="18"/>
              </w:rPr>
              <w:br w:type="textWrapping"/>
            </w:r>
            <w:r>
              <w:rPr>
                <w:rFonts w:hint="eastAsia" w:ascii="宋体" w:hAnsi="宋体" w:cs="宋体"/>
                <w:kern w:val="0"/>
                <w:sz w:val="18"/>
                <w:szCs w:val="18"/>
              </w:rPr>
              <w:t>②按规定时限公开预决算信息，0.5分；</w:t>
            </w:r>
            <w:r>
              <w:rPr>
                <w:rFonts w:hint="eastAsia" w:ascii="宋体" w:hAnsi="宋体" w:cs="宋体"/>
                <w:kern w:val="0"/>
                <w:sz w:val="18"/>
                <w:szCs w:val="18"/>
              </w:rPr>
              <w:br w:type="textWrapping"/>
            </w:r>
            <w:r>
              <w:rPr>
                <w:rFonts w:hint="eastAsia" w:ascii="宋体" w:hAnsi="宋体" w:cs="宋体"/>
                <w:kern w:val="0"/>
                <w:sz w:val="18"/>
                <w:szCs w:val="18"/>
              </w:rPr>
              <w:t>③基础数据信息和会计信息资料真实，0.5分；</w:t>
            </w:r>
            <w:r>
              <w:rPr>
                <w:rFonts w:hint="eastAsia" w:ascii="宋体" w:hAnsi="宋体" w:cs="宋体"/>
                <w:kern w:val="0"/>
                <w:sz w:val="18"/>
                <w:szCs w:val="18"/>
              </w:rPr>
              <w:br w:type="textWrapping"/>
            </w:r>
            <w:r>
              <w:rPr>
                <w:rFonts w:hint="eastAsia" w:ascii="宋体" w:hAnsi="宋体" w:cs="宋体"/>
                <w:kern w:val="0"/>
                <w:sz w:val="18"/>
                <w:szCs w:val="18"/>
              </w:rPr>
              <w:t>④基础数据信息和会计信息资料完整，0.5分；</w:t>
            </w:r>
            <w:r>
              <w:rPr>
                <w:rFonts w:hint="eastAsia" w:ascii="宋体" w:hAnsi="宋体" w:cs="宋体"/>
                <w:kern w:val="0"/>
                <w:sz w:val="18"/>
                <w:szCs w:val="18"/>
              </w:rPr>
              <w:br w:type="textWrapping"/>
            </w:r>
            <w:r>
              <w:rPr>
                <w:rFonts w:hint="eastAsia" w:ascii="宋体" w:hAnsi="宋体"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宋体" w:hAnsi="宋体"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　</w:t>
            </w: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政府采购</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政府采购执行率等于100%的，得3分；</w:t>
            </w:r>
            <w:r>
              <w:rPr>
                <w:rFonts w:hint="eastAsia" w:ascii="宋体" w:hAnsi="宋体" w:cs="宋体"/>
                <w:kern w:val="0"/>
                <w:sz w:val="18"/>
                <w:szCs w:val="18"/>
              </w:rPr>
              <w:br w:type="textWrapping"/>
            </w:r>
            <w:r>
              <w:rPr>
                <w:rFonts w:hint="eastAsia" w:ascii="宋体" w:hAnsi="宋体"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宋体" w:hAnsi="宋体"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宋体" w:hAnsi="宋体" w:cs="宋体"/>
                <w:kern w:val="0"/>
                <w:sz w:val="18"/>
                <w:szCs w:val="18"/>
              </w:rPr>
            </w:pP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公务卡刷卡率达70％以上的，得3分。</w:t>
            </w:r>
            <w:r>
              <w:rPr>
                <w:rFonts w:hint="eastAsia" w:ascii="宋体" w:hAnsi="宋体" w:cs="宋体"/>
                <w:kern w:val="0"/>
                <w:sz w:val="18"/>
                <w:szCs w:val="18"/>
              </w:rPr>
              <w:br w:type="textWrapping"/>
            </w:r>
            <w:r>
              <w:rPr>
                <w:rFonts w:hint="eastAsia" w:ascii="宋体" w:hAnsi="宋体"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2.4</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9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宋体" w:hAnsi="宋体"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资产管理</w:t>
            </w:r>
            <w:r>
              <w:rPr>
                <w:rFonts w:hint="eastAsia" w:ascii="宋体" w:hAnsi="宋体" w:cs="宋体"/>
                <w:kern w:val="0"/>
                <w:sz w:val="18"/>
                <w:szCs w:val="18"/>
              </w:rPr>
              <w:br w:type="textWrapping"/>
            </w:r>
            <w:r>
              <w:rPr>
                <w:rFonts w:hint="eastAsia" w:ascii="宋体" w:hAnsi="宋体"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管理制度</w:t>
            </w:r>
            <w:r>
              <w:rPr>
                <w:rFonts w:hint="eastAsia" w:ascii="宋体" w:hAnsi="宋体" w:cs="宋体"/>
                <w:kern w:val="0"/>
                <w:sz w:val="18"/>
                <w:szCs w:val="18"/>
              </w:rPr>
              <w:br w:type="textWrapping"/>
            </w:r>
            <w:r>
              <w:rPr>
                <w:rFonts w:hint="eastAsia" w:ascii="宋体" w:hAnsi="宋体"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①已制定或具有资产管理制度，且相关资产管理制度合法、合规、完整，2分；</w:t>
            </w:r>
            <w:r>
              <w:rPr>
                <w:rFonts w:hint="eastAsia" w:ascii="宋体" w:hAnsi="宋体" w:cs="宋体"/>
                <w:kern w:val="0"/>
                <w:sz w:val="18"/>
                <w:szCs w:val="18"/>
              </w:rPr>
              <w:br w:type="textWrapping"/>
            </w:r>
            <w:r>
              <w:rPr>
                <w:rFonts w:hint="eastAsia" w:ascii="宋体" w:hAnsi="宋体"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宋体" w:hAnsi="宋体" w:cs="宋体"/>
                <w:kern w:val="0"/>
                <w:sz w:val="18"/>
                <w:szCs w:val="18"/>
              </w:rPr>
            </w:pPr>
          </w:p>
        </w:tc>
      </w:tr>
    </w:tbl>
    <w:p>
      <w:pPr>
        <w:rPr>
          <w:rFonts w:ascii="宋体" w:hAnsi="宋体"/>
        </w:rPr>
      </w:pPr>
    </w:p>
    <w:tbl>
      <w:tblPr>
        <w:tblStyle w:val="5"/>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b/>
                <w:bCs/>
                <w:kern w:val="0"/>
                <w:sz w:val="18"/>
                <w:szCs w:val="18"/>
              </w:rPr>
            </w:pPr>
            <w:r>
              <w:rPr>
                <w:rFonts w:hint="eastAsia" w:ascii="宋体" w:hAnsi="宋体"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b/>
                <w:bCs/>
                <w:kern w:val="0"/>
                <w:sz w:val="18"/>
                <w:szCs w:val="18"/>
              </w:rPr>
            </w:pPr>
            <w:r>
              <w:rPr>
                <w:rFonts w:hint="eastAsia" w:ascii="宋体" w:hAnsi="宋体"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b/>
                <w:bCs/>
                <w:kern w:val="0"/>
                <w:sz w:val="18"/>
                <w:szCs w:val="18"/>
              </w:rPr>
            </w:pPr>
            <w:r>
              <w:rPr>
                <w:rFonts w:hint="eastAsia" w:ascii="宋体" w:hAnsi="宋体"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b/>
                <w:bCs/>
                <w:kern w:val="0"/>
                <w:sz w:val="18"/>
                <w:szCs w:val="18"/>
              </w:rPr>
            </w:pPr>
            <w:r>
              <w:rPr>
                <w:rFonts w:hint="eastAsia" w:ascii="宋体" w:hAnsi="宋体"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b/>
                <w:bCs/>
                <w:kern w:val="0"/>
                <w:sz w:val="18"/>
                <w:szCs w:val="18"/>
              </w:rPr>
            </w:pPr>
            <w:r>
              <w:rPr>
                <w:rFonts w:hint="eastAsia" w:ascii="宋体" w:hAnsi="宋体"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宋体" w:hAnsi="宋体" w:cs="宋体"/>
                <w:b/>
                <w:bCs/>
                <w:kern w:val="0"/>
                <w:sz w:val="18"/>
                <w:szCs w:val="18"/>
              </w:rPr>
            </w:pPr>
            <w:r>
              <w:rPr>
                <w:rFonts w:hint="eastAsia" w:ascii="宋体" w:hAnsi="宋体"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宋体" w:hAnsi="宋体" w:cs="宋体"/>
                <w:b/>
                <w:bCs/>
                <w:spacing w:val="-12"/>
                <w:kern w:val="0"/>
                <w:sz w:val="18"/>
                <w:szCs w:val="18"/>
              </w:rPr>
            </w:pPr>
            <w:r>
              <w:rPr>
                <w:rFonts w:hint="eastAsia" w:ascii="宋体" w:hAnsi="宋体"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过  程</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资产管理</w:t>
            </w:r>
            <w:r>
              <w:rPr>
                <w:rFonts w:hint="eastAsia" w:ascii="宋体" w:hAnsi="宋体" w:cs="宋体"/>
                <w:kern w:val="0"/>
                <w:sz w:val="18"/>
                <w:szCs w:val="18"/>
              </w:rPr>
              <w:br w:type="textWrapping"/>
            </w:r>
            <w:r>
              <w:rPr>
                <w:rFonts w:hint="eastAsia" w:ascii="宋体" w:hAnsi="宋体"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资产管理</w:t>
            </w:r>
            <w:r>
              <w:rPr>
                <w:rFonts w:hint="eastAsia" w:ascii="宋体" w:hAnsi="宋体" w:cs="宋体"/>
                <w:kern w:val="0"/>
                <w:sz w:val="18"/>
                <w:szCs w:val="18"/>
              </w:rPr>
              <w:br w:type="textWrapping"/>
            </w:r>
            <w:r>
              <w:rPr>
                <w:rFonts w:hint="eastAsia" w:ascii="宋体" w:hAnsi="宋体"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①资产保存完整；</w:t>
            </w:r>
            <w:r>
              <w:rPr>
                <w:rFonts w:hint="eastAsia" w:ascii="宋体" w:hAnsi="宋体" w:cs="宋体"/>
                <w:kern w:val="0"/>
                <w:sz w:val="18"/>
                <w:szCs w:val="18"/>
              </w:rPr>
              <w:br w:type="textWrapping"/>
            </w:r>
            <w:r>
              <w:rPr>
                <w:rFonts w:hint="eastAsia" w:ascii="宋体" w:hAnsi="宋体" w:cs="宋体"/>
                <w:kern w:val="0"/>
                <w:sz w:val="18"/>
                <w:szCs w:val="18"/>
              </w:rPr>
              <w:t>②资产配置合理；</w:t>
            </w:r>
            <w:r>
              <w:rPr>
                <w:rFonts w:hint="eastAsia" w:ascii="宋体" w:hAnsi="宋体" w:cs="宋体"/>
                <w:kern w:val="0"/>
                <w:sz w:val="18"/>
                <w:szCs w:val="18"/>
              </w:rPr>
              <w:br w:type="textWrapping"/>
            </w:r>
            <w:r>
              <w:rPr>
                <w:rFonts w:hint="eastAsia" w:ascii="宋体" w:hAnsi="宋体" w:cs="宋体"/>
                <w:kern w:val="0"/>
                <w:sz w:val="18"/>
                <w:szCs w:val="18"/>
              </w:rPr>
              <w:t xml:space="preserve">③资产处置规范； </w:t>
            </w:r>
            <w:r>
              <w:rPr>
                <w:rFonts w:hint="eastAsia" w:ascii="宋体" w:hAnsi="宋体" w:cs="宋体"/>
                <w:kern w:val="0"/>
                <w:sz w:val="18"/>
                <w:szCs w:val="18"/>
              </w:rPr>
              <w:br w:type="textWrapping"/>
            </w:r>
            <w:r>
              <w:rPr>
                <w:rFonts w:hint="eastAsia" w:ascii="宋体" w:hAnsi="宋体" w:cs="宋体"/>
                <w:kern w:val="0"/>
                <w:sz w:val="18"/>
                <w:szCs w:val="18"/>
              </w:rPr>
              <w:t>④资产账务管理合规，帐实相符；</w:t>
            </w:r>
            <w:r>
              <w:rPr>
                <w:rFonts w:hint="eastAsia" w:ascii="宋体" w:hAnsi="宋体" w:cs="宋体"/>
                <w:kern w:val="0"/>
                <w:sz w:val="18"/>
                <w:szCs w:val="18"/>
              </w:rPr>
              <w:br w:type="textWrapping"/>
            </w:r>
            <w:r>
              <w:rPr>
                <w:rFonts w:hint="eastAsia" w:ascii="宋体" w:hAnsi="宋体" w:cs="宋体"/>
                <w:kern w:val="0"/>
                <w:sz w:val="18"/>
                <w:szCs w:val="18"/>
              </w:rPr>
              <w:t>⑤资产有偿使用及处置收入及时足额上缴；</w:t>
            </w:r>
            <w:r>
              <w:rPr>
                <w:rFonts w:hint="eastAsia" w:ascii="宋体" w:hAnsi="宋体" w:cs="宋体"/>
                <w:kern w:val="0"/>
                <w:sz w:val="18"/>
                <w:szCs w:val="18"/>
              </w:rPr>
              <w:br w:type="textWrapping"/>
            </w:r>
            <w:r>
              <w:rPr>
                <w:rFonts w:hint="eastAsia" w:ascii="宋体" w:hAnsi="宋体"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4</w:t>
            </w:r>
          </w:p>
        </w:tc>
        <w:tc>
          <w:tcPr>
            <w:tcW w:w="1085"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宋体" w:hAnsi="宋体"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宋体" w:hAnsi="宋体"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固定资产</w:t>
            </w:r>
            <w:r>
              <w:rPr>
                <w:rFonts w:hint="eastAsia" w:ascii="宋体" w:hAnsi="宋体" w:cs="宋体"/>
                <w:kern w:val="0"/>
                <w:sz w:val="18"/>
                <w:szCs w:val="18"/>
              </w:rPr>
              <w:br w:type="textWrapping"/>
            </w:r>
            <w:r>
              <w:rPr>
                <w:rFonts w:hint="eastAsia" w:ascii="宋体" w:hAnsi="宋体"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2.6</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noWrap/>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职责履行</w:t>
            </w:r>
            <w:r>
              <w:rPr>
                <w:rFonts w:hint="eastAsia" w:ascii="宋体" w:hAnsi="宋体" w:cs="宋体"/>
                <w:kern w:val="0"/>
                <w:sz w:val="18"/>
                <w:szCs w:val="18"/>
              </w:rPr>
              <w:br w:type="textWrapping"/>
            </w:r>
            <w:r>
              <w:rPr>
                <w:rFonts w:hint="eastAsia" w:ascii="宋体" w:hAnsi="宋体"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围绕部门和单位职责、年度重点工作任务，衡量评价部门和单位整体及核心业务实施效果</w:t>
            </w:r>
          </w:p>
          <w:p>
            <w:pPr>
              <w:widowControl/>
              <w:spacing w:line="240" w:lineRule="exact"/>
              <w:jc w:val="left"/>
              <w:rPr>
                <w:rFonts w:ascii="宋体" w:hAnsi="宋体" w:cs="宋体"/>
                <w:kern w:val="0"/>
                <w:sz w:val="18"/>
                <w:szCs w:val="18"/>
              </w:rPr>
            </w:pPr>
            <w:r>
              <w:rPr>
                <w:rFonts w:ascii="宋体" w:hAnsi="宋体" w:cs="宋体"/>
                <w:kern w:val="0"/>
                <w:sz w:val="18"/>
                <w:szCs w:val="18"/>
              </w:rPr>
              <w:br w:type="textWrapping"/>
            </w:r>
            <w:r>
              <w:rPr>
                <w:rFonts w:hint="eastAsia" w:ascii="宋体" w:hAnsi="宋体"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8</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宋体" w:hAnsi="宋体"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宋体" w:hAnsi="宋体"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宋体" w:hAnsi="宋体"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7</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宋体" w:hAnsi="宋体"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宋体" w:hAnsi="宋体"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宋体" w:hAnsi="宋体"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宋体" w:hAnsi="宋体"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宋体" w:hAnsi="宋体"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宋体" w:hAnsi="宋体"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792"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宋体" w:hAnsi="宋体"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宋体" w:hAnsi="宋体"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宋体" w:hAnsi="宋体"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48"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效  果</w:t>
            </w:r>
            <w:r>
              <w:rPr>
                <w:rFonts w:hint="eastAsia" w:ascii="宋体" w:hAnsi="宋体" w:cs="宋体"/>
                <w:kern w:val="0"/>
                <w:sz w:val="18"/>
                <w:szCs w:val="18"/>
              </w:rPr>
              <w:br w:type="textWrapping"/>
            </w:r>
            <w:r>
              <w:rPr>
                <w:rFonts w:hint="eastAsia" w:ascii="宋体" w:hAnsi="宋体"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履职效益</w:t>
            </w:r>
            <w:r>
              <w:rPr>
                <w:rFonts w:hint="eastAsia" w:ascii="宋体" w:hAnsi="宋体" w:cs="宋体"/>
                <w:kern w:val="0"/>
                <w:sz w:val="18"/>
                <w:szCs w:val="18"/>
              </w:rPr>
              <w:br w:type="textWrapping"/>
            </w:r>
            <w:r>
              <w:rPr>
                <w:rFonts w:hint="eastAsia" w:ascii="宋体" w:hAnsi="宋体"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此三项指标为设置部门整体支出绩效评价指标时必须考虑的共性要素。</w:t>
            </w:r>
          </w:p>
          <w:p>
            <w:pPr>
              <w:widowControl/>
              <w:spacing w:line="240" w:lineRule="exact"/>
              <w:jc w:val="left"/>
              <w:rPr>
                <w:rFonts w:ascii="宋体" w:hAnsi="宋体" w:cs="宋体"/>
                <w:kern w:val="0"/>
                <w:sz w:val="18"/>
                <w:szCs w:val="18"/>
              </w:rPr>
            </w:pPr>
            <w:r>
              <w:rPr>
                <w:rFonts w:hint="eastAsia" w:ascii="宋体" w:hAnsi="宋体"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宋体" w:hAnsi="宋体"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宋体" w:hAnsi="宋体"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宋体" w:hAnsi="宋体"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宋体" w:hAnsi="宋体" w:cs="宋体"/>
                <w:kern w:val="0"/>
                <w:sz w:val="18"/>
                <w:szCs w:val="18"/>
              </w:rPr>
            </w:pP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12</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654"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宋体" w:hAnsi="宋体"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宋体" w:hAnsi="宋体"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宋体" w:hAnsi="宋体"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宋体" w:hAnsi="宋体" w:cs="宋体"/>
                <w:kern w:val="0"/>
                <w:sz w:val="18"/>
                <w:szCs w:val="18"/>
              </w:rPr>
            </w:pP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宋体" w:hAnsi="宋体" w:cs="宋体"/>
                <w:kern w:val="0"/>
                <w:sz w:val="18"/>
                <w:szCs w:val="18"/>
              </w:rPr>
            </w:pP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1231" w:hRule="atLeast"/>
          <w:jc w:val="center"/>
        </w:trPr>
        <w:tc>
          <w:tcPr>
            <w:tcW w:w="980"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宋体" w:hAnsi="宋体"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宋体" w:hAnsi="宋体" w:cs="宋体"/>
                <w:kern w:val="0"/>
                <w:sz w:val="18"/>
                <w:szCs w:val="18"/>
              </w:rPr>
            </w:pPr>
          </w:p>
        </w:tc>
        <w:tc>
          <w:tcPr>
            <w:tcW w:w="1395" w:type="dxa"/>
            <w:tcBorders>
              <w:top w:val="nil"/>
              <w:left w:val="nil"/>
              <w:bottom w:val="single" w:color="auto" w:sz="4" w:space="0"/>
              <w:right w:val="single" w:color="auto" w:sz="4" w:space="0"/>
            </w:tcBorders>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95%（含）以上计5分；</w:t>
            </w:r>
          </w:p>
          <w:p>
            <w:pPr>
              <w:widowControl/>
              <w:spacing w:line="240" w:lineRule="exact"/>
              <w:jc w:val="left"/>
              <w:rPr>
                <w:rFonts w:ascii="宋体" w:hAnsi="宋体" w:cs="宋体"/>
                <w:kern w:val="0"/>
                <w:sz w:val="18"/>
                <w:szCs w:val="18"/>
              </w:rPr>
            </w:pPr>
            <w:r>
              <w:rPr>
                <w:rFonts w:hint="eastAsia" w:ascii="宋体" w:hAnsi="宋体" w:cs="宋体"/>
                <w:kern w:val="0"/>
                <w:sz w:val="18"/>
                <w:szCs w:val="18"/>
              </w:rPr>
              <w:t>85%（含）-95%，计3分；</w:t>
            </w:r>
          </w:p>
          <w:p>
            <w:pPr>
              <w:widowControl/>
              <w:spacing w:line="240" w:lineRule="exact"/>
              <w:jc w:val="left"/>
              <w:rPr>
                <w:rFonts w:ascii="宋体" w:hAnsi="宋体" w:cs="宋体"/>
                <w:kern w:val="0"/>
                <w:sz w:val="18"/>
                <w:szCs w:val="18"/>
              </w:rPr>
            </w:pPr>
            <w:r>
              <w:rPr>
                <w:rFonts w:hint="eastAsia" w:ascii="宋体" w:hAnsi="宋体" w:cs="宋体"/>
                <w:kern w:val="0"/>
                <w:sz w:val="18"/>
                <w:szCs w:val="18"/>
              </w:rPr>
              <w:t>75%（含）-85%，计1分；</w:t>
            </w:r>
          </w:p>
          <w:p>
            <w:pPr>
              <w:widowControl/>
              <w:spacing w:line="240" w:lineRule="exact"/>
              <w:jc w:val="left"/>
              <w:rPr>
                <w:rFonts w:ascii="宋体" w:hAnsi="宋体" w:cs="宋体"/>
                <w:kern w:val="0"/>
                <w:sz w:val="18"/>
                <w:szCs w:val="18"/>
              </w:rPr>
            </w:pPr>
            <w:r>
              <w:rPr>
                <w:rFonts w:hint="eastAsia" w:ascii="宋体" w:hAnsi="宋体" w:cs="宋体"/>
                <w:kern w:val="0"/>
                <w:sz w:val="18"/>
                <w:szCs w:val="18"/>
              </w:rPr>
              <w:t>低于75%计0分。</w:t>
            </w:r>
          </w:p>
        </w:tc>
        <w:tc>
          <w:tcPr>
            <w:tcW w:w="621" w:type="dxa"/>
            <w:tcBorders>
              <w:top w:val="nil"/>
              <w:left w:val="nil"/>
              <w:bottom w:val="single" w:color="auto" w:sz="4" w:space="0"/>
              <w:right w:val="single" w:color="auto" w:sz="4" w:space="0"/>
            </w:tcBorders>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5</w:t>
            </w:r>
          </w:p>
        </w:tc>
        <w:tc>
          <w:tcPr>
            <w:tcW w:w="723" w:type="dxa"/>
            <w:tcBorders>
              <w:top w:val="nil"/>
              <w:left w:val="nil"/>
              <w:bottom w:val="single" w:color="auto" w:sz="4" w:space="0"/>
              <w:right w:val="single" w:color="auto" w:sz="4" w:space="0"/>
            </w:tcBorders>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3</w:t>
            </w:r>
          </w:p>
        </w:tc>
        <w:tc>
          <w:tcPr>
            <w:tcW w:w="1085" w:type="dxa"/>
            <w:tcBorders>
              <w:top w:val="nil"/>
              <w:left w:val="nil"/>
              <w:bottom w:val="single" w:color="auto" w:sz="4" w:space="0"/>
              <w:right w:val="single" w:color="auto" w:sz="4" w:space="0"/>
            </w:tcBorders>
            <w:noWrap/>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552" w:hRule="atLeast"/>
          <w:jc w:val="center"/>
        </w:trPr>
        <w:tc>
          <w:tcPr>
            <w:tcW w:w="980"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b/>
                <w:bCs/>
                <w:kern w:val="0"/>
                <w:sz w:val="18"/>
                <w:szCs w:val="18"/>
              </w:rPr>
            </w:pPr>
            <w:r>
              <w:rPr>
                <w:rFonts w:hint="eastAsia" w:ascii="宋体" w:hAnsi="宋体" w:cs="宋体"/>
                <w:b/>
                <w:bCs/>
                <w:kern w:val="0"/>
                <w:sz w:val="18"/>
                <w:szCs w:val="18"/>
              </w:rPr>
              <w:t>总 分</w:t>
            </w:r>
          </w:p>
        </w:tc>
        <w:tc>
          <w:tcPr>
            <w:tcW w:w="943" w:type="dxa"/>
            <w:tcBorders>
              <w:top w:val="nil"/>
              <w:left w:val="nil"/>
              <w:bottom w:val="single" w:color="auto" w:sz="4" w:space="0"/>
              <w:right w:val="single" w:color="auto" w:sz="4" w:space="0"/>
            </w:tcBorders>
            <w:noWrap/>
            <w:vAlign w:val="center"/>
          </w:tcPr>
          <w:p>
            <w:pPr>
              <w:widowControl/>
              <w:spacing w:line="240" w:lineRule="exact"/>
              <w:jc w:val="center"/>
              <w:rPr>
                <w:rFonts w:ascii="宋体" w:hAnsi="宋体" w:cs="宋体"/>
                <w:b/>
                <w:bCs/>
                <w:kern w:val="0"/>
                <w:sz w:val="18"/>
                <w:szCs w:val="18"/>
              </w:rPr>
            </w:pPr>
          </w:p>
        </w:tc>
        <w:tc>
          <w:tcPr>
            <w:tcW w:w="1395" w:type="dxa"/>
            <w:tcBorders>
              <w:top w:val="nil"/>
              <w:left w:val="nil"/>
              <w:bottom w:val="single" w:color="auto" w:sz="4" w:space="0"/>
              <w:right w:val="single" w:color="auto" w:sz="4" w:space="0"/>
            </w:tcBorders>
            <w:noWrap/>
            <w:vAlign w:val="center"/>
          </w:tcPr>
          <w:p>
            <w:pPr>
              <w:widowControl/>
              <w:spacing w:line="240" w:lineRule="exact"/>
              <w:jc w:val="center"/>
              <w:rPr>
                <w:rFonts w:ascii="宋体" w:hAnsi="宋体" w:cs="宋体"/>
                <w:b/>
                <w:bCs/>
                <w:kern w:val="0"/>
                <w:sz w:val="18"/>
                <w:szCs w:val="18"/>
              </w:rPr>
            </w:pPr>
          </w:p>
        </w:tc>
        <w:tc>
          <w:tcPr>
            <w:tcW w:w="4190" w:type="dxa"/>
            <w:tcBorders>
              <w:top w:val="nil"/>
              <w:left w:val="nil"/>
              <w:bottom w:val="single" w:color="auto" w:sz="4" w:space="0"/>
              <w:right w:val="single" w:color="auto" w:sz="4" w:space="0"/>
            </w:tcBorders>
            <w:noWrap/>
            <w:vAlign w:val="center"/>
          </w:tcPr>
          <w:p>
            <w:pPr>
              <w:widowControl/>
              <w:spacing w:line="240" w:lineRule="exact"/>
              <w:jc w:val="center"/>
              <w:rPr>
                <w:rFonts w:ascii="宋体" w:hAnsi="宋体" w:cs="宋体"/>
                <w:b/>
                <w:bCs/>
                <w:kern w:val="0"/>
                <w:sz w:val="18"/>
                <w:szCs w:val="18"/>
              </w:rPr>
            </w:pPr>
          </w:p>
        </w:tc>
        <w:tc>
          <w:tcPr>
            <w:tcW w:w="621" w:type="dxa"/>
            <w:tcBorders>
              <w:top w:val="nil"/>
              <w:left w:val="nil"/>
              <w:bottom w:val="single" w:color="auto" w:sz="4" w:space="0"/>
              <w:right w:val="single" w:color="auto" w:sz="4" w:space="0"/>
            </w:tcBorders>
            <w:noWrap/>
            <w:vAlign w:val="center"/>
          </w:tcPr>
          <w:p>
            <w:pPr>
              <w:widowControl/>
              <w:spacing w:line="240" w:lineRule="exact"/>
              <w:jc w:val="center"/>
              <w:rPr>
                <w:rFonts w:ascii="宋体" w:hAnsi="宋体" w:cs="宋体"/>
                <w:b/>
                <w:bCs/>
                <w:spacing w:val="-8"/>
                <w:kern w:val="0"/>
                <w:sz w:val="18"/>
                <w:szCs w:val="18"/>
              </w:rPr>
            </w:pPr>
            <w:r>
              <w:rPr>
                <w:rFonts w:hint="eastAsia" w:ascii="宋体" w:hAnsi="宋体" w:cs="宋体"/>
                <w:b/>
                <w:bCs/>
                <w:spacing w:val="-8"/>
                <w:kern w:val="0"/>
                <w:sz w:val="18"/>
                <w:szCs w:val="18"/>
              </w:rPr>
              <w:t>100</w:t>
            </w:r>
          </w:p>
        </w:tc>
        <w:tc>
          <w:tcPr>
            <w:tcW w:w="723" w:type="dxa"/>
            <w:tcBorders>
              <w:top w:val="nil"/>
              <w:left w:val="nil"/>
              <w:bottom w:val="single" w:color="auto" w:sz="4" w:space="0"/>
              <w:right w:val="single" w:color="auto" w:sz="4" w:space="0"/>
            </w:tcBorders>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92</w:t>
            </w:r>
          </w:p>
        </w:tc>
        <w:tc>
          <w:tcPr>
            <w:tcW w:w="1085" w:type="dxa"/>
            <w:tcBorders>
              <w:top w:val="nil"/>
              <w:left w:val="nil"/>
              <w:bottom w:val="single" w:color="auto" w:sz="4" w:space="0"/>
              <w:right w:val="single" w:color="auto" w:sz="4" w:space="0"/>
            </w:tcBorders>
            <w:noWrap/>
            <w:vAlign w:val="center"/>
          </w:tcPr>
          <w:p>
            <w:pPr>
              <w:widowControl/>
              <w:spacing w:line="240" w:lineRule="exact"/>
              <w:jc w:val="center"/>
              <w:rPr>
                <w:rFonts w:ascii="宋体" w:hAnsi="宋体" w:cs="宋体"/>
                <w:b/>
                <w:bCs/>
                <w:kern w:val="0"/>
                <w:sz w:val="18"/>
                <w:szCs w:val="18"/>
              </w:rPr>
            </w:pPr>
          </w:p>
        </w:tc>
      </w:tr>
    </w:tbl>
    <w:p>
      <w:pPr>
        <w:adjustRightInd w:val="0"/>
        <w:snapToGrid w:val="0"/>
        <w:spacing w:beforeLines="50"/>
        <w:contextualSpacing/>
        <w:rPr>
          <w:rFonts w:ascii="宋体" w:hAnsi="宋体" w:cs="宋体"/>
          <w:kern w:val="0"/>
          <w:szCs w:val="21"/>
        </w:rPr>
      </w:pPr>
      <w:r>
        <w:rPr>
          <w:rFonts w:hint="eastAsia" w:ascii="宋体" w:hAnsi="宋体" w:cs="宋体"/>
          <w:kern w:val="0"/>
          <w:szCs w:val="21"/>
        </w:rPr>
        <w:t>备注：部门（单位）可根据本部门实际情况，对评价指标体系</w:t>
      </w:r>
      <w:r>
        <w:rPr>
          <w:rFonts w:hint="eastAsia" w:ascii="宋体" w:hAnsi="宋体"/>
        </w:rPr>
        <w:t>进一步完善、量化、细化个性指标，形成本部门的指标体系。</w:t>
      </w:r>
    </w:p>
    <w:sectPr>
      <w:footerReference r:id="rId5" w:type="default"/>
      <w:footerReference r:id="rId6" w:type="even"/>
      <w:pgSz w:w="11906" w:h="16838"/>
      <w:pgMar w:top="1588" w:right="1588" w:bottom="1985"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8</w:t>
    </w:r>
    <w:r>
      <w:rPr>
        <w:sz w:val="24"/>
        <w:szCs w:val="24"/>
      </w:rPr>
      <w:fldChar w:fldCharType="end"/>
    </w:r>
    <w:r>
      <w:rPr>
        <w:rStyle w:val="7"/>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QzZjc5NTllMGFiYmY5NmVhMTllZTJlYTQ3YTVjMjgifQ=="/>
  </w:docVars>
  <w:rsids>
    <w:rsidRoot w:val="2CE55C20"/>
    <w:rsid w:val="0002677A"/>
    <w:rsid w:val="00040C5C"/>
    <w:rsid w:val="0005530F"/>
    <w:rsid w:val="00056BEA"/>
    <w:rsid w:val="000759EE"/>
    <w:rsid w:val="00076487"/>
    <w:rsid w:val="00097D3F"/>
    <w:rsid w:val="0012000B"/>
    <w:rsid w:val="001519DE"/>
    <w:rsid w:val="00160CC3"/>
    <w:rsid w:val="00170391"/>
    <w:rsid w:val="00182260"/>
    <w:rsid w:val="001A1563"/>
    <w:rsid w:val="001C146C"/>
    <w:rsid w:val="001D56EA"/>
    <w:rsid w:val="001D7B09"/>
    <w:rsid w:val="001E0AD4"/>
    <w:rsid w:val="0023510C"/>
    <w:rsid w:val="00243190"/>
    <w:rsid w:val="00252516"/>
    <w:rsid w:val="002653C7"/>
    <w:rsid w:val="00285223"/>
    <w:rsid w:val="002A2D5C"/>
    <w:rsid w:val="002A66BB"/>
    <w:rsid w:val="002B2CAC"/>
    <w:rsid w:val="002D1D30"/>
    <w:rsid w:val="0030363A"/>
    <w:rsid w:val="00334D18"/>
    <w:rsid w:val="00335DDF"/>
    <w:rsid w:val="003456E9"/>
    <w:rsid w:val="003767CD"/>
    <w:rsid w:val="00387964"/>
    <w:rsid w:val="00396762"/>
    <w:rsid w:val="003B784E"/>
    <w:rsid w:val="004043E3"/>
    <w:rsid w:val="004210E8"/>
    <w:rsid w:val="0042272A"/>
    <w:rsid w:val="00423A17"/>
    <w:rsid w:val="0043449C"/>
    <w:rsid w:val="00466756"/>
    <w:rsid w:val="0048648B"/>
    <w:rsid w:val="004A1575"/>
    <w:rsid w:val="004A3EC0"/>
    <w:rsid w:val="004A6E51"/>
    <w:rsid w:val="00504E5B"/>
    <w:rsid w:val="00536766"/>
    <w:rsid w:val="00543088"/>
    <w:rsid w:val="00550508"/>
    <w:rsid w:val="005770A2"/>
    <w:rsid w:val="00594BAA"/>
    <w:rsid w:val="005B27C0"/>
    <w:rsid w:val="005B69D9"/>
    <w:rsid w:val="005E1C05"/>
    <w:rsid w:val="00641D41"/>
    <w:rsid w:val="0065019D"/>
    <w:rsid w:val="006837FE"/>
    <w:rsid w:val="006E2979"/>
    <w:rsid w:val="00700694"/>
    <w:rsid w:val="00700B79"/>
    <w:rsid w:val="00750F86"/>
    <w:rsid w:val="00756B33"/>
    <w:rsid w:val="00781C09"/>
    <w:rsid w:val="007A243E"/>
    <w:rsid w:val="007B2063"/>
    <w:rsid w:val="007B2887"/>
    <w:rsid w:val="007C1904"/>
    <w:rsid w:val="007C78DC"/>
    <w:rsid w:val="007D0763"/>
    <w:rsid w:val="007E10C0"/>
    <w:rsid w:val="00820FC2"/>
    <w:rsid w:val="00884797"/>
    <w:rsid w:val="008A0776"/>
    <w:rsid w:val="008F4D1C"/>
    <w:rsid w:val="008F5D92"/>
    <w:rsid w:val="0093260C"/>
    <w:rsid w:val="00976DDC"/>
    <w:rsid w:val="00983B2D"/>
    <w:rsid w:val="009C2037"/>
    <w:rsid w:val="009F039A"/>
    <w:rsid w:val="00A136AD"/>
    <w:rsid w:val="00A336F2"/>
    <w:rsid w:val="00A939DB"/>
    <w:rsid w:val="00AD66D2"/>
    <w:rsid w:val="00AE34B5"/>
    <w:rsid w:val="00B15E03"/>
    <w:rsid w:val="00B24721"/>
    <w:rsid w:val="00B41171"/>
    <w:rsid w:val="00BA0A83"/>
    <w:rsid w:val="00BB5B06"/>
    <w:rsid w:val="00BB5DF4"/>
    <w:rsid w:val="00BC5708"/>
    <w:rsid w:val="00BC66DC"/>
    <w:rsid w:val="00BD17EF"/>
    <w:rsid w:val="00BF0AC4"/>
    <w:rsid w:val="00BF6500"/>
    <w:rsid w:val="00C15A47"/>
    <w:rsid w:val="00CB1F36"/>
    <w:rsid w:val="00CD701F"/>
    <w:rsid w:val="00D140B9"/>
    <w:rsid w:val="00D22F99"/>
    <w:rsid w:val="00D466A5"/>
    <w:rsid w:val="00D771B7"/>
    <w:rsid w:val="00D860F3"/>
    <w:rsid w:val="00D94987"/>
    <w:rsid w:val="00DF4B7B"/>
    <w:rsid w:val="00E0406A"/>
    <w:rsid w:val="00E213B6"/>
    <w:rsid w:val="00E27DAE"/>
    <w:rsid w:val="00E72F5A"/>
    <w:rsid w:val="00E801C9"/>
    <w:rsid w:val="00E8209E"/>
    <w:rsid w:val="00E9159E"/>
    <w:rsid w:val="00EB20AC"/>
    <w:rsid w:val="00EC56A3"/>
    <w:rsid w:val="00EE5C7F"/>
    <w:rsid w:val="00EF6887"/>
    <w:rsid w:val="00F039CA"/>
    <w:rsid w:val="00F37DC3"/>
    <w:rsid w:val="00F45B72"/>
    <w:rsid w:val="00F52DEC"/>
    <w:rsid w:val="00F65E7F"/>
    <w:rsid w:val="00F66649"/>
    <w:rsid w:val="00F6681F"/>
    <w:rsid w:val="00F723FC"/>
    <w:rsid w:val="00FC2621"/>
    <w:rsid w:val="00FE30D5"/>
    <w:rsid w:val="00FF2C59"/>
    <w:rsid w:val="00FF73E4"/>
    <w:rsid w:val="083749E7"/>
    <w:rsid w:val="0DE528CD"/>
    <w:rsid w:val="121D68D5"/>
    <w:rsid w:val="18725427"/>
    <w:rsid w:val="254E2FC7"/>
    <w:rsid w:val="263C173A"/>
    <w:rsid w:val="2CA33441"/>
    <w:rsid w:val="2CE55C20"/>
    <w:rsid w:val="2F287302"/>
    <w:rsid w:val="30426D13"/>
    <w:rsid w:val="3A43255A"/>
    <w:rsid w:val="3D6201A1"/>
    <w:rsid w:val="3EC46785"/>
    <w:rsid w:val="3F8A6044"/>
    <w:rsid w:val="477245B4"/>
    <w:rsid w:val="4E4F0BB0"/>
    <w:rsid w:val="5BE95901"/>
    <w:rsid w:val="6A0A15CD"/>
    <w:rsid w:val="6DF352BD"/>
    <w:rsid w:val="705E3E6D"/>
    <w:rsid w:val="71C1048A"/>
    <w:rsid w:val="73F35F5B"/>
    <w:rsid w:val="79C04582"/>
    <w:rsid w:val="7D1F0DA2"/>
    <w:rsid w:val="7FE6227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 w:type="character" w:customStyle="1" w:styleId="9">
    <w:name w:val="页眉 Char"/>
    <w:basedOn w:val="6"/>
    <w:link w:val="4"/>
    <w:qFormat/>
    <w:uiPriority w:val="0"/>
    <w:rPr>
      <w:kern w:val="2"/>
      <w:sz w:val="18"/>
      <w:szCs w:val="18"/>
    </w:rPr>
  </w:style>
  <w:style w:type="paragraph" w:styleId="10">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3F8E77-FD12-4165-975B-E669D7FE7D7E}">
  <ds:schemaRefs/>
</ds:datastoreItem>
</file>

<file path=docProps/app.xml><?xml version="1.0" encoding="utf-8"?>
<Properties xmlns="http://schemas.openxmlformats.org/officeDocument/2006/extended-properties" xmlns:vt="http://schemas.openxmlformats.org/officeDocument/2006/docPropsVTypes">
  <Template>Normal</Template>
  <Pages>12</Pages>
  <Words>8381</Words>
  <Characters>8748</Characters>
  <Lines>69</Lines>
  <Paragraphs>19</Paragraphs>
  <TotalTime>2460</TotalTime>
  <ScaleCrop>false</ScaleCrop>
  <LinksUpToDate>false</LinksUpToDate>
  <CharactersWithSpaces>9219</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戴</cp:lastModifiedBy>
  <cp:lastPrinted>2022-06-15T00:27:00Z</cp:lastPrinted>
  <dcterms:modified xsi:type="dcterms:W3CDTF">2022-06-15T03:11:45Z</dcterms:modified>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9EDD035666D74BDB8D0E97D9345F8C21</vt:lpwstr>
  </property>
</Properties>
</file>