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2021年财审联动重点评价项目——</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2020年校园安保项目绩效评价报告</w:t>
      </w:r>
    </w:p>
    <w:p>
      <w:pPr>
        <w:numPr>
          <w:ilvl w:val="0"/>
          <w:numId w:val="0"/>
        </w:numPr>
        <w:ind w:firstLine="640" w:firstLineChars="200"/>
        <w:rPr>
          <w:rFonts w:hint="eastAsia" w:ascii="仿宋_GB2312" w:hAnsi="仿宋_GB2312" w:eastAsia="仿宋_GB2312" w:cs="仿宋_GB2312"/>
          <w:b w:val="0"/>
          <w:kern w:val="2"/>
          <w:sz w:val="32"/>
          <w:szCs w:val="32"/>
          <w:lang w:val="en-US" w:eastAsia="zh-CN" w:bidi="ar-SA"/>
        </w:rPr>
      </w:pP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一、项目基本情况</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（一）项目政策背景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2010年8月23日中央社会治安综合治理委员会办公室、教育部、公安部印发《关于进一步加强学校幼儿园安全防范工作建立健全长效工作机制的意见》（公通字〔2010〕38号）：“地方政府要落实专项经费，保障学校、幼儿园聘用保安人员……”。中共湖南省委办公厅、湖南省人民政府办公厅《关于进一步加强中小学幼儿园及其周边治安工作的通知》（湘办发电〔2010〕75号）、岳阳市人民政府办公室关于进一步加强学校幼儿园安全保卫工作的通知（岳政办函〔2013〕59号）对具体落实学校保安队伍建设、学校技防建设等提出了明确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2019年9月6日湖南省教育厅、湖南省公安厅、湖南省财政厅《关于进一步加强中小学幼儿园安防“三项”建设的通知》（湘教通〔2019〕288号）指出中小学幼儿园安防“三项”建设目标任务是：中小学幼儿园封闭式管理达到100%，一键式紧急报警、视频监控系统与属地公安机关联网率达到100%，中小学幼儿园专职保安员配备率达到100%。</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华容县共有207所中小学幼儿园，义务教育中小学校及公办幼儿独立幼儿园共有138所。其中：初中27所，小学75所，特殊教育1所，独立幼儿园35所（不含33所附设幼儿园）。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按《关于进一步加强中小学幼儿园安防“三项”建设的通知》（湘教通〔2019〕288号）文件要求，专职保安员配备</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师生员工总人数少于</w:t>
      </w:r>
      <w:r>
        <w:rPr>
          <w:rFonts w:hint="default" w:ascii="仿宋_GB2312" w:hAnsi="仿宋_GB2312" w:eastAsia="仿宋_GB2312" w:cs="仿宋_GB2312"/>
          <w:b w:val="0"/>
          <w:kern w:val="2"/>
          <w:sz w:val="32"/>
          <w:szCs w:val="32"/>
          <w:lang w:val="en-US" w:eastAsia="zh-CN" w:bidi="ar-SA"/>
        </w:rPr>
        <w:t>100</w:t>
      </w:r>
      <w:r>
        <w:rPr>
          <w:rFonts w:hint="eastAsia" w:ascii="仿宋_GB2312" w:hAnsi="仿宋_GB2312" w:eastAsia="仿宋_GB2312" w:cs="仿宋_GB2312"/>
          <w:b w:val="0"/>
          <w:kern w:val="2"/>
          <w:sz w:val="32"/>
          <w:szCs w:val="32"/>
          <w:lang w:val="en-US" w:eastAsia="zh-CN" w:bidi="ar-SA"/>
        </w:rPr>
        <w:t>人的中小学幼儿园配</w:t>
      </w:r>
      <w:r>
        <w:rPr>
          <w:rFonts w:hint="default" w:ascii="仿宋_GB2312" w:hAnsi="仿宋_GB2312" w:eastAsia="仿宋_GB2312" w:cs="仿宋_GB2312"/>
          <w:b w:val="0"/>
          <w:kern w:val="2"/>
          <w:sz w:val="32"/>
          <w:szCs w:val="32"/>
          <w:lang w:val="en-US" w:eastAsia="zh-CN" w:bidi="ar-SA"/>
        </w:rPr>
        <w:t>1</w:t>
      </w:r>
      <w:r>
        <w:rPr>
          <w:rFonts w:hint="eastAsia" w:ascii="仿宋_GB2312" w:hAnsi="仿宋_GB2312" w:eastAsia="仿宋_GB2312" w:cs="仿宋_GB2312"/>
          <w:b w:val="0"/>
          <w:kern w:val="2"/>
          <w:sz w:val="32"/>
          <w:szCs w:val="32"/>
          <w:lang w:val="en-US" w:eastAsia="zh-CN" w:bidi="ar-SA"/>
        </w:rPr>
        <w:t>名专职保安员；</w:t>
      </w:r>
      <w:r>
        <w:rPr>
          <w:rFonts w:hint="default" w:ascii="仿宋_GB2312" w:hAnsi="仿宋_GB2312" w:eastAsia="仿宋_GB2312" w:cs="仿宋_GB2312"/>
          <w:b w:val="0"/>
          <w:kern w:val="2"/>
          <w:sz w:val="32"/>
          <w:szCs w:val="32"/>
          <w:lang w:val="en-US" w:eastAsia="zh-CN" w:bidi="ar-SA"/>
        </w:rPr>
        <w:t>100</w:t>
      </w:r>
      <w:r>
        <w:rPr>
          <w:rFonts w:hint="eastAsia" w:ascii="仿宋_GB2312" w:hAnsi="仿宋_GB2312" w:eastAsia="仿宋_GB2312" w:cs="仿宋_GB2312"/>
          <w:b w:val="0"/>
          <w:kern w:val="2"/>
          <w:sz w:val="32"/>
          <w:szCs w:val="32"/>
          <w:lang w:val="en-US" w:eastAsia="zh-CN" w:bidi="ar-SA"/>
        </w:rPr>
        <w:t>人以上</w:t>
      </w:r>
      <w:r>
        <w:rPr>
          <w:rFonts w:hint="default" w:ascii="仿宋_GB2312" w:hAnsi="仿宋_GB2312" w:eastAsia="仿宋_GB2312" w:cs="仿宋_GB2312"/>
          <w:b w:val="0"/>
          <w:kern w:val="2"/>
          <w:sz w:val="32"/>
          <w:szCs w:val="32"/>
          <w:lang w:val="en-US" w:eastAsia="zh-CN" w:bidi="ar-SA"/>
        </w:rPr>
        <w:t>1000</w:t>
      </w:r>
      <w:r>
        <w:rPr>
          <w:rFonts w:hint="eastAsia" w:ascii="仿宋_GB2312" w:hAnsi="仿宋_GB2312" w:eastAsia="仿宋_GB2312" w:cs="仿宋_GB2312"/>
          <w:b w:val="0"/>
          <w:kern w:val="2"/>
          <w:sz w:val="32"/>
          <w:szCs w:val="32"/>
          <w:lang w:val="en-US" w:eastAsia="zh-CN" w:bidi="ar-SA"/>
        </w:rPr>
        <w:t>人以下的中小学幼儿园，至少配</w:t>
      </w:r>
      <w:r>
        <w:rPr>
          <w:rFonts w:hint="default" w:ascii="仿宋_GB2312" w:hAnsi="仿宋_GB2312" w:eastAsia="仿宋_GB2312" w:cs="仿宋_GB2312"/>
          <w:b w:val="0"/>
          <w:kern w:val="2"/>
          <w:sz w:val="32"/>
          <w:szCs w:val="32"/>
          <w:lang w:val="en-US" w:eastAsia="zh-CN" w:bidi="ar-SA"/>
        </w:rPr>
        <w:t>2</w:t>
      </w:r>
      <w:r>
        <w:rPr>
          <w:rFonts w:hint="eastAsia" w:ascii="仿宋_GB2312" w:hAnsi="仿宋_GB2312" w:eastAsia="仿宋_GB2312" w:cs="仿宋_GB2312"/>
          <w:b w:val="0"/>
          <w:kern w:val="2"/>
          <w:sz w:val="32"/>
          <w:szCs w:val="32"/>
          <w:lang w:val="en-US" w:eastAsia="zh-CN" w:bidi="ar-SA"/>
        </w:rPr>
        <w:t>名专职保安员；超过</w:t>
      </w:r>
      <w:r>
        <w:rPr>
          <w:rFonts w:hint="default" w:ascii="仿宋_GB2312" w:hAnsi="仿宋_GB2312" w:eastAsia="仿宋_GB2312" w:cs="仿宋_GB2312"/>
          <w:b w:val="0"/>
          <w:kern w:val="2"/>
          <w:sz w:val="32"/>
          <w:szCs w:val="32"/>
          <w:lang w:val="en-US" w:eastAsia="zh-CN" w:bidi="ar-SA"/>
        </w:rPr>
        <w:t>1000</w:t>
      </w:r>
      <w:r>
        <w:rPr>
          <w:rFonts w:hint="eastAsia" w:ascii="仿宋_GB2312" w:hAnsi="仿宋_GB2312" w:eastAsia="仿宋_GB2312" w:cs="仿宋_GB2312"/>
          <w:b w:val="0"/>
          <w:kern w:val="2"/>
          <w:sz w:val="32"/>
          <w:szCs w:val="32"/>
          <w:lang w:val="en-US" w:eastAsia="zh-CN" w:bidi="ar-SA"/>
        </w:rPr>
        <w:t>人的中小学幼儿园，每增加</w:t>
      </w:r>
      <w:r>
        <w:rPr>
          <w:rFonts w:hint="default" w:ascii="仿宋_GB2312" w:hAnsi="仿宋_GB2312" w:eastAsia="仿宋_GB2312" w:cs="仿宋_GB2312"/>
          <w:b w:val="0"/>
          <w:kern w:val="2"/>
          <w:sz w:val="32"/>
          <w:szCs w:val="32"/>
          <w:lang w:val="en-US" w:eastAsia="zh-CN" w:bidi="ar-SA"/>
        </w:rPr>
        <w:t>500</w:t>
      </w:r>
      <w:r>
        <w:rPr>
          <w:rFonts w:hint="eastAsia" w:ascii="仿宋_GB2312" w:hAnsi="仿宋_GB2312" w:eastAsia="仿宋_GB2312" w:cs="仿宋_GB2312"/>
          <w:b w:val="0"/>
          <w:kern w:val="2"/>
          <w:sz w:val="32"/>
          <w:szCs w:val="32"/>
          <w:lang w:val="en-US" w:eastAsia="zh-CN" w:bidi="ar-SA"/>
        </w:rPr>
        <w:t>名学生增加</w:t>
      </w:r>
      <w:r>
        <w:rPr>
          <w:rFonts w:hint="default" w:ascii="仿宋_GB2312" w:hAnsi="仿宋_GB2312" w:eastAsia="仿宋_GB2312" w:cs="仿宋_GB2312"/>
          <w:b w:val="0"/>
          <w:kern w:val="2"/>
          <w:sz w:val="32"/>
          <w:szCs w:val="32"/>
          <w:lang w:val="en-US" w:eastAsia="zh-CN" w:bidi="ar-SA"/>
        </w:rPr>
        <w:t>1</w:t>
      </w:r>
      <w:r>
        <w:rPr>
          <w:rFonts w:hint="eastAsia" w:ascii="仿宋_GB2312" w:hAnsi="仿宋_GB2312" w:eastAsia="仿宋_GB2312" w:cs="仿宋_GB2312"/>
          <w:b w:val="0"/>
          <w:kern w:val="2"/>
          <w:sz w:val="32"/>
          <w:szCs w:val="32"/>
          <w:lang w:val="en-US" w:eastAsia="zh-CN" w:bidi="ar-SA"/>
        </w:rPr>
        <w:t>名专职保安员，寄宿制中小学幼儿园至少配</w:t>
      </w:r>
      <w:r>
        <w:rPr>
          <w:rFonts w:hint="default" w:ascii="仿宋_GB2312" w:hAnsi="仿宋_GB2312" w:eastAsia="仿宋_GB2312" w:cs="仿宋_GB2312"/>
          <w:b w:val="0"/>
          <w:kern w:val="2"/>
          <w:sz w:val="32"/>
          <w:szCs w:val="32"/>
          <w:lang w:val="en-US" w:eastAsia="zh-CN" w:bidi="ar-SA"/>
        </w:rPr>
        <w:t>2</w:t>
      </w:r>
      <w:r>
        <w:rPr>
          <w:rFonts w:hint="eastAsia" w:ascii="仿宋_GB2312" w:hAnsi="仿宋_GB2312" w:eastAsia="仿宋_GB2312" w:cs="仿宋_GB2312"/>
          <w:b w:val="0"/>
          <w:kern w:val="2"/>
          <w:sz w:val="32"/>
          <w:szCs w:val="32"/>
          <w:lang w:val="en-US" w:eastAsia="zh-CN" w:bidi="ar-SA"/>
        </w:rPr>
        <w:t>名专职保安员。2019年底前，城市中小学专职保安员配备率达到100%；2020年底前，全省中小学和城市幼儿园专职保安员配备率达到100%；2021年底前，城镇幼儿园专职保安员配备率达到100%</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的标准。</w:t>
      </w:r>
    </w:p>
    <w:tbl>
      <w:tblPr>
        <w:tblStyle w:val="4"/>
        <w:tblW w:w="8361" w:type="dxa"/>
        <w:tblInd w:w="0" w:type="dxa"/>
        <w:shd w:val="clear" w:color="auto" w:fill="auto"/>
        <w:tblLayout w:type="fixed"/>
        <w:tblCellMar>
          <w:top w:w="0" w:type="dxa"/>
          <w:left w:w="0" w:type="dxa"/>
          <w:bottom w:w="0" w:type="dxa"/>
          <w:right w:w="0" w:type="dxa"/>
        </w:tblCellMar>
      </w:tblPr>
      <w:tblGrid>
        <w:gridCol w:w="936"/>
        <w:gridCol w:w="696"/>
        <w:gridCol w:w="1097"/>
        <w:gridCol w:w="1210"/>
        <w:gridCol w:w="1047"/>
        <w:gridCol w:w="1335"/>
        <w:gridCol w:w="1260"/>
        <w:gridCol w:w="780"/>
      </w:tblGrid>
      <w:tr>
        <w:tblPrEx>
          <w:shd w:val="clear" w:color="auto" w:fill="auto"/>
          <w:tblCellMar>
            <w:top w:w="0" w:type="dxa"/>
            <w:left w:w="0" w:type="dxa"/>
            <w:bottom w:w="0" w:type="dxa"/>
            <w:right w:w="0" w:type="dxa"/>
          </w:tblCellMar>
        </w:tblPrEx>
        <w:trPr>
          <w:trHeight w:val="56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名  称</w:t>
            </w:r>
          </w:p>
        </w:tc>
        <w:tc>
          <w:tcPr>
            <w:tcW w:w="405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学校数量（所）：其中学生人数</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应配备安保人员数量（人）</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56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总数</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100人以内</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100-1000人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超过</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应该配备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实际配备</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5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初  中</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59</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48</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不含附设小学内幼儿园33所</w:t>
            </w:r>
          </w:p>
        </w:tc>
      </w:tr>
      <w:tr>
        <w:tblPrEx>
          <w:tblCellMar>
            <w:top w:w="0" w:type="dxa"/>
            <w:left w:w="0" w:type="dxa"/>
            <w:bottom w:w="0" w:type="dxa"/>
            <w:right w:w="0" w:type="dxa"/>
          </w:tblCellMar>
        </w:tblPrEx>
        <w:trPr>
          <w:trHeight w:val="5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  学</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168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5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幼儿园</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63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5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特殊学校</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5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  计</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138</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2020年年底全县应有133所中小学和城市幼儿园，实际83所中小学和城市幼儿园配备了147名专职安保人员（含6所高中自主配备的28人；师大田家湖学校5人），义务教育阶段配备专职人员114人。</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（三）项目绩效目标</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加强公办中小学校及幼儿园安全保卫工作，切实保障广大师生员工人身与财产安全，增强学校的防范能力，保证正常的教学教育秩序，切实增强学校防范能力，维护校园及周边安全稳定。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（四）项目实施情况</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项目资金拨付及使用情况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2020年财政预算校园安保专项经费360万元。预算校园保安120人，3万元/人/年，共计经费360万元。2020年教育体育局于4月、7月、11月三次拨付华容县泰安保安服务有限责任公司安保人员经费339.25万元，11月12日财政收回余额20.75万元。各单位拨付明细如下表：</w:t>
      </w:r>
    </w:p>
    <w:tbl>
      <w:tblPr>
        <w:tblStyle w:val="4"/>
        <w:tblpPr w:leftFromText="180" w:rightFromText="180" w:vertAnchor="text" w:horzAnchor="page" w:tblpX="1807" w:tblpY="238"/>
        <w:tblOverlap w:val="never"/>
        <w:tblW w:w="8385" w:type="dxa"/>
        <w:tblInd w:w="0" w:type="dxa"/>
        <w:shd w:val="clear" w:color="auto" w:fill="auto"/>
        <w:tblLayout w:type="fixed"/>
        <w:tblCellMar>
          <w:top w:w="0" w:type="dxa"/>
          <w:left w:w="0" w:type="dxa"/>
          <w:bottom w:w="0" w:type="dxa"/>
          <w:right w:w="0" w:type="dxa"/>
        </w:tblCellMar>
      </w:tblPr>
      <w:tblGrid>
        <w:gridCol w:w="720"/>
        <w:gridCol w:w="1725"/>
        <w:gridCol w:w="1635"/>
        <w:gridCol w:w="1710"/>
        <w:gridCol w:w="2595"/>
      </w:tblGrid>
      <w:tr>
        <w:tblPrEx>
          <w:shd w:val="clear" w:color="auto" w:fill="auto"/>
          <w:tblCellMar>
            <w:top w:w="0" w:type="dxa"/>
            <w:left w:w="0" w:type="dxa"/>
            <w:bottom w:w="0" w:type="dxa"/>
            <w:right w:w="0" w:type="dxa"/>
          </w:tblCellMar>
        </w:tblPrEx>
        <w:trPr>
          <w:trHeight w:val="548" w:hRule="atLeast"/>
        </w:trPr>
        <w:tc>
          <w:tcPr>
            <w:tcW w:w="7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序号</w:t>
            </w:r>
          </w:p>
        </w:tc>
        <w:tc>
          <w:tcPr>
            <w:tcW w:w="172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拨付日期</w:t>
            </w:r>
          </w:p>
        </w:tc>
        <w:tc>
          <w:tcPr>
            <w:tcW w:w="163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拨付金额</w:t>
            </w:r>
          </w:p>
        </w:tc>
        <w:tc>
          <w:tcPr>
            <w:tcW w:w="1710"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收款单位</w:t>
            </w:r>
          </w:p>
        </w:tc>
        <w:tc>
          <w:tcPr>
            <w:tcW w:w="259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用途名称</w:t>
            </w:r>
          </w:p>
        </w:tc>
      </w:tr>
      <w:tr>
        <w:tblPrEx>
          <w:tblCellMar>
            <w:top w:w="0" w:type="dxa"/>
            <w:left w:w="0" w:type="dxa"/>
            <w:bottom w:w="0" w:type="dxa"/>
            <w:right w:w="0" w:type="dxa"/>
          </w:tblCellMar>
        </w:tblPrEx>
        <w:trPr>
          <w:trHeight w:val="553"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1</w:t>
            </w:r>
          </w:p>
        </w:tc>
        <w:tc>
          <w:tcPr>
            <w:tcW w:w="172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2020.04.14</w:t>
            </w:r>
          </w:p>
        </w:tc>
        <w:tc>
          <w:tcPr>
            <w:tcW w:w="163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120万元</w:t>
            </w:r>
          </w:p>
        </w:tc>
        <w:tc>
          <w:tcPr>
            <w:tcW w:w="1710" w:type="dxa"/>
            <w:vMerge w:val="restart"/>
            <w:tcBorders>
              <w:top w:val="nil"/>
              <w:left w:val="nil"/>
              <w:right w:val="single" w:color="auto"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华容县泰安保安服务有限责任公司</w:t>
            </w:r>
          </w:p>
        </w:tc>
        <w:tc>
          <w:tcPr>
            <w:tcW w:w="259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2020年校园安保资金</w:t>
            </w:r>
          </w:p>
        </w:tc>
      </w:tr>
      <w:tr>
        <w:tblPrEx>
          <w:tblCellMar>
            <w:top w:w="0" w:type="dxa"/>
            <w:left w:w="0" w:type="dxa"/>
            <w:bottom w:w="0" w:type="dxa"/>
            <w:right w:w="0" w:type="dxa"/>
          </w:tblCellMar>
        </w:tblPrEx>
        <w:trPr>
          <w:trHeight w:val="504"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w:t>
            </w:r>
          </w:p>
        </w:tc>
        <w:tc>
          <w:tcPr>
            <w:tcW w:w="172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2020.07.14</w:t>
            </w:r>
          </w:p>
        </w:tc>
        <w:tc>
          <w:tcPr>
            <w:tcW w:w="163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120万元</w:t>
            </w:r>
          </w:p>
        </w:tc>
        <w:tc>
          <w:tcPr>
            <w:tcW w:w="1710" w:type="dxa"/>
            <w:vMerge w:val="continue"/>
            <w:tcBorders>
              <w:left w:val="nil"/>
              <w:right w:val="single" w:color="auto"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560" w:firstLineChars="200"/>
              <w:jc w:val="left"/>
              <w:textAlignment w:val="auto"/>
              <w:rPr>
                <w:rFonts w:hint="eastAsia" w:ascii="仿宋_GB2312" w:hAnsi="仿宋_GB2312" w:eastAsia="仿宋_GB2312" w:cs="仿宋_GB2312"/>
                <w:b w:val="0"/>
                <w:kern w:val="2"/>
                <w:sz w:val="28"/>
                <w:szCs w:val="28"/>
                <w:lang w:val="en-US" w:eastAsia="zh-CN" w:bidi="ar-SA"/>
              </w:rPr>
            </w:pPr>
          </w:p>
        </w:tc>
        <w:tc>
          <w:tcPr>
            <w:tcW w:w="259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2020年校园安保资金</w:t>
            </w:r>
          </w:p>
        </w:tc>
      </w:tr>
      <w:tr>
        <w:tblPrEx>
          <w:tblCellMar>
            <w:top w:w="0" w:type="dxa"/>
            <w:left w:w="0" w:type="dxa"/>
            <w:bottom w:w="0" w:type="dxa"/>
            <w:right w:w="0" w:type="dxa"/>
          </w:tblCellMar>
        </w:tblPrEx>
        <w:trPr>
          <w:trHeight w:val="447"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3</w:t>
            </w:r>
          </w:p>
        </w:tc>
        <w:tc>
          <w:tcPr>
            <w:tcW w:w="172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2020.11.09</w:t>
            </w:r>
          </w:p>
        </w:tc>
        <w:tc>
          <w:tcPr>
            <w:tcW w:w="163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99.25万元</w:t>
            </w:r>
          </w:p>
        </w:tc>
        <w:tc>
          <w:tcPr>
            <w:tcW w:w="1710" w:type="dxa"/>
            <w:vMerge w:val="continue"/>
            <w:tcBorders>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uto"/>
              <w:ind w:firstLine="560" w:firstLineChars="200"/>
              <w:jc w:val="left"/>
              <w:textAlignment w:val="auto"/>
              <w:rPr>
                <w:rFonts w:hint="eastAsia" w:ascii="仿宋_GB2312" w:hAnsi="仿宋_GB2312" w:eastAsia="仿宋_GB2312" w:cs="仿宋_GB2312"/>
                <w:b w:val="0"/>
                <w:kern w:val="2"/>
                <w:sz w:val="28"/>
                <w:szCs w:val="28"/>
                <w:lang w:val="en-US" w:eastAsia="zh-CN" w:bidi="ar-SA"/>
              </w:rPr>
            </w:pPr>
          </w:p>
        </w:tc>
        <w:tc>
          <w:tcPr>
            <w:tcW w:w="2595"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2020年校园安保专项</w:t>
            </w:r>
          </w:p>
        </w:tc>
      </w:tr>
      <w:tr>
        <w:tblPrEx>
          <w:tblCellMar>
            <w:top w:w="0" w:type="dxa"/>
            <w:left w:w="0" w:type="dxa"/>
            <w:bottom w:w="0" w:type="dxa"/>
            <w:right w:w="0" w:type="dxa"/>
          </w:tblCellMar>
        </w:tblPrEx>
        <w:trPr>
          <w:trHeight w:val="424" w:hRule="atLeast"/>
        </w:trPr>
        <w:tc>
          <w:tcPr>
            <w:tcW w:w="2445"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合计</w:t>
            </w:r>
          </w:p>
        </w:tc>
        <w:tc>
          <w:tcPr>
            <w:tcW w:w="1635"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339.25万元</w:t>
            </w:r>
          </w:p>
        </w:tc>
        <w:tc>
          <w:tcPr>
            <w:tcW w:w="4305" w:type="dxa"/>
            <w:gridSpan w:val="2"/>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b w:val="0"/>
                <w:kern w:val="2"/>
                <w:sz w:val="28"/>
                <w:szCs w:val="28"/>
                <w:lang w:val="en-US" w:eastAsia="zh-CN" w:bidi="ar-SA"/>
              </w:rPr>
            </w:pP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3" w:firstLineChars="200"/>
        <w:jc w:val="both"/>
        <w:textAlignment w:val="auto"/>
        <w:rPr>
          <w:rFonts w:hint="eastAsia" w:ascii="楷体_GB2312" w:hAnsi="楷体_GB2312" w:eastAsia="楷体_GB2312" w:cs="楷体_GB2312"/>
          <w:b/>
          <w:bCs/>
          <w:sz w:val="32"/>
          <w:szCs w:val="32"/>
          <w:lang w:val="en-US" w:eastAsia="zh-CN"/>
        </w:rPr>
      </w:pPr>
      <w:r>
        <w:rPr>
          <w:rFonts w:hint="default"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lang w:val="en-US" w:eastAsia="zh-CN"/>
        </w:rPr>
        <w:t>、项目组织实施情况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校园安保项目资金具体实施单位为县教育体育局，县教育体育局委托县泰安保安服务有限公司负责保安人员的管理和资金发放。出台了《华容县完善安全事故处理机制维护学校教育教学秩序联席会议制度》，为妥善处置校园安全事故提供了政策依据。2020年县教育体育局党委专题研究专项整治三年行动计划、安保经费使用等教体系统重大安全问题4次，组织召开局长办公会议研究安全工作5次。建立了重大隐患“一单四制”，实行隐患台账管理，落实月报、交办、通报、跟踪督办、整改销号制度。2020年共下发整改通知30多份，约谈学校、校车公司、保安公司负责人20多人次。</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二、绩效评价工作情况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（一）绩效评价目的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为贯彻落实全面实施预算绩效管理的要求，规范和加强财政专项资金的管理，提高专项资金的使用效益，根据《中共中央</w:t>
      </w:r>
      <w:r>
        <w:rPr>
          <w:rFonts w:hint="default"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val="0"/>
          <w:kern w:val="2"/>
          <w:sz w:val="32"/>
          <w:szCs w:val="32"/>
          <w:lang w:val="en-US" w:eastAsia="zh-CN" w:bidi="ar-SA"/>
        </w:rPr>
        <w:t>国务院关于全面实施预算绩效管理的意见》（中发〔</w:t>
      </w:r>
      <w:r>
        <w:rPr>
          <w:rFonts w:hint="default" w:ascii="仿宋_GB2312" w:hAnsi="仿宋_GB2312" w:eastAsia="仿宋_GB2312" w:cs="仿宋_GB2312"/>
          <w:b w:val="0"/>
          <w:kern w:val="2"/>
          <w:sz w:val="32"/>
          <w:szCs w:val="32"/>
          <w:lang w:val="en-US" w:eastAsia="zh-CN" w:bidi="ar-SA"/>
        </w:rPr>
        <w:t>2018</w:t>
      </w:r>
      <w:r>
        <w:rPr>
          <w:rFonts w:hint="eastAsia" w:ascii="仿宋_GB2312" w:hAnsi="仿宋_GB2312" w:eastAsia="仿宋_GB2312" w:cs="仿宋_GB2312"/>
          <w:b w:val="0"/>
          <w:kern w:val="2"/>
          <w:sz w:val="32"/>
          <w:szCs w:val="32"/>
          <w:lang w:val="en-US" w:eastAsia="zh-CN" w:bidi="ar-SA"/>
        </w:rPr>
        <w:t>〕</w:t>
      </w:r>
      <w:r>
        <w:rPr>
          <w:rFonts w:hint="default" w:ascii="仿宋_GB2312" w:hAnsi="仿宋_GB2312" w:eastAsia="仿宋_GB2312" w:cs="仿宋_GB2312"/>
          <w:b w:val="0"/>
          <w:kern w:val="2"/>
          <w:sz w:val="32"/>
          <w:szCs w:val="32"/>
          <w:lang w:val="en-US" w:eastAsia="zh-CN" w:bidi="ar-SA"/>
        </w:rPr>
        <w:t>34</w:t>
      </w:r>
      <w:r>
        <w:rPr>
          <w:rFonts w:hint="eastAsia" w:ascii="仿宋_GB2312" w:hAnsi="仿宋_GB2312" w:eastAsia="仿宋_GB2312" w:cs="仿宋_GB2312"/>
          <w:b w:val="0"/>
          <w:kern w:val="2"/>
          <w:sz w:val="32"/>
          <w:szCs w:val="32"/>
          <w:lang w:val="en-US" w:eastAsia="zh-CN" w:bidi="ar-SA"/>
        </w:rPr>
        <w:t>号）、《项目支出绩效评价管理办法》（财预〔</w:t>
      </w:r>
      <w:r>
        <w:rPr>
          <w:rFonts w:hint="default" w:ascii="仿宋_GB2312" w:hAnsi="仿宋_GB2312" w:eastAsia="仿宋_GB2312" w:cs="仿宋_GB2312"/>
          <w:b w:val="0"/>
          <w:kern w:val="2"/>
          <w:sz w:val="32"/>
          <w:szCs w:val="32"/>
          <w:lang w:val="en-US" w:eastAsia="zh-CN" w:bidi="ar-SA"/>
        </w:rPr>
        <w:t>20</w:t>
      </w:r>
      <w:r>
        <w:rPr>
          <w:rFonts w:hint="eastAsia" w:ascii="仿宋_GB2312" w:hAnsi="仿宋_GB2312" w:eastAsia="仿宋_GB2312" w:cs="仿宋_GB2312"/>
          <w:b w:val="0"/>
          <w:kern w:val="2"/>
          <w:sz w:val="32"/>
          <w:szCs w:val="32"/>
          <w:lang w:val="en-US" w:eastAsia="zh-CN" w:bidi="ar-SA"/>
        </w:rPr>
        <w:t>20〕10号）、《中共湖南省委办公厅 湖南省人民政府办公左关于全面实施预算绩效管理的实施意见》（湘办发〔</w:t>
      </w:r>
      <w:r>
        <w:rPr>
          <w:rFonts w:hint="default" w:ascii="仿宋_GB2312" w:hAnsi="仿宋_GB2312" w:eastAsia="仿宋_GB2312" w:cs="仿宋_GB2312"/>
          <w:b w:val="0"/>
          <w:kern w:val="2"/>
          <w:sz w:val="32"/>
          <w:szCs w:val="32"/>
          <w:lang w:val="en-US" w:eastAsia="zh-CN" w:bidi="ar-SA"/>
        </w:rPr>
        <w:t>201</w:t>
      </w:r>
      <w:r>
        <w:rPr>
          <w:rFonts w:hint="eastAsia" w:ascii="仿宋_GB2312" w:hAnsi="仿宋_GB2312" w:eastAsia="仿宋_GB2312" w:cs="仿宋_GB2312"/>
          <w:b w:val="0"/>
          <w:kern w:val="2"/>
          <w:sz w:val="32"/>
          <w:szCs w:val="32"/>
          <w:lang w:val="en-US" w:eastAsia="zh-CN" w:bidi="ar-SA"/>
        </w:rPr>
        <w:t>9〕10号）等文件有关规定和华容县人大常委会工作安排，县财政局与县审计局联动，重点调查了华容县教育体育局管理使用的校园安保项目资金，华容县教育体育局和相关单位对其提供的财务会计资料及其他相关资料的真实性和完整性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left"/>
        <w:textAlignment w:val="auto"/>
        <w:rPr>
          <w:rFonts w:hint="default" w:ascii="Calibri" w:hAnsi="Calibri" w:cs="Calibri"/>
          <w:sz w:val="21"/>
          <w:szCs w:val="21"/>
          <w:u w:val="none"/>
        </w:rPr>
      </w:pPr>
      <w:r>
        <w:rPr>
          <w:rFonts w:hint="eastAsia" w:ascii="楷体_GB2312" w:hAnsi="楷体_GB2312" w:eastAsia="楷体_GB2312" w:cs="楷体_GB2312"/>
          <w:b/>
          <w:bCs/>
          <w:kern w:val="2"/>
          <w:sz w:val="32"/>
          <w:szCs w:val="32"/>
          <w:lang w:val="en-US" w:eastAsia="zh-CN" w:bidi="ar-SA"/>
        </w:rPr>
        <w:t>（二）绩效评价方法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本次绩效评价技术方法采用比较法、公众评判法。绩效评价的工作方法主要包括：收集审核资料，比对指标文件和计划文件所下达的项目内容、资金预算与实际实施情况，实地拍摄，问卷调查和听取情况介绍等。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本次绩效评价的评价指标体系，在湖南省财政厅制定的《预算支出绩效评价共性指标体系框架（参考）》绩效评价指标体系的基础上，根据项目的个性特征，制定了</w:t>
      </w:r>
      <w:r>
        <w:rPr>
          <w:rFonts w:hint="default" w:ascii="仿宋_GB2312" w:hAnsi="仿宋_GB2312" w:eastAsia="仿宋_GB2312" w:cs="仿宋_GB2312"/>
          <w:b w:val="0"/>
          <w:kern w:val="2"/>
          <w:sz w:val="32"/>
          <w:szCs w:val="32"/>
          <w:lang w:val="en-US" w:eastAsia="zh-CN" w:bidi="ar-SA"/>
        </w:rPr>
        <w:t>2020</w:t>
      </w:r>
      <w:r>
        <w:rPr>
          <w:rFonts w:hint="eastAsia" w:ascii="仿宋_GB2312" w:hAnsi="仿宋_GB2312" w:eastAsia="仿宋_GB2312" w:cs="仿宋_GB2312"/>
          <w:b w:val="0"/>
          <w:kern w:val="2"/>
          <w:sz w:val="32"/>
          <w:szCs w:val="32"/>
          <w:lang w:val="en-US" w:eastAsia="zh-CN" w:bidi="ar-SA"/>
        </w:rPr>
        <w:t>年度教育系统安保项目的《绩效评价评分表》。采用定量和定性相结合的方法。评分结果为优、良、中、差四个等级。分值介于</w:t>
      </w:r>
      <w:r>
        <w:rPr>
          <w:rFonts w:hint="default" w:ascii="仿宋_GB2312" w:hAnsi="仿宋_GB2312" w:eastAsia="仿宋_GB2312" w:cs="仿宋_GB2312"/>
          <w:b w:val="0"/>
          <w:kern w:val="2"/>
          <w:sz w:val="32"/>
          <w:szCs w:val="32"/>
          <w:lang w:val="en-US" w:eastAsia="zh-CN" w:bidi="ar-SA"/>
        </w:rPr>
        <w:t>90</w:t>
      </w:r>
      <w:r>
        <w:rPr>
          <w:rFonts w:hint="eastAsia" w:ascii="仿宋_GB2312" w:hAnsi="仿宋_GB2312" w:eastAsia="仿宋_GB2312" w:cs="仿宋_GB2312"/>
          <w:b w:val="0"/>
          <w:kern w:val="2"/>
          <w:sz w:val="32"/>
          <w:szCs w:val="32"/>
          <w:lang w:val="en-US" w:eastAsia="zh-CN" w:bidi="ar-SA"/>
        </w:rPr>
        <w:t>（含</w:t>
      </w:r>
      <w:r>
        <w:rPr>
          <w:rFonts w:hint="default" w:ascii="仿宋_GB2312" w:hAnsi="仿宋_GB2312" w:eastAsia="仿宋_GB2312" w:cs="仿宋_GB2312"/>
          <w:b w:val="0"/>
          <w:kern w:val="2"/>
          <w:sz w:val="32"/>
          <w:szCs w:val="32"/>
          <w:lang w:val="en-US" w:eastAsia="zh-CN" w:bidi="ar-SA"/>
        </w:rPr>
        <w:t>90</w:t>
      </w:r>
      <w:r>
        <w:rPr>
          <w:rFonts w:hint="eastAsia" w:ascii="仿宋_GB2312" w:hAnsi="仿宋_GB2312" w:eastAsia="仿宋_GB2312" w:cs="仿宋_GB2312"/>
          <w:b w:val="0"/>
          <w:kern w:val="2"/>
          <w:sz w:val="32"/>
          <w:szCs w:val="32"/>
          <w:lang w:val="en-US" w:eastAsia="zh-CN" w:bidi="ar-SA"/>
        </w:rPr>
        <w:t>分）和</w:t>
      </w:r>
      <w:r>
        <w:rPr>
          <w:rFonts w:hint="default" w:ascii="仿宋_GB2312" w:hAnsi="仿宋_GB2312" w:eastAsia="仿宋_GB2312" w:cs="仿宋_GB2312"/>
          <w:b w:val="0"/>
          <w:kern w:val="2"/>
          <w:sz w:val="32"/>
          <w:szCs w:val="32"/>
          <w:lang w:val="en-US" w:eastAsia="zh-CN" w:bidi="ar-SA"/>
        </w:rPr>
        <w:t>100</w:t>
      </w:r>
      <w:r>
        <w:rPr>
          <w:rFonts w:hint="eastAsia" w:ascii="仿宋_GB2312" w:hAnsi="仿宋_GB2312" w:eastAsia="仿宋_GB2312" w:cs="仿宋_GB2312"/>
          <w:b w:val="0"/>
          <w:kern w:val="2"/>
          <w:sz w:val="32"/>
          <w:szCs w:val="32"/>
          <w:lang w:val="en-US" w:eastAsia="zh-CN" w:bidi="ar-SA"/>
        </w:rPr>
        <w:t>分之间为</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优</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，分值介于</w:t>
      </w:r>
      <w:r>
        <w:rPr>
          <w:rFonts w:hint="default" w:ascii="仿宋_GB2312" w:hAnsi="仿宋_GB2312" w:eastAsia="仿宋_GB2312" w:cs="仿宋_GB2312"/>
          <w:b w:val="0"/>
          <w:kern w:val="2"/>
          <w:sz w:val="32"/>
          <w:szCs w:val="32"/>
          <w:lang w:val="en-US" w:eastAsia="zh-CN" w:bidi="ar-SA"/>
        </w:rPr>
        <w:t>80</w:t>
      </w:r>
      <w:r>
        <w:rPr>
          <w:rFonts w:hint="eastAsia" w:ascii="仿宋_GB2312" w:hAnsi="仿宋_GB2312" w:eastAsia="仿宋_GB2312" w:cs="仿宋_GB2312"/>
          <w:b w:val="0"/>
          <w:kern w:val="2"/>
          <w:sz w:val="32"/>
          <w:szCs w:val="32"/>
          <w:lang w:val="en-US" w:eastAsia="zh-CN" w:bidi="ar-SA"/>
        </w:rPr>
        <w:t>（含</w:t>
      </w:r>
      <w:r>
        <w:rPr>
          <w:rFonts w:hint="default" w:ascii="仿宋_GB2312" w:hAnsi="仿宋_GB2312" w:eastAsia="仿宋_GB2312" w:cs="仿宋_GB2312"/>
          <w:b w:val="0"/>
          <w:kern w:val="2"/>
          <w:sz w:val="32"/>
          <w:szCs w:val="32"/>
          <w:lang w:val="en-US" w:eastAsia="zh-CN" w:bidi="ar-SA"/>
        </w:rPr>
        <w:t>80</w:t>
      </w:r>
      <w:r>
        <w:rPr>
          <w:rFonts w:hint="eastAsia" w:ascii="仿宋_GB2312" w:hAnsi="仿宋_GB2312" w:eastAsia="仿宋_GB2312" w:cs="仿宋_GB2312"/>
          <w:b w:val="0"/>
          <w:kern w:val="2"/>
          <w:sz w:val="32"/>
          <w:szCs w:val="32"/>
          <w:lang w:val="en-US" w:eastAsia="zh-CN" w:bidi="ar-SA"/>
        </w:rPr>
        <w:t>分）和</w:t>
      </w:r>
      <w:r>
        <w:rPr>
          <w:rFonts w:hint="default" w:ascii="仿宋_GB2312" w:hAnsi="仿宋_GB2312" w:eastAsia="仿宋_GB2312" w:cs="仿宋_GB2312"/>
          <w:b w:val="0"/>
          <w:kern w:val="2"/>
          <w:sz w:val="32"/>
          <w:szCs w:val="32"/>
          <w:lang w:val="en-US" w:eastAsia="zh-CN" w:bidi="ar-SA"/>
        </w:rPr>
        <w:t>90</w:t>
      </w:r>
      <w:r>
        <w:rPr>
          <w:rFonts w:hint="eastAsia" w:ascii="仿宋_GB2312" w:hAnsi="仿宋_GB2312" w:eastAsia="仿宋_GB2312" w:cs="仿宋_GB2312"/>
          <w:b w:val="0"/>
          <w:kern w:val="2"/>
          <w:sz w:val="32"/>
          <w:szCs w:val="32"/>
          <w:lang w:val="en-US" w:eastAsia="zh-CN" w:bidi="ar-SA"/>
        </w:rPr>
        <w:t>分之间为</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良</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，分值介于</w:t>
      </w:r>
      <w:r>
        <w:rPr>
          <w:rFonts w:hint="default" w:ascii="仿宋_GB2312" w:hAnsi="仿宋_GB2312" w:eastAsia="仿宋_GB2312" w:cs="仿宋_GB2312"/>
          <w:b w:val="0"/>
          <w:kern w:val="2"/>
          <w:sz w:val="32"/>
          <w:szCs w:val="32"/>
          <w:lang w:val="en-US" w:eastAsia="zh-CN" w:bidi="ar-SA"/>
        </w:rPr>
        <w:t>60</w:t>
      </w:r>
      <w:r>
        <w:rPr>
          <w:rFonts w:hint="eastAsia" w:ascii="仿宋_GB2312" w:hAnsi="仿宋_GB2312" w:eastAsia="仿宋_GB2312" w:cs="仿宋_GB2312"/>
          <w:b w:val="0"/>
          <w:kern w:val="2"/>
          <w:sz w:val="32"/>
          <w:szCs w:val="32"/>
          <w:lang w:val="en-US" w:eastAsia="zh-CN" w:bidi="ar-SA"/>
        </w:rPr>
        <w:t>（含</w:t>
      </w:r>
      <w:r>
        <w:rPr>
          <w:rFonts w:hint="default" w:ascii="仿宋_GB2312" w:hAnsi="仿宋_GB2312" w:eastAsia="仿宋_GB2312" w:cs="仿宋_GB2312"/>
          <w:b w:val="0"/>
          <w:kern w:val="2"/>
          <w:sz w:val="32"/>
          <w:szCs w:val="32"/>
          <w:lang w:val="en-US" w:eastAsia="zh-CN" w:bidi="ar-SA"/>
        </w:rPr>
        <w:t>60</w:t>
      </w:r>
      <w:r>
        <w:rPr>
          <w:rFonts w:hint="eastAsia" w:ascii="仿宋_GB2312" w:hAnsi="仿宋_GB2312" w:eastAsia="仿宋_GB2312" w:cs="仿宋_GB2312"/>
          <w:b w:val="0"/>
          <w:kern w:val="2"/>
          <w:sz w:val="32"/>
          <w:szCs w:val="32"/>
          <w:lang w:val="en-US" w:eastAsia="zh-CN" w:bidi="ar-SA"/>
        </w:rPr>
        <w:t>分）和</w:t>
      </w:r>
      <w:r>
        <w:rPr>
          <w:rFonts w:hint="default" w:ascii="仿宋_GB2312" w:hAnsi="仿宋_GB2312" w:eastAsia="仿宋_GB2312" w:cs="仿宋_GB2312"/>
          <w:b w:val="0"/>
          <w:kern w:val="2"/>
          <w:sz w:val="32"/>
          <w:szCs w:val="32"/>
          <w:lang w:val="en-US" w:eastAsia="zh-CN" w:bidi="ar-SA"/>
        </w:rPr>
        <w:t>80</w:t>
      </w:r>
      <w:r>
        <w:rPr>
          <w:rFonts w:hint="eastAsia" w:ascii="仿宋_GB2312" w:hAnsi="仿宋_GB2312" w:eastAsia="仿宋_GB2312" w:cs="仿宋_GB2312"/>
          <w:b w:val="0"/>
          <w:kern w:val="2"/>
          <w:sz w:val="32"/>
          <w:szCs w:val="32"/>
          <w:lang w:val="en-US" w:eastAsia="zh-CN" w:bidi="ar-SA"/>
        </w:rPr>
        <w:t>分之间为</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中</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，低于</w:t>
      </w:r>
      <w:r>
        <w:rPr>
          <w:rFonts w:hint="default" w:ascii="仿宋_GB2312" w:hAnsi="仿宋_GB2312" w:eastAsia="仿宋_GB2312" w:cs="仿宋_GB2312"/>
          <w:b w:val="0"/>
          <w:kern w:val="2"/>
          <w:sz w:val="32"/>
          <w:szCs w:val="32"/>
          <w:lang w:val="en-US" w:eastAsia="zh-CN" w:bidi="ar-SA"/>
        </w:rPr>
        <w:t>60</w:t>
      </w:r>
      <w:r>
        <w:rPr>
          <w:rFonts w:hint="eastAsia" w:ascii="仿宋_GB2312" w:hAnsi="仿宋_GB2312" w:eastAsia="仿宋_GB2312" w:cs="仿宋_GB2312"/>
          <w:b w:val="0"/>
          <w:kern w:val="2"/>
          <w:sz w:val="32"/>
          <w:szCs w:val="32"/>
          <w:lang w:val="en-US" w:eastAsia="zh-CN" w:bidi="ar-SA"/>
        </w:rPr>
        <w:t>分为</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差</w:t>
      </w:r>
      <w:r>
        <w:rPr>
          <w:rFonts w:hint="default" w:ascii="仿宋_GB2312" w:hAnsi="仿宋_GB2312" w:eastAsia="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（三）绩效评价过程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本次绩效评价工作通过评价前期准备阶段、现场评价阶段、综合评价阶段和出具评价报告四个阶段完成。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1、评价前期准备：收到县人大通知后，成立本次绩效评价工作组，学习并掌握项目内容相关政策，与被评价单位对接，充分沟通本次绩效工作的组织和实施。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2、现场评价阶段：</w:t>
      </w:r>
      <w:r>
        <w:rPr>
          <w:rFonts w:hint="default" w:ascii="仿宋_GB2312" w:hAnsi="仿宋_GB2312" w:eastAsia="仿宋_GB2312" w:cs="仿宋_GB2312"/>
          <w:b w:val="0"/>
          <w:kern w:val="2"/>
          <w:sz w:val="32"/>
          <w:szCs w:val="32"/>
          <w:lang w:val="en-US" w:eastAsia="zh-CN" w:bidi="ar-SA"/>
        </w:rPr>
        <w:t>202</w:t>
      </w:r>
      <w:r>
        <w:rPr>
          <w:rFonts w:hint="eastAsia" w:ascii="仿宋_GB2312" w:hAnsi="仿宋_GB2312" w:eastAsia="仿宋_GB2312" w:cs="仿宋_GB2312"/>
          <w:b w:val="0"/>
          <w:kern w:val="2"/>
          <w:sz w:val="32"/>
          <w:szCs w:val="32"/>
          <w:lang w:val="en-US" w:eastAsia="zh-CN" w:bidi="ar-SA"/>
        </w:rPr>
        <w:t>1年4月－6月，绩效评价工作组前往县教育体育局、各中小学生及幼儿园开展了现场评价。现场评价小组采取以下方式：一是召开座谈会，听取县教育体育局有关资金使用管理及项目组织实施管理等方面的情况介绍，了解资金使用情况、项目管理情况、存在的主要问题及建议等。二是通过现场查看项目绩效评价相关资料，对县教育体育局上报的绩效自评情况及相关资料等进行核实。三是实地查看项目进展情况，并对各中小学及幼儿园领导及家长发放效益方面的调查问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3、综合评价阶段：非现场收集与项目建设有关的制度政策和相关报告及网络公开信息，现场收集查看与项目实施相关的政策文件资料、相关合同、项目实施过程资金支出资料等，获取项目财务数据并进行分析。绩效评价工作组整理收集的全部资料，对评价对象进行定量定性分析和综合评价，根据评价指标体系初步计分，对项目整体进行分析，修正分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4、出具评价报告：根据相关部门单位报送的材料、结合现场评价情况进行综合分析，形成绩效评价报告。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三、绩效评价分析及评价结论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（一）项目绩效指标分析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1</w:t>
      </w:r>
      <w:r>
        <w:rPr>
          <w:rFonts w:hint="eastAsia" w:ascii="仿宋_GB2312" w:hAnsi="仿宋_GB2312" w:eastAsia="仿宋_GB2312" w:cs="仿宋_GB2312"/>
          <w:b w:val="0"/>
          <w:kern w:val="2"/>
          <w:sz w:val="32"/>
          <w:szCs w:val="32"/>
          <w:lang w:val="en-US" w:eastAsia="zh-CN" w:bidi="ar-SA"/>
        </w:rPr>
        <w:t>、项目决策分析（总分15分，得分14分）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2020</w:t>
      </w:r>
      <w:r>
        <w:rPr>
          <w:rFonts w:hint="eastAsia" w:ascii="仿宋_GB2312" w:hAnsi="仿宋_GB2312" w:eastAsia="仿宋_GB2312" w:cs="仿宋_GB2312"/>
          <w:b w:val="0"/>
          <w:kern w:val="2"/>
          <w:sz w:val="32"/>
          <w:szCs w:val="32"/>
          <w:lang w:val="en-US" w:eastAsia="zh-CN" w:bidi="ar-SA"/>
        </w:rPr>
        <w:t>年度校园安保项目是县教育体育局贯彻落实中央和省市区有关文件精神要求，向县人民政府申请校园安保专项资金，用于全县城区学校、农村集镇重点学校安保工作。该项目的申请、设立过程符合相关要求。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2</w:t>
      </w:r>
      <w:r>
        <w:rPr>
          <w:rFonts w:hint="eastAsia" w:ascii="仿宋_GB2312" w:hAnsi="仿宋_GB2312" w:eastAsia="仿宋_GB2312" w:cs="仿宋_GB2312"/>
          <w:b w:val="0"/>
          <w:kern w:val="2"/>
          <w:sz w:val="32"/>
          <w:szCs w:val="32"/>
          <w:lang w:val="en-US" w:eastAsia="zh-CN" w:bidi="ar-SA"/>
        </w:rPr>
        <w:t>、项目过程分析（总分30分，得23分）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华容县教育体育局按照与华容县泰安保安服务有限公司签订合同进行管理与考核。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val="0"/>
          <w:color w:val="auto"/>
          <w:kern w:val="2"/>
          <w:sz w:val="32"/>
          <w:szCs w:val="32"/>
          <w:lang w:val="en-US" w:eastAsia="zh-CN" w:bidi="ar-SA"/>
        </w:rPr>
        <w:t>资金管理方面：</w:t>
      </w:r>
      <w:r>
        <w:rPr>
          <w:rFonts w:hint="eastAsia" w:ascii="仿宋_GB2312" w:hAnsi="仿宋_GB2312" w:eastAsia="仿宋_GB2312" w:cs="仿宋_GB2312"/>
          <w:b w:val="0"/>
          <w:kern w:val="2"/>
          <w:sz w:val="32"/>
          <w:szCs w:val="32"/>
          <w:lang w:val="en-US" w:eastAsia="zh-CN" w:bidi="ar-SA"/>
        </w:rPr>
        <w:t>华容县教育体育局已足额拨付华容</w:t>
      </w:r>
      <w:r>
        <w:rPr>
          <w:rFonts w:hint="eastAsia" w:ascii="仿宋_GB2312" w:hAnsi="仿宋_GB2312" w:eastAsia="仿宋_GB2312" w:cs="仿宋_GB2312"/>
          <w:kern w:val="0"/>
          <w:sz w:val="32"/>
          <w:szCs w:val="32"/>
          <w:lang w:val="en-US" w:eastAsia="zh-CN"/>
        </w:rPr>
        <w:t>县泰安保安服务有限责任公司安保人员经费，但</w:t>
      </w:r>
      <w:r>
        <w:rPr>
          <w:rFonts w:hint="eastAsia" w:ascii="仿宋_GB2312" w:hAnsi="仿宋_GB2312" w:eastAsia="仿宋_GB2312" w:cs="仿宋_GB2312"/>
          <w:b w:val="0"/>
          <w:kern w:val="2"/>
          <w:sz w:val="32"/>
          <w:szCs w:val="32"/>
          <w:lang w:val="en-US" w:eastAsia="zh-CN" w:bidi="ar-SA"/>
        </w:rPr>
        <w:t>华容</w:t>
      </w:r>
      <w:r>
        <w:rPr>
          <w:rFonts w:hint="eastAsia" w:ascii="仿宋_GB2312" w:hAnsi="仿宋_GB2312" w:eastAsia="仿宋_GB2312" w:cs="仿宋_GB2312"/>
          <w:kern w:val="0"/>
          <w:sz w:val="32"/>
          <w:szCs w:val="32"/>
          <w:lang w:val="en-US" w:eastAsia="zh-CN"/>
        </w:rPr>
        <w:t>县泰安保安服务有限责任公司没按正规手续出具增值税发票，</w:t>
      </w:r>
      <w:r>
        <w:rPr>
          <w:rFonts w:hint="eastAsia" w:ascii="仿宋_GB2312" w:hAnsi="仿宋_GB2312" w:eastAsia="仿宋_GB2312" w:cs="仿宋_GB2312"/>
          <w:b w:val="0"/>
          <w:kern w:val="2"/>
          <w:sz w:val="32"/>
          <w:szCs w:val="32"/>
          <w:lang w:val="en-US" w:eastAsia="zh-CN" w:bidi="ar-SA"/>
        </w:rPr>
        <w:t>而是凭</w:t>
      </w:r>
      <w:r>
        <w:rPr>
          <w:rFonts w:hint="eastAsia" w:ascii="仿宋_GB2312" w:hAnsi="仿宋_GB2312" w:eastAsia="仿宋_GB2312" w:cs="仿宋_GB2312"/>
          <w:kern w:val="0"/>
          <w:sz w:val="32"/>
          <w:szCs w:val="32"/>
          <w:lang w:val="en-US" w:eastAsia="zh-CN"/>
        </w:rPr>
        <w:t>双方签订的保安合同和“请求拨付保安服务费报告”进行资金拨付。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olor w:val="C00000"/>
          <w:kern w:val="0"/>
          <w:sz w:val="32"/>
          <w:szCs w:val="32"/>
          <w:lang w:val="en-US" w:eastAsia="zh-CN"/>
          <w14:textFill>
            <w14:gradFill>
              <w14:gsLst>
                <w14:gs w14:pos="0">
                  <w14:srgbClr w14:val="E30000"/>
                </w14:gs>
                <w14:gs w14:pos="100000">
                  <w14:srgbClr w14:val="760303"/>
                </w14:gs>
              </w14:gsLst>
              <w14:lin w14:scaled="0"/>
            </w14:gradFill>
          </w14:textFill>
        </w:rPr>
      </w:pPr>
      <w:r>
        <w:rPr>
          <w:rFonts w:hint="eastAsia" w:ascii="仿宋_GB2312" w:hAnsi="仿宋_GB2312" w:eastAsia="仿宋_GB2312" w:cs="仿宋_GB2312"/>
          <w:b w:val="0"/>
          <w:kern w:val="2"/>
          <w:sz w:val="32"/>
          <w:szCs w:val="32"/>
          <w:lang w:val="en-US" w:eastAsia="zh-CN" w:bidi="ar-SA"/>
        </w:rPr>
        <w:t>组织实施方面：华容县教育体育局按照合同约定，可对保安人员发行合同工作进行指导、监督，对不合格的保安员有权向提出更换，但教体局在这块明显有失管理。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3、项目产出分析（总分30分，得20分）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产出数量方面</w:t>
      </w:r>
      <w:r>
        <w:rPr>
          <w:rFonts w:hint="eastAsia" w:ascii="仿宋_GB2312" w:hAnsi="仿宋_GB2312" w:eastAsia="仿宋_GB2312" w:cs="仿宋_GB2312"/>
          <w:b w:val="0"/>
          <w:kern w:val="2"/>
          <w:sz w:val="32"/>
          <w:szCs w:val="32"/>
          <w:lang w:val="en-US" w:eastAsia="zh-CN" w:bidi="ar-SA"/>
        </w:rPr>
        <w:t>：辖区义务阶段中小学和公办独立幼儿园专职保安配备率39%，实际配备人数与应配备人数差距较大，最缺失区域集中在小学和幼儿园安保人员。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产出质量方面：根据华容县教育体育局和华容县泰安保安服务有限责任公司签订的《保安服务合同书》中约定：乙方指派120名身体健康、素质好、反应敏捷，经过正规培训、身高170cm以上，年龄在55周岁以下的保安员负责全县中小学样的安全保卫工作。实际执行是，专职安保114人中，超55岁人员有45人，占总人数的39.5%，明显不符合合同要求。</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产出效果方面：该项目执行中，有效增强了学校的防范能力，保证了正常的教学教育秩序，维护了校园及周边安全稳定。基本实现了绩效目标要求。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4、项目绩效分析（总分25分，得分24分）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该项目实施以来，增强了校园安保实力，有效地保障了校园的学生、教师的安全，避免出现重大安全事故。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经济效益方面：能够提升保安人员工作积极性，有效推进全县学校安保工作的顺利开展</w:t>
      </w:r>
      <w:r>
        <w:rPr>
          <w:rFonts w:hint="eastAsia" w:ascii="仿宋_GB2312" w:hAnsi="仿宋_GB2312" w:eastAsia="仿宋_GB2312" w:cs="仿宋_GB2312"/>
          <w:b w:val="0"/>
          <w:bCs w:val="0"/>
          <w:kern w:val="2"/>
          <w:sz w:val="32"/>
          <w:szCs w:val="32"/>
          <w:lang w:val="en-US" w:eastAsia="zh-CN" w:bidi="ar-SA"/>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社会效益方面：提升学校在家长心中的可靠性，使家长放心，能够让学生家长更放心的将学生送到学校，能让人民群众安心；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可持续效益方面：校园的长治久安是保障学生安心学习，教师专心授课的基础；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服务对象</w:t>
      </w:r>
      <w:r>
        <w:rPr>
          <w:rFonts w:hint="default" w:ascii="仿宋_GB2312" w:hAnsi="仿宋_GB2312" w:eastAsia="仿宋_GB2312" w:cs="仿宋_GB2312"/>
          <w:b w:val="0"/>
          <w:bCs w:val="0"/>
          <w:kern w:val="2"/>
          <w:sz w:val="32"/>
          <w:szCs w:val="32"/>
          <w:lang w:val="en-US" w:eastAsia="zh-CN" w:bidi="ar-SA"/>
        </w:rPr>
        <w:t>满意度</w:t>
      </w:r>
      <w:r>
        <w:rPr>
          <w:rFonts w:hint="eastAsia" w:ascii="仿宋_GB2312" w:hAnsi="仿宋_GB2312" w:eastAsia="仿宋_GB2312" w:cs="仿宋_GB2312"/>
          <w:b w:val="0"/>
          <w:bCs w:val="0"/>
          <w:kern w:val="2"/>
          <w:sz w:val="32"/>
          <w:szCs w:val="32"/>
          <w:lang w:val="en-US" w:eastAsia="zh-CN" w:bidi="ar-SA"/>
        </w:rPr>
        <w:t>方面：回访的服务对象</w:t>
      </w:r>
      <w:r>
        <w:rPr>
          <w:rFonts w:hint="eastAsia" w:ascii="仿宋_GB2312" w:hAnsi="仿宋_GB2312" w:eastAsia="仿宋_GB2312" w:cs="仿宋_GB2312"/>
          <w:b w:val="0"/>
          <w:kern w:val="2"/>
          <w:sz w:val="32"/>
          <w:szCs w:val="32"/>
          <w:lang w:val="en-US" w:eastAsia="zh-CN" w:bidi="ar-SA"/>
        </w:rPr>
        <w:t>认为学校专职保安配备切实能提高公办中小学校及幼儿园的校园安防水平，服务满意度到达</w:t>
      </w:r>
      <w:r>
        <w:rPr>
          <w:rFonts w:hint="default" w:ascii="仿宋_GB2312" w:hAnsi="仿宋_GB2312" w:eastAsia="仿宋_GB2312" w:cs="仿宋_GB2312"/>
          <w:b w:val="0"/>
          <w:kern w:val="2"/>
          <w:sz w:val="32"/>
          <w:szCs w:val="32"/>
          <w:lang w:val="en-US" w:eastAsia="zh-CN" w:bidi="ar-SA"/>
        </w:rPr>
        <w:t>90</w:t>
      </w:r>
      <w:r>
        <w:rPr>
          <w:rFonts w:hint="eastAsia" w:ascii="仿宋_GB2312" w:hAnsi="仿宋_GB2312" w:eastAsia="仿宋_GB2312" w:cs="仿宋_GB2312"/>
          <w:b w:val="0"/>
          <w:kern w:val="2"/>
          <w:sz w:val="32"/>
          <w:szCs w:val="32"/>
          <w:lang w:val="en-US" w:eastAsia="zh-CN" w:bidi="ar-SA"/>
        </w:rPr>
        <w:t>分以上。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3"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（二）综合评价情况及评价结论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Times New Roman" w:hAnsi="Times New Roman" w:eastAsia="微软雅黑" w:cs="Times New Roman"/>
          <w:b/>
          <w:i w:val="0"/>
          <w:caps w:val="0"/>
          <w:color w:val="535353"/>
          <w:spacing w:val="0"/>
          <w:sz w:val="28"/>
          <w:szCs w:val="28"/>
          <w:u w:val="none"/>
          <w:shd w:val="clear" w:fill="FFFFFF"/>
        </w:rPr>
      </w:pPr>
      <w:r>
        <w:rPr>
          <w:rFonts w:hint="eastAsia" w:ascii="仿宋_GB2312" w:hAnsi="仿宋_GB2312" w:eastAsia="仿宋_GB2312" w:cs="仿宋_GB2312"/>
          <w:b w:val="0"/>
          <w:kern w:val="2"/>
          <w:sz w:val="32"/>
          <w:szCs w:val="32"/>
          <w:lang w:val="en-US" w:eastAsia="zh-CN" w:bidi="ar-SA"/>
        </w:rPr>
        <w:t xml:space="preserve">根据华容县教育体育局提供的资料显示，2020年度中小学幼儿园安全管理平稳有序，年度内未发生一起重大安全责任事故、事件，校园及周边未发生一起有影响治安刑事案件，表明该项目实施以来取得了一定效果。 </w:t>
      </w:r>
      <w:r>
        <w:rPr>
          <w:rFonts w:hint="default" w:ascii="Times New Roman" w:hAnsi="Times New Roman" w:eastAsia="微软雅黑" w:cs="Times New Roman"/>
          <w:b/>
          <w:i w:val="0"/>
          <w:caps w:val="0"/>
          <w:color w:val="535353"/>
          <w:spacing w:val="0"/>
          <w:sz w:val="28"/>
          <w:szCs w:val="28"/>
          <w:u w:val="none"/>
          <w:shd w:val="clear" w:fill="FFFFFF"/>
        </w:rPr>
        <w:t>                 </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根据《</w:t>
      </w:r>
      <w:r>
        <w:rPr>
          <w:rFonts w:hint="default" w:ascii="仿宋_GB2312" w:hAnsi="仿宋_GB2312" w:eastAsia="仿宋_GB2312" w:cs="仿宋_GB2312"/>
          <w:b w:val="0"/>
          <w:kern w:val="2"/>
          <w:sz w:val="32"/>
          <w:szCs w:val="32"/>
          <w:lang w:val="en-US" w:eastAsia="zh-CN" w:bidi="ar-SA"/>
        </w:rPr>
        <w:t>2020</w:t>
      </w:r>
      <w:r>
        <w:rPr>
          <w:rFonts w:hint="eastAsia" w:ascii="仿宋_GB2312" w:hAnsi="仿宋_GB2312" w:eastAsia="仿宋_GB2312" w:cs="仿宋_GB2312"/>
          <w:b w:val="0"/>
          <w:kern w:val="2"/>
          <w:sz w:val="32"/>
          <w:szCs w:val="32"/>
          <w:lang w:val="en-US" w:eastAsia="zh-CN" w:bidi="ar-SA"/>
        </w:rPr>
        <w:t>年度教育系统校园安保项目绩效评价指标评分表》，从决策、过程、产出、效果</w:t>
      </w:r>
      <w:r>
        <w:rPr>
          <w:rFonts w:hint="default" w:ascii="仿宋_GB2312" w:hAnsi="仿宋_GB2312" w:eastAsia="仿宋_GB2312" w:cs="仿宋_GB2312"/>
          <w:b w:val="0"/>
          <w:kern w:val="2"/>
          <w:sz w:val="32"/>
          <w:szCs w:val="32"/>
          <w:lang w:val="en-US" w:eastAsia="zh-CN" w:bidi="ar-SA"/>
        </w:rPr>
        <w:t>4</w:t>
      </w:r>
      <w:r>
        <w:rPr>
          <w:rFonts w:hint="eastAsia" w:ascii="仿宋_GB2312" w:hAnsi="仿宋_GB2312" w:eastAsia="仿宋_GB2312" w:cs="仿宋_GB2312"/>
          <w:b w:val="0"/>
          <w:kern w:val="2"/>
          <w:sz w:val="32"/>
          <w:szCs w:val="32"/>
          <w:lang w:val="en-US" w:eastAsia="zh-CN" w:bidi="ar-SA"/>
        </w:rPr>
        <w:t>项一级指标和项目立项、资金投入、资金管理、组织实施、产出数量、产出质量、产出效果、社会效益、经济效益、可持续影响、满意度等11项二级指标及针对性的三级指标逐一进行评价打分。我们认为，项目支出基本合理、规范、有效，项目目标全部完成，绩效评价综合得</w:t>
      </w:r>
      <w:r>
        <w:rPr>
          <w:rFonts w:hint="eastAsia" w:ascii="仿宋_GB2312" w:hAnsi="仿宋_GB2312" w:eastAsia="仿宋_GB2312" w:cs="仿宋_GB2312"/>
          <w:b w:val="0"/>
          <w:color w:val="auto"/>
          <w:kern w:val="2"/>
          <w:sz w:val="32"/>
          <w:szCs w:val="32"/>
          <w:lang w:val="en-US" w:eastAsia="zh-CN" w:bidi="ar-SA"/>
        </w:rPr>
        <w:t>分81分</w:t>
      </w:r>
      <w:r>
        <w:rPr>
          <w:rFonts w:hint="eastAsia" w:ascii="仿宋_GB2312" w:hAnsi="仿宋_GB2312" w:eastAsia="仿宋_GB2312" w:cs="仿宋_GB2312"/>
          <w:b w:val="0"/>
          <w:kern w:val="2"/>
          <w:sz w:val="32"/>
          <w:szCs w:val="32"/>
          <w:lang w:val="en-US" w:eastAsia="zh-CN" w:bidi="ar-SA"/>
        </w:rPr>
        <w:t>，评价等级“良”。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四、存在的问题</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（一）未建立健全内部控制制度</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华容县教育局未建立专项资金管理制度，没有形成一套完整的制度体系，无法从项目申报、立项分类管理、可行性评价、项目预算、资金管理、项目实施、监督各环节入手规范操作程序和标准，不利于单位管理水平的提高和风险的防范。</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（二）项目监管不到位</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华容县教育局未对保安服务质量进行量化考核。在学校对保安公司考核表中，存在部分的保安年龄超标、无保安证、上班不正常等情况，学校安全保障程度降低。</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（三）专职人员职业能力不足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楷体_GB2312" w:hAnsi="楷体_GB2312" w:eastAsia="楷体_GB2312" w:cs="楷体_GB2312"/>
          <w:b/>
          <w:bCs/>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配备到学校、幼儿园的保安年龄结构偏大，保安公司难以招聘到业务能力强、年轻力壮、热爱保安工作的专职男保安。保安力量未按《关于进一步加强中小学幼儿园安防“三项”建设的通知》的要求充足配备，保安更换较频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五、相关建议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（一）建立健全专项资金管理制度，</w:t>
      </w:r>
      <w:r>
        <w:rPr>
          <w:rFonts w:hint="default" w:ascii="楷体_GB2312" w:hAnsi="楷体_GB2312" w:eastAsia="楷体_GB2312" w:cs="楷体_GB2312"/>
          <w:b/>
          <w:bCs/>
          <w:kern w:val="2"/>
          <w:sz w:val="32"/>
          <w:szCs w:val="32"/>
          <w:lang w:val="en-US" w:eastAsia="zh-CN" w:bidi="ar-SA"/>
        </w:rPr>
        <w:t> </w:t>
      </w:r>
      <w:r>
        <w:rPr>
          <w:rFonts w:hint="eastAsia" w:ascii="楷体_GB2312" w:hAnsi="楷体_GB2312" w:eastAsia="楷体_GB2312" w:cs="楷体_GB2312"/>
          <w:b/>
          <w:bCs/>
          <w:kern w:val="2"/>
          <w:sz w:val="32"/>
          <w:szCs w:val="32"/>
          <w:lang w:val="en-US" w:eastAsia="zh-CN" w:bidi="ar-SA"/>
        </w:rPr>
        <w:t>确保制度执行有效</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参照国家和地方政府专项资金管理有关规定和政策并结合本单位实际情况，制订专项资金管理制度以形成完整、便于操作、执行有效的制度体系，以规范财政专项资金管理，保证专项资金合规、有效使用。</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lef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（二）加大监管力度，抓好保安队伍建设</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相关职能部门加强对保安公司和专职保安的审查和管理，重视做好岗前和岗中培训，定期开展体能、消防、业务知识、法律法规等培训，在培训时要强化对保安队员的法律知识、专业知识及技能的培训和职业道德教育，</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探索新型方式支持加强专职保安配备工作</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探索通过政府购买服务，实行竞争性谈判或公开招标等方式，选择更优秀的团队参与支持加强专职保安配备工作，</w:t>
      </w:r>
      <w:r>
        <w:rPr>
          <w:rFonts w:hint="default" w:ascii="仿宋_GB2312" w:hAnsi="仿宋_GB2312" w:eastAsia="仿宋_GB2312" w:cs="仿宋_GB2312"/>
          <w:b w:val="0"/>
          <w:kern w:val="2"/>
          <w:sz w:val="32"/>
          <w:szCs w:val="32"/>
          <w:lang w:val="en-US" w:eastAsia="zh-CN" w:bidi="ar-SA"/>
        </w:rPr>
        <w:t>逐步提升专职保安经济待遇，吸引退伍士兵、青壮年从事学校安保工作</w:t>
      </w:r>
      <w:r>
        <w:rPr>
          <w:rFonts w:hint="eastAsia" w:ascii="仿宋_GB2312" w:hAnsi="仿宋_GB2312" w:eastAsia="仿宋_GB2312" w:cs="仿宋_GB2312"/>
          <w:b w:val="0"/>
          <w:kern w:val="2"/>
          <w:sz w:val="32"/>
          <w:szCs w:val="32"/>
          <w:lang w:val="en-US" w:eastAsia="zh-CN" w:bidi="ar-SA"/>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附件：</w:t>
      </w:r>
      <w:r>
        <w:rPr>
          <w:rFonts w:hint="default" w:ascii="仿宋_GB2312" w:hAnsi="仿宋_GB2312" w:eastAsia="仿宋_GB2312" w:cs="仿宋_GB2312"/>
          <w:b w:val="0"/>
          <w:kern w:val="2"/>
          <w:sz w:val="32"/>
          <w:szCs w:val="32"/>
          <w:lang w:val="en-US" w:eastAsia="zh-CN" w:bidi="ar-SA"/>
        </w:rPr>
        <w:t>2020</w:t>
      </w:r>
      <w:r>
        <w:rPr>
          <w:rFonts w:hint="eastAsia" w:ascii="仿宋_GB2312" w:hAnsi="仿宋_GB2312" w:eastAsia="仿宋_GB2312" w:cs="仿宋_GB2312"/>
          <w:b w:val="0"/>
          <w:kern w:val="2"/>
          <w:sz w:val="32"/>
          <w:szCs w:val="32"/>
          <w:lang w:val="en-US" w:eastAsia="zh-CN" w:bidi="ar-SA"/>
        </w:rPr>
        <w:t>年度教育系统校园安保项目绩效评价指标评分表</w:t>
      </w:r>
      <w:bookmarkStart w:id="0" w:name="_GoBack"/>
      <w:bookmarkEnd w:id="0"/>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5440" w:firstLineChars="1700"/>
        <w:jc w:val="both"/>
        <w:textAlignment w:val="auto"/>
        <w:rPr>
          <w:rFonts w:hint="eastAsia" w:ascii="仿宋_GB2312" w:hAnsi="仿宋_GB2312" w:eastAsia="仿宋_GB2312" w:cs="仿宋_GB2312"/>
          <w:b w:val="0"/>
          <w:kern w:val="2"/>
          <w:sz w:val="32"/>
          <w:szCs w:val="32"/>
          <w:lang w:val="en-US" w:eastAsia="zh-CN" w:bidi="ar-SA"/>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5440" w:firstLineChars="1700"/>
        <w:jc w:val="both"/>
        <w:textAlignment w:val="auto"/>
        <w:rPr>
          <w:rFonts w:hint="eastAsia" w:ascii="仿宋_GB2312" w:hAnsi="仿宋_GB2312" w:eastAsia="仿宋_GB2312" w:cs="仿宋_GB2312"/>
          <w:b w:val="0"/>
          <w:kern w:val="2"/>
          <w:sz w:val="32"/>
          <w:szCs w:val="32"/>
          <w:lang w:val="en-US" w:eastAsia="zh-CN" w:bidi="ar-SA"/>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80" w:firstLineChars="19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华容县财政局</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96"/>
        </w:tabs>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ab/>
      </w:r>
      <w:r>
        <w:rPr>
          <w:rFonts w:hint="eastAsia" w:ascii="仿宋_GB2312" w:hAnsi="仿宋_GB2312" w:eastAsia="仿宋_GB2312" w:cs="仿宋_GB2312"/>
          <w:b w:val="0"/>
          <w:kern w:val="2"/>
          <w:sz w:val="32"/>
          <w:szCs w:val="32"/>
          <w:lang w:val="en-US" w:eastAsia="zh-CN" w:bidi="ar-SA"/>
        </w:rPr>
        <w:t xml:space="preserve">                               2021年7月10日</w:t>
      </w:r>
    </w:p>
    <w:sectPr>
      <w:pgSz w:w="11906" w:h="16838"/>
      <w:pgMar w:top="1440" w:right="1689" w:bottom="1383"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embedRegular r:id="rId1" w:fontKey="{28B1FCE3-7FA2-4BA4-9D4B-70BAE70D7F0F}"/>
  </w:font>
  <w:font w:name="Arial">
    <w:panose1 w:val="020B0604020202020204"/>
    <w:charset w:val="01"/>
    <w:family w:val="swiss"/>
    <w:pitch w:val="default"/>
    <w:sig w:usb0="00007A87" w:usb1="80000000" w:usb2="00000008" w:usb3="00000000" w:csb0="400001FF" w:csb1="FFFF0000"/>
    <w:embedRegular r:id="rId2" w:fontKey="{773D52EB-9540-490C-8307-FEA860A8BDB4}"/>
  </w:font>
  <w:font w:name="黑体">
    <w:panose1 w:val="02010600030101010101"/>
    <w:charset w:val="86"/>
    <w:family w:val="auto"/>
    <w:pitch w:val="default"/>
    <w:sig w:usb0="00000001" w:usb1="080E0000" w:usb2="00000000" w:usb3="00000000" w:csb0="00040000" w:csb1="00000000"/>
    <w:embedRegular r:id="rId3" w:fontKey="{A0ADC51B-E43E-40D1-AD57-C9632948A792}"/>
  </w:font>
  <w:font w:name="Courier New">
    <w:panose1 w:val="02070309020205020404"/>
    <w:charset w:val="01"/>
    <w:family w:val="modern"/>
    <w:pitch w:val="default"/>
    <w:sig w:usb0="00007A87" w:usb1="80000000" w:usb2="00000008" w:usb3="00000000" w:csb0="400001FF" w:csb1="FFFF0000"/>
    <w:embedRegular r:id="rId4" w:fontKey="{4F3E1263-538C-4776-84E4-BD18C0B13097}"/>
  </w:font>
  <w:font w:name="Symbol">
    <w:panose1 w:val="05050102010706020507"/>
    <w:charset w:val="02"/>
    <w:family w:val="roman"/>
    <w:pitch w:val="default"/>
    <w:sig w:usb0="00000000" w:usb1="00000000" w:usb2="00000000" w:usb3="00000000" w:csb0="80000000" w:csb1="00000000"/>
    <w:embedRegular r:id="rId5" w:fontKey="{B94C6F37-2FB3-4B7E-8535-8AFF3961CF61}"/>
  </w:font>
  <w:font w:name="Calibri">
    <w:panose1 w:val="020F0502020204030204"/>
    <w:charset w:val="00"/>
    <w:family w:val="swiss"/>
    <w:pitch w:val="default"/>
    <w:sig w:usb0="A00002EF" w:usb1="4000207B" w:usb2="00000000" w:usb3="00000000" w:csb0="2000009F" w:csb1="00000000"/>
    <w:embedRegular r:id="rId6" w:fontKey="{977DB8F6-5CE5-4D76-9737-1A2AFE1F8A5D}"/>
  </w:font>
  <w:font w:name="仿宋_GB2312">
    <w:panose1 w:val="02010609030101010101"/>
    <w:charset w:val="86"/>
    <w:family w:val="auto"/>
    <w:pitch w:val="default"/>
    <w:sig w:usb0="00000001" w:usb1="080E0000" w:usb2="00000000" w:usb3="00000000" w:csb0="00040000" w:csb1="00000000"/>
    <w:embedRegular r:id="rId7" w:fontKey="{3152D9AD-C07F-48F9-A728-5283CACD512A}"/>
  </w:font>
  <w:font w:name="方正小标宋_GBK">
    <w:panose1 w:val="03000509000000000000"/>
    <w:charset w:val="86"/>
    <w:family w:val="auto"/>
    <w:pitch w:val="default"/>
    <w:sig w:usb0="00000001" w:usb1="080E0000" w:usb2="00000000" w:usb3="00000000" w:csb0="00040000" w:csb1="00000000"/>
    <w:embedRegular r:id="rId8" w:fontKey="{F2179E6E-63F7-4092-B49B-6B8B0C33D6C2}"/>
  </w:font>
  <w:font w:name="楷体_GB2312">
    <w:panose1 w:val="02010609030101010101"/>
    <w:charset w:val="86"/>
    <w:family w:val="auto"/>
    <w:pitch w:val="default"/>
    <w:sig w:usb0="00000001" w:usb1="080E0000" w:usb2="00000000" w:usb3="00000000" w:csb0="00040000" w:csb1="00000000"/>
    <w:embedRegular r:id="rId9" w:fontKey="{89553320-4758-4668-8016-2E72187A77B8}"/>
  </w:font>
  <w:font w:name="微软雅黑">
    <w:altName w:val="黑体"/>
    <w:panose1 w:val="00000000000000000000"/>
    <w:charset w:val="00"/>
    <w:family w:val="auto"/>
    <w:pitch w:val="default"/>
    <w:sig w:usb0="00000000" w:usb1="00000000" w:usb2="00000000" w:usb3="00000000" w:csb0="00000000" w:csb1="00000000"/>
    <w:embedRegular r:id="rId10" w:fontKey="{6B96E82F-0F38-4C74-BD06-78314C239EA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4F12EA"/>
    <w:multiLevelType w:val="singleLevel"/>
    <w:tmpl w:val="FE4F12EA"/>
    <w:lvl w:ilvl="0" w:tentative="0">
      <w:start w:val="3"/>
      <w:numFmt w:val="chineseCounting"/>
      <w:suff w:val="nothing"/>
      <w:lvlText w:val="（%1）"/>
      <w:lvlJc w:val="left"/>
      <w:rPr>
        <w:rFonts w:hint="eastAsia"/>
      </w:rPr>
    </w:lvl>
  </w:abstractNum>
  <w:abstractNum w:abstractNumId="1">
    <w:nsid w:val="73072151"/>
    <w:multiLevelType w:val="singleLevel"/>
    <w:tmpl w:val="7307215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26E5D"/>
    <w:rsid w:val="007511BE"/>
    <w:rsid w:val="0115205F"/>
    <w:rsid w:val="015A7FB3"/>
    <w:rsid w:val="017651C3"/>
    <w:rsid w:val="01AD11D4"/>
    <w:rsid w:val="01FB2F62"/>
    <w:rsid w:val="029D4214"/>
    <w:rsid w:val="02A65239"/>
    <w:rsid w:val="02A8253B"/>
    <w:rsid w:val="030714C6"/>
    <w:rsid w:val="03730569"/>
    <w:rsid w:val="049608EF"/>
    <w:rsid w:val="04CE22EA"/>
    <w:rsid w:val="06D418A4"/>
    <w:rsid w:val="0763047B"/>
    <w:rsid w:val="08942F09"/>
    <w:rsid w:val="08B53DDA"/>
    <w:rsid w:val="090148D3"/>
    <w:rsid w:val="09930B61"/>
    <w:rsid w:val="099363C8"/>
    <w:rsid w:val="099D2132"/>
    <w:rsid w:val="09DF5526"/>
    <w:rsid w:val="0AE66CCA"/>
    <w:rsid w:val="0AFA3D8D"/>
    <w:rsid w:val="0B29620C"/>
    <w:rsid w:val="0B385365"/>
    <w:rsid w:val="0B603CB9"/>
    <w:rsid w:val="0B7A0829"/>
    <w:rsid w:val="0BFE04F3"/>
    <w:rsid w:val="0C2B35A8"/>
    <w:rsid w:val="0C7B567F"/>
    <w:rsid w:val="0CF959C1"/>
    <w:rsid w:val="0D2F374E"/>
    <w:rsid w:val="0D420A84"/>
    <w:rsid w:val="0D552760"/>
    <w:rsid w:val="0DC9194D"/>
    <w:rsid w:val="0E657857"/>
    <w:rsid w:val="0EA61066"/>
    <w:rsid w:val="0EB94A3E"/>
    <w:rsid w:val="0FFD70A4"/>
    <w:rsid w:val="10E9462D"/>
    <w:rsid w:val="125C77E1"/>
    <w:rsid w:val="136D42BA"/>
    <w:rsid w:val="13EA6546"/>
    <w:rsid w:val="14305562"/>
    <w:rsid w:val="143E19A7"/>
    <w:rsid w:val="145557D5"/>
    <w:rsid w:val="14981533"/>
    <w:rsid w:val="156E4013"/>
    <w:rsid w:val="15944234"/>
    <w:rsid w:val="164C656E"/>
    <w:rsid w:val="16A31764"/>
    <w:rsid w:val="16C07D65"/>
    <w:rsid w:val="16C106F4"/>
    <w:rsid w:val="171E2B10"/>
    <w:rsid w:val="17402975"/>
    <w:rsid w:val="17D64AB5"/>
    <w:rsid w:val="18DC5AAF"/>
    <w:rsid w:val="197761C9"/>
    <w:rsid w:val="1AD77B16"/>
    <w:rsid w:val="1BC16F2A"/>
    <w:rsid w:val="1C354AE1"/>
    <w:rsid w:val="1CC61494"/>
    <w:rsid w:val="1CD57C3E"/>
    <w:rsid w:val="1E09251E"/>
    <w:rsid w:val="1EAF6074"/>
    <w:rsid w:val="1EF26C3D"/>
    <w:rsid w:val="203030FE"/>
    <w:rsid w:val="20C66B92"/>
    <w:rsid w:val="20DE7EB6"/>
    <w:rsid w:val="20FD5888"/>
    <w:rsid w:val="21DD7298"/>
    <w:rsid w:val="21F05C0E"/>
    <w:rsid w:val="21FE03D2"/>
    <w:rsid w:val="229C32EC"/>
    <w:rsid w:val="22C70B7F"/>
    <w:rsid w:val="22FF3166"/>
    <w:rsid w:val="236E70D0"/>
    <w:rsid w:val="23E44B53"/>
    <w:rsid w:val="24C52838"/>
    <w:rsid w:val="26D05B0E"/>
    <w:rsid w:val="26FC6A37"/>
    <w:rsid w:val="270200F0"/>
    <w:rsid w:val="27BE16B5"/>
    <w:rsid w:val="27CD180C"/>
    <w:rsid w:val="283D5546"/>
    <w:rsid w:val="28D219B3"/>
    <w:rsid w:val="28F519AE"/>
    <w:rsid w:val="28F81C6A"/>
    <w:rsid w:val="291A13B6"/>
    <w:rsid w:val="297C6E16"/>
    <w:rsid w:val="299635F3"/>
    <w:rsid w:val="29A24A2B"/>
    <w:rsid w:val="29D06F27"/>
    <w:rsid w:val="29E90884"/>
    <w:rsid w:val="2A4D6BD3"/>
    <w:rsid w:val="2BAA4F5C"/>
    <w:rsid w:val="2BE57399"/>
    <w:rsid w:val="2CD96628"/>
    <w:rsid w:val="2D13065F"/>
    <w:rsid w:val="2DBB07FD"/>
    <w:rsid w:val="2E29208A"/>
    <w:rsid w:val="2FC95CF2"/>
    <w:rsid w:val="2FEC5EE6"/>
    <w:rsid w:val="2FF243A9"/>
    <w:rsid w:val="3017592D"/>
    <w:rsid w:val="30747575"/>
    <w:rsid w:val="307A60AC"/>
    <w:rsid w:val="310F62B8"/>
    <w:rsid w:val="31147F71"/>
    <w:rsid w:val="314D38A7"/>
    <w:rsid w:val="328A0080"/>
    <w:rsid w:val="32B40E89"/>
    <w:rsid w:val="330E061B"/>
    <w:rsid w:val="337E1016"/>
    <w:rsid w:val="33831C93"/>
    <w:rsid w:val="33A2597C"/>
    <w:rsid w:val="33FD227B"/>
    <w:rsid w:val="357271DB"/>
    <w:rsid w:val="35903022"/>
    <w:rsid w:val="35BC06BD"/>
    <w:rsid w:val="35C358B8"/>
    <w:rsid w:val="363D1C2A"/>
    <w:rsid w:val="366A2312"/>
    <w:rsid w:val="36980853"/>
    <w:rsid w:val="37171FDA"/>
    <w:rsid w:val="37663A2D"/>
    <w:rsid w:val="377960DF"/>
    <w:rsid w:val="37CE2FFC"/>
    <w:rsid w:val="382246B5"/>
    <w:rsid w:val="38FF2639"/>
    <w:rsid w:val="3955043D"/>
    <w:rsid w:val="3A1156E7"/>
    <w:rsid w:val="3A6B60CC"/>
    <w:rsid w:val="3B163971"/>
    <w:rsid w:val="3B5662CB"/>
    <w:rsid w:val="3BD27F64"/>
    <w:rsid w:val="3CDF3CE6"/>
    <w:rsid w:val="3D873B63"/>
    <w:rsid w:val="3DD7319B"/>
    <w:rsid w:val="3F19307A"/>
    <w:rsid w:val="3F1A4188"/>
    <w:rsid w:val="3FCB2062"/>
    <w:rsid w:val="3FD62A5D"/>
    <w:rsid w:val="408745D6"/>
    <w:rsid w:val="409E0AA6"/>
    <w:rsid w:val="40DD7193"/>
    <w:rsid w:val="41016F20"/>
    <w:rsid w:val="4257093C"/>
    <w:rsid w:val="426930F6"/>
    <w:rsid w:val="437537AC"/>
    <w:rsid w:val="44213F39"/>
    <w:rsid w:val="44DE1A88"/>
    <w:rsid w:val="45AD4578"/>
    <w:rsid w:val="45E63D49"/>
    <w:rsid w:val="466D239B"/>
    <w:rsid w:val="46CB20B1"/>
    <w:rsid w:val="46F87245"/>
    <w:rsid w:val="470451AA"/>
    <w:rsid w:val="47064E88"/>
    <w:rsid w:val="476D6277"/>
    <w:rsid w:val="47E30329"/>
    <w:rsid w:val="48373725"/>
    <w:rsid w:val="48726D4E"/>
    <w:rsid w:val="48956D38"/>
    <w:rsid w:val="490715FC"/>
    <w:rsid w:val="498F6003"/>
    <w:rsid w:val="4A5F0AB2"/>
    <w:rsid w:val="4A6A6CCC"/>
    <w:rsid w:val="4BAD697C"/>
    <w:rsid w:val="4BB148A0"/>
    <w:rsid w:val="4C155DA8"/>
    <w:rsid w:val="4C220CAF"/>
    <w:rsid w:val="4C56183D"/>
    <w:rsid w:val="4C6C73C1"/>
    <w:rsid w:val="4D3D5AC6"/>
    <w:rsid w:val="4D5B102E"/>
    <w:rsid w:val="4D7E3282"/>
    <w:rsid w:val="4D84057D"/>
    <w:rsid w:val="4E740DAA"/>
    <w:rsid w:val="4EEE38D4"/>
    <w:rsid w:val="4FC721CF"/>
    <w:rsid w:val="4FC96AF5"/>
    <w:rsid w:val="50483685"/>
    <w:rsid w:val="504E72F8"/>
    <w:rsid w:val="50E93FCB"/>
    <w:rsid w:val="50FC1D42"/>
    <w:rsid w:val="514F7503"/>
    <w:rsid w:val="515C6AAE"/>
    <w:rsid w:val="51E63A1B"/>
    <w:rsid w:val="52950839"/>
    <w:rsid w:val="52DD4D6C"/>
    <w:rsid w:val="531C16AA"/>
    <w:rsid w:val="536C02C6"/>
    <w:rsid w:val="53A35A44"/>
    <w:rsid w:val="53D83839"/>
    <w:rsid w:val="54435E6E"/>
    <w:rsid w:val="546B2B21"/>
    <w:rsid w:val="555D32C1"/>
    <w:rsid w:val="56145213"/>
    <w:rsid w:val="563378B7"/>
    <w:rsid w:val="56747FA4"/>
    <w:rsid w:val="56E664DC"/>
    <w:rsid w:val="57CF0735"/>
    <w:rsid w:val="59C013BD"/>
    <w:rsid w:val="5A1B3727"/>
    <w:rsid w:val="5A6666BE"/>
    <w:rsid w:val="5A7E5E18"/>
    <w:rsid w:val="5ACB14B6"/>
    <w:rsid w:val="5B524B99"/>
    <w:rsid w:val="5B911AC5"/>
    <w:rsid w:val="5C122438"/>
    <w:rsid w:val="5C165CCE"/>
    <w:rsid w:val="5C2E2E13"/>
    <w:rsid w:val="5CF14AC8"/>
    <w:rsid w:val="5D3974CC"/>
    <w:rsid w:val="5D8476DC"/>
    <w:rsid w:val="5DC56581"/>
    <w:rsid w:val="5DD70D8E"/>
    <w:rsid w:val="5EF73394"/>
    <w:rsid w:val="5F414C71"/>
    <w:rsid w:val="5FA31490"/>
    <w:rsid w:val="5FF54ADD"/>
    <w:rsid w:val="601A4C6E"/>
    <w:rsid w:val="60566EB9"/>
    <w:rsid w:val="607E237F"/>
    <w:rsid w:val="60E03E3D"/>
    <w:rsid w:val="61764C2B"/>
    <w:rsid w:val="61BB18BE"/>
    <w:rsid w:val="61BC64E5"/>
    <w:rsid w:val="62A74D62"/>
    <w:rsid w:val="62C800AF"/>
    <w:rsid w:val="630228B7"/>
    <w:rsid w:val="636D4D94"/>
    <w:rsid w:val="63F068CA"/>
    <w:rsid w:val="642535DE"/>
    <w:rsid w:val="64333985"/>
    <w:rsid w:val="649A086A"/>
    <w:rsid w:val="66026D5D"/>
    <w:rsid w:val="661C0C49"/>
    <w:rsid w:val="66257C9B"/>
    <w:rsid w:val="669019ED"/>
    <w:rsid w:val="66BA18EB"/>
    <w:rsid w:val="66CA7A45"/>
    <w:rsid w:val="66EA3294"/>
    <w:rsid w:val="6714326A"/>
    <w:rsid w:val="6765458A"/>
    <w:rsid w:val="685C6CAF"/>
    <w:rsid w:val="68B23F4D"/>
    <w:rsid w:val="68C52B4C"/>
    <w:rsid w:val="69340314"/>
    <w:rsid w:val="69F14C72"/>
    <w:rsid w:val="6A792678"/>
    <w:rsid w:val="6AF41981"/>
    <w:rsid w:val="6AFC4467"/>
    <w:rsid w:val="6B166440"/>
    <w:rsid w:val="6B183C3E"/>
    <w:rsid w:val="6BA27DA8"/>
    <w:rsid w:val="6C047500"/>
    <w:rsid w:val="6C303AD8"/>
    <w:rsid w:val="6DF256BB"/>
    <w:rsid w:val="6E933173"/>
    <w:rsid w:val="6EB86058"/>
    <w:rsid w:val="6ED26E5D"/>
    <w:rsid w:val="6ED46A4D"/>
    <w:rsid w:val="6F2C59D4"/>
    <w:rsid w:val="6FA60F06"/>
    <w:rsid w:val="6FAE6480"/>
    <w:rsid w:val="6FD10809"/>
    <w:rsid w:val="713E3620"/>
    <w:rsid w:val="71ED1731"/>
    <w:rsid w:val="7204395F"/>
    <w:rsid w:val="727A4E47"/>
    <w:rsid w:val="72A75834"/>
    <w:rsid w:val="72AD68E4"/>
    <w:rsid w:val="73987902"/>
    <w:rsid w:val="73AC18C0"/>
    <w:rsid w:val="73BE18D9"/>
    <w:rsid w:val="748B613F"/>
    <w:rsid w:val="74D82AFD"/>
    <w:rsid w:val="75323DC1"/>
    <w:rsid w:val="75621498"/>
    <w:rsid w:val="760A07EA"/>
    <w:rsid w:val="77465DF4"/>
    <w:rsid w:val="776B6165"/>
    <w:rsid w:val="78930351"/>
    <w:rsid w:val="792E2ED3"/>
    <w:rsid w:val="79F247DA"/>
    <w:rsid w:val="79F50EAC"/>
    <w:rsid w:val="79FE29AD"/>
    <w:rsid w:val="7B7A2F81"/>
    <w:rsid w:val="7BC34FC4"/>
    <w:rsid w:val="7CCA3924"/>
    <w:rsid w:val="7D3E44E1"/>
    <w:rsid w:val="7DA163C9"/>
    <w:rsid w:val="7DF41D47"/>
    <w:rsid w:val="7E3E442E"/>
    <w:rsid w:val="7EF029FC"/>
    <w:rsid w:val="7F0839AA"/>
    <w:rsid w:val="7F661D8B"/>
    <w:rsid w:val="7FB749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2021-08-20T01:40:00Z</dcterms:created>
  <dc:creator>戴</dc:creator>
  <cp:lastModifiedBy>戴</cp:lastModifiedBy>
  <dcterms:modified xsi:type="dcterms:W3CDTF">2021-11-12T01:59:34Z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386772509_embed</vt:lpwstr>
  </property>
</Properties>
</file>