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jc w:val="both"/>
        <w:rPr>
          <w:sz w:val="84"/>
          <w:szCs w:val="84"/>
        </w:rPr>
      </w:pPr>
    </w:p>
    <w:p>
      <w:pPr>
        <w:pStyle w:val="18"/>
        <w:jc w:val="center"/>
        <w:rPr>
          <w:sz w:val="84"/>
          <w:szCs w:val="84"/>
        </w:rPr>
      </w:pPr>
      <w:r>
        <w:rPr>
          <w:rFonts w:hint="eastAsia"/>
          <w:sz w:val="84"/>
          <w:szCs w:val="84"/>
        </w:rPr>
        <w:t>2020年度</w:t>
      </w:r>
    </w:p>
    <w:p>
      <w:pPr>
        <w:pStyle w:val="18"/>
        <w:jc w:val="center"/>
        <w:rPr>
          <w:sz w:val="84"/>
          <w:szCs w:val="84"/>
        </w:rPr>
      </w:pPr>
      <w:r>
        <w:rPr>
          <w:rFonts w:hint="eastAsia"/>
          <w:sz w:val="84"/>
          <w:szCs w:val="84"/>
          <w:lang w:val="en-US" w:eastAsia="zh-CN"/>
        </w:rPr>
        <w:t>岳阳市生态环境局华容分局</w:t>
      </w:r>
      <w:r>
        <w:rPr>
          <w:rFonts w:hint="eastAsia"/>
          <w:sz w:val="84"/>
          <w:szCs w:val="84"/>
        </w:rPr>
        <w:t>部门决算</w:t>
      </w:r>
    </w:p>
    <w:p>
      <w:pPr>
        <w:pStyle w:val="18"/>
        <w:jc w:val="center"/>
        <w:rPr>
          <w:sz w:val="56"/>
          <w:szCs w:val="56"/>
        </w:rPr>
      </w:pPr>
    </w:p>
    <w:p>
      <w:pPr>
        <w:pStyle w:val="18"/>
        <w:jc w:val="center"/>
        <w:rPr>
          <w:sz w:val="56"/>
          <w:szCs w:val="56"/>
        </w:rPr>
      </w:pPr>
    </w:p>
    <w:p>
      <w:pPr>
        <w:pStyle w:val="18"/>
        <w:jc w:val="center"/>
        <w:rPr>
          <w:sz w:val="56"/>
          <w:szCs w:val="56"/>
        </w:rPr>
      </w:pPr>
    </w:p>
    <w:p>
      <w:pPr>
        <w:pStyle w:val="18"/>
        <w:jc w:val="center"/>
        <w:rPr>
          <w:sz w:val="56"/>
          <w:szCs w:val="56"/>
        </w:rPr>
      </w:pPr>
    </w:p>
    <w:p>
      <w:pPr>
        <w:pStyle w:val="18"/>
        <w:rPr>
          <w:sz w:val="32"/>
          <w:szCs w:val="32"/>
        </w:rPr>
      </w:pPr>
    </w:p>
    <w:p>
      <w:pPr>
        <w:pStyle w:val="18"/>
        <w:rPr>
          <w:sz w:val="32"/>
          <w:szCs w:val="32"/>
        </w:rPr>
      </w:pPr>
    </w:p>
    <w:p>
      <w:pPr>
        <w:pStyle w:val="18"/>
        <w:jc w:val="center"/>
        <w:rPr>
          <w:sz w:val="32"/>
          <w:szCs w:val="32"/>
        </w:rPr>
      </w:pPr>
    </w:p>
    <w:p>
      <w:pPr>
        <w:pStyle w:val="18"/>
        <w:jc w:val="center"/>
        <w:rPr>
          <w:sz w:val="32"/>
          <w:szCs w:val="32"/>
        </w:rPr>
      </w:pPr>
    </w:p>
    <w:p>
      <w:pPr>
        <w:pStyle w:val="18"/>
        <w:jc w:val="center"/>
        <w:rPr>
          <w:sz w:val="32"/>
          <w:szCs w:val="32"/>
        </w:rPr>
      </w:pPr>
    </w:p>
    <w:p>
      <w:pPr>
        <w:pStyle w:val="18"/>
        <w:spacing w:line="540" w:lineRule="exact"/>
        <w:jc w:val="center"/>
        <w:rPr>
          <w:sz w:val="56"/>
          <w:szCs w:val="56"/>
        </w:rPr>
      </w:pPr>
    </w:p>
    <w:p>
      <w:pPr>
        <w:pStyle w:val="18"/>
        <w:spacing w:line="500" w:lineRule="exact"/>
        <w:jc w:val="center"/>
        <w:rPr>
          <w:b/>
          <w:sz w:val="36"/>
          <w:szCs w:val="28"/>
        </w:rPr>
      </w:pPr>
    </w:p>
    <w:p>
      <w:pPr>
        <w:pStyle w:val="18"/>
        <w:spacing w:line="500" w:lineRule="exact"/>
        <w:jc w:val="center"/>
        <w:rPr>
          <w:b/>
          <w:sz w:val="36"/>
          <w:szCs w:val="28"/>
        </w:rPr>
      </w:pPr>
    </w:p>
    <w:p>
      <w:pPr>
        <w:pStyle w:val="18"/>
        <w:spacing w:line="500" w:lineRule="exact"/>
        <w:jc w:val="center"/>
        <w:rPr>
          <w:rFonts w:hint="eastAsia"/>
          <w:b/>
          <w:sz w:val="36"/>
          <w:szCs w:val="28"/>
        </w:rPr>
      </w:pPr>
    </w:p>
    <w:p>
      <w:pPr>
        <w:pStyle w:val="18"/>
        <w:spacing w:line="500" w:lineRule="exact"/>
        <w:jc w:val="center"/>
        <w:rPr>
          <w:rFonts w:hint="eastAsia"/>
          <w:b/>
          <w:sz w:val="36"/>
          <w:szCs w:val="28"/>
        </w:rPr>
      </w:pPr>
    </w:p>
    <w:p>
      <w:pPr>
        <w:pStyle w:val="18"/>
        <w:spacing w:line="500" w:lineRule="exact"/>
        <w:jc w:val="center"/>
        <w:rPr>
          <w:rFonts w:hint="eastAsia"/>
          <w:b/>
          <w:sz w:val="36"/>
          <w:szCs w:val="28"/>
        </w:rPr>
      </w:pPr>
    </w:p>
    <w:p>
      <w:pPr>
        <w:pStyle w:val="18"/>
        <w:spacing w:line="500" w:lineRule="exact"/>
        <w:jc w:val="center"/>
        <w:rPr>
          <w:rFonts w:hint="eastAsia"/>
          <w:b/>
          <w:sz w:val="36"/>
          <w:szCs w:val="28"/>
        </w:rPr>
      </w:pPr>
    </w:p>
    <w:p>
      <w:pPr>
        <w:pStyle w:val="18"/>
        <w:spacing w:line="500" w:lineRule="exact"/>
        <w:jc w:val="center"/>
        <w:rPr>
          <w:b/>
          <w:sz w:val="36"/>
          <w:szCs w:val="28"/>
        </w:rPr>
      </w:pPr>
      <w:r>
        <w:rPr>
          <w:rFonts w:hint="eastAsia"/>
          <w:b/>
          <w:sz w:val="36"/>
          <w:szCs w:val="28"/>
        </w:rPr>
        <w:t>目录</w:t>
      </w:r>
    </w:p>
    <w:p>
      <w:pPr>
        <w:pStyle w:val="18"/>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岳阳市生态环境局华容分局</w:t>
      </w:r>
      <w:r>
        <w:rPr>
          <w:rFonts w:hint="eastAsia"/>
          <w:b/>
          <w:sz w:val="28"/>
          <w:szCs w:val="28"/>
        </w:rPr>
        <w:t>单位概况</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8"/>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8"/>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8"/>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pPr>
        <w:pStyle w:val="18"/>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 xml:space="preserve">     九、国有资本经营预算财政拨款支出决算情况</w:t>
      </w:r>
    </w:p>
    <w:p>
      <w:pPr>
        <w:autoSpaceDE w:val="0"/>
        <w:autoSpaceDN w:val="0"/>
        <w:adjustRightInd w:val="0"/>
        <w:spacing w:line="500" w:lineRule="exact"/>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 xml:space="preserve">     十、关于机关运行经费支出说明</w:t>
      </w:r>
    </w:p>
    <w:p>
      <w:pPr>
        <w:autoSpaceDE w:val="0"/>
        <w:autoSpaceDN w:val="0"/>
        <w:adjustRightInd w:val="0"/>
        <w:spacing w:line="500" w:lineRule="exact"/>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 xml:space="preserve">     十一、一般性支出情况</w:t>
      </w:r>
    </w:p>
    <w:p>
      <w:pPr>
        <w:autoSpaceDE w:val="0"/>
        <w:autoSpaceDN w:val="0"/>
        <w:adjustRightInd w:val="0"/>
        <w:spacing w:line="500" w:lineRule="exact"/>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 xml:space="preserve">     十二、关于政府采购支出说明</w:t>
      </w:r>
    </w:p>
    <w:p>
      <w:pPr>
        <w:autoSpaceDE w:val="0"/>
        <w:autoSpaceDN w:val="0"/>
        <w:adjustRightInd w:val="0"/>
        <w:spacing w:line="500" w:lineRule="exact"/>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 xml:space="preserve">     十三、关于国有资产占用情况说明</w:t>
      </w:r>
    </w:p>
    <w:p>
      <w:pPr>
        <w:autoSpaceDE w:val="0"/>
        <w:autoSpaceDN w:val="0"/>
        <w:adjustRightInd w:val="0"/>
        <w:spacing w:line="500" w:lineRule="exact"/>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 xml:space="preserve">     十四、关于2020年度预算绩效情况的说明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8"/>
        <w:jc w:val="center"/>
        <w:rPr>
          <w:sz w:val="84"/>
          <w:szCs w:val="84"/>
        </w:rPr>
      </w:pPr>
      <w:r>
        <w:rPr>
          <w:rFonts w:hint="eastAsia"/>
          <w:sz w:val="84"/>
          <w:szCs w:val="84"/>
        </w:rPr>
        <w:t>第一部分</w:t>
      </w:r>
      <w:r>
        <w:rPr>
          <w:sz w:val="84"/>
          <w:szCs w:val="84"/>
        </w:rPr>
        <w:t xml:space="preserve"> </w:t>
      </w:r>
    </w:p>
    <w:p>
      <w:pPr>
        <w:pStyle w:val="18"/>
        <w:jc w:val="center"/>
        <w:rPr>
          <w:sz w:val="84"/>
          <w:szCs w:val="84"/>
        </w:rPr>
      </w:pPr>
    </w:p>
    <w:p>
      <w:pPr>
        <w:pStyle w:val="18"/>
        <w:jc w:val="center"/>
        <w:rPr>
          <w:sz w:val="84"/>
          <w:szCs w:val="84"/>
        </w:rPr>
      </w:pPr>
      <w:r>
        <w:rPr>
          <w:rFonts w:hint="eastAsia"/>
          <w:sz w:val="84"/>
          <w:szCs w:val="84"/>
          <w:lang w:val="en-US" w:eastAsia="zh-CN"/>
        </w:rPr>
        <w:t>岳阳市生态环境局华容分局</w:t>
      </w:r>
      <w:r>
        <w:rPr>
          <w:rFonts w:hint="eastAsia"/>
          <w:sz w:val="84"/>
          <w:szCs w:val="84"/>
        </w:rPr>
        <w:t>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9"/>
        <w:ind w:left="720" w:firstLine="0" w:firstLineChars="0"/>
        <w:jc w:val="left"/>
        <w:rPr>
          <w:rFonts w:ascii="黑体" w:hAnsi="黑体" w:eastAsia="黑体"/>
          <w:sz w:val="32"/>
          <w:szCs w:val="32"/>
        </w:rPr>
      </w:pPr>
    </w:p>
    <w:p>
      <w:pPr>
        <w:pStyle w:val="19"/>
        <w:ind w:left="720" w:firstLine="0" w:firstLineChars="0"/>
        <w:jc w:val="left"/>
        <w:rPr>
          <w:rFonts w:ascii="黑体" w:hAnsi="黑体" w:eastAsia="黑体"/>
          <w:sz w:val="32"/>
          <w:szCs w:val="32"/>
        </w:rPr>
      </w:pPr>
    </w:p>
    <w:p>
      <w:pPr>
        <w:pStyle w:val="19"/>
        <w:ind w:left="720" w:firstLine="0" w:firstLineChars="0"/>
        <w:jc w:val="left"/>
        <w:rPr>
          <w:rFonts w:ascii="黑体" w:hAnsi="黑体" w:eastAsia="黑体"/>
          <w:sz w:val="32"/>
          <w:szCs w:val="32"/>
        </w:rPr>
      </w:pPr>
    </w:p>
    <w:p>
      <w:pPr>
        <w:pStyle w:val="19"/>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ind w:firstLine="900" w:firstLineChars="300"/>
        <w:rPr>
          <w:rFonts w:ascii="仿宋_GB2312" w:eastAsia="仿宋_GB2312" w:hAnsiTheme="minorEastAsia"/>
          <w:sz w:val="28"/>
          <w:szCs w:val="32"/>
        </w:rPr>
      </w:pPr>
      <w:r>
        <w:rPr>
          <w:rFonts w:hint="eastAsia" w:ascii="仿宋" w:hAnsi="仿宋" w:eastAsia="仿宋" w:cs="仿宋"/>
          <w:sz w:val="30"/>
          <w:szCs w:val="30"/>
        </w:rPr>
        <w:t>贯彻执行国家、省和市有关生态环境的法律法规和政策，根据职责和授权拟订生态环境保护规范性文件并监督实施。负责生态环境保护方面的制度建设</w:t>
      </w:r>
      <w:r>
        <w:rPr>
          <w:rFonts w:hint="eastAsia" w:ascii="仿宋" w:hAnsi="仿宋" w:eastAsia="仿宋" w:cs="仿宋"/>
          <w:sz w:val="30"/>
          <w:szCs w:val="30"/>
          <w:lang w:eastAsia="zh-CN"/>
        </w:rPr>
        <w:t>；</w:t>
      </w:r>
      <w:r>
        <w:rPr>
          <w:rFonts w:hint="eastAsia" w:ascii="仿宋" w:hAnsi="仿宋" w:eastAsia="仿宋" w:cs="仿宋"/>
          <w:sz w:val="30"/>
          <w:szCs w:val="30"/>
        </w:rPr>
        <w:t>协调和监督管理辖区内生态环境保护工作</w:t>
      </w:r>
      <w:r>
        <w:rPr>
          <w:rFonts w:hint="eastAsia" w:ascii="仿宋" w:hAnsi="仿宋" w:eastAsia="仿宋" w:cs="仿宋"/>
          <w:sz w:val="30"/>
          <w:szCs w:val="30"/>
          <w:lang w:eastAsia="zh-CN"/>
        </w:rPr>
        <w:t>；</w:t>
      </w:r>
      <w:r>
        <w:rPr>
          <w:rFonts w:hint="eastAsia" w:ascii="仿宋" w:hAnsi="仿宋" w:eastAsia="仿宋" w:cs="仿宋"/>
          <w:sz w:val="30"/>
          <w:szCs w:val="30"/>
        </w:rPr>
        <w:t>监督管理减排目标的落实</w:t>
      </w:r>
      <w:r>
        <w:rPr>
          <w:rFonts w:hint="eastAsia" w:ascii="仿宋" w:hAnsi="仿宋" w:eastAsia="仿宋" w:cs="仿宋"/>
          <w:sz w:val="30"/>
          <w:szCs w:val="30"/>
          <w:lang w:eastAsia="zh-CN"/>
        </w:rPr>
        <w:t>；</w:t>
      </w:r>
      <w:r>
        <w:rPr>
          <w:rFonts w:hint="eastAsia" w:ascii="仿宋" w:hAnsi="仿宋" w:eastAsia="仿宋" w:cs="仿宋"/>
          <w:sz w:val="30"/>
          <w:szCs w:val="30"/>
        </w:rPr>
        <w:t>环境污染防治的监督管理</w:t>
      </w:r>
      <w:r>
        <w:rPr>
          <w:rFonts w:hint="eastAsia" w:ascii="仿宋" w:hAnsi="仿宋" w:eastAsia="仿宋" w:cs="仿宋"/>
          <w:sz w:val="30"/>
          <w:szCs w:val="30"/>
          <w:lang w:eastAsia="zh-CN"/>
        </w:rPr>
        <w:t>；</w:t>
      </w:r>
      <w:r>
        <w:rPr>
          <w:rFonts w:hint="eastAsia" w:ascii="仿宋" w:hAnsi="仿宋" w:eastAsia="仿宋" w:cs="仿宋"/>
          <w:sz w:val="30"/>
          <w:szCs w:val="30"/>
        </w:rPr>
        <w:t>指导协调和监督生态保护修复工作</w:t>
      </w:r>
      <w:r>
        <w:rPr>
          <w:rFonts w:hint="eastAsia" w:ascii="仿宋" w:hAnsi="仿宋" w:eastAsia="仿宋" w:cs="仿宋"/>
          <w:sz w:val="30"/>
          <w:szCs w:val="30"/>
          <w:lang w:eastAsia="zh-CN"/>
        </w:rPr>
        <w:t>；</w:t>
      </w:r>
      <w:r>
        <w:rPr>
          <w:rFonts w:hint="eastAsia" w:ascii="仿宋" w:hAnsi="仿宋" w:eastAsia="仿宋" w:cs="仿宋"/>
          <w:sz w:val="30"/>
          <w:szCs w:val="30"/>
        </w:rPr>
        <w:t>辐射环境安全的监督管理</w:t>
      </w:r>
      <w:r>
        <w:rPr>
          <w:rFonts w:hint="eastAsia" w:ascii="仿宋" w:hAnsi="仿宋" w:eastAsia="仿宋" w:cs="仿宋"/>
          <w:sz w:val="30"/>
          <w:szCs w:val="30"/>
          <w:lang w:eastAsia="zh-CN"/>
        </w:rPr>
        <w:t>；</w:t>
      </w:r>
      <w:r>
        <w:rPr>
          <w:rFonts w:hint="eastAsia" w:ascii="仿宋" w:hAnsi="仿宋" w:eastAsia="仿宋" w:cs="仿宋"/>
          <w:sz w:val="30"/>
          <w:szCs w:val="30"/>
        </w:rPr>
        <w:t>生态环境准入的监督管理</w:t>
      </w:r>
      <w:r>
        <w:rPr>
          <w:rFonts w:hint="eastAsia" w:ascii="仿宋" w:hAnsi="仿宋" w:eastAsia="仿宋" w:cs="仿宋"/>
          <w:sz w:val="30"/>
          <w:szCs w:val="30"/>
          <w:lang w:eastAsia="zh-CN"/>
        </w:rPr>
        <w:t>；</w:t>
      </w:r>
      <w:r>
        <w:rPr>
          <w:rFonts w:hint="eastAsia" w:ascii="仿宋" w:hAnsi="仿宋" w:eastAsia="仿宋" w:cs="仿宋"/>
          <w:sz w:val="30"/>
          <w:szCs w:val="30"/>
        </w:rPr>
        <w:t>生态环境监测工作</w:t>
      </w:r>
      <w:r>
        <w:rPr>
          <w:rFonts w:hint="eastAsia" w:ascii="仿宋" w:hAnsi="仿宋" w:eastAsia="仿宋" w:cs="仿宋"/>
          <w:sz w:val="30"/>
          <w:szCs w:val="30"/>
          <w:lang w:eastAsia="zh-CN"/>
        </w:rPr>
        <w:t>；</w:t>
      </w:r>
      <w:r>
        <w:rPr>
          <w:rFonts w:hint="eastAsia" w:ascii="仿宋" w:hAnsi="仿宋" w:eastAsia="仿宋" w:cs="仿宋"/>
          <w:sz w:val="30"/>
          <w:szCs w:val="30"/>
        </w:rPr>
        <w:t>承担生态环境保护综合执法工作</w:t>
      </w:r>
      <w:r>
        <w:rPr>
          <w:rFonts w:hint="eastAsia" w:ascii="仿宋" w:hAnsi="仿宋" w:eastAsia="仿宋" w:cs="仿宋"/>
          <w:sz w:val="30"/>
          <w:szCs w:val="30"/>
          <w:lang w:eastAsia="zh-CN"/>
        </w:rPr>
        <w:t>；</w:t>
      </w:r>
      <w:r>
        <w:rPr>
          <w:rFonts w:hint="eastAsia" w:ascii="仿宋" w:hAnsi="仿宋" w:eastAsia="仿宋" w:cs="仿宋"/>
          <w:sz w:val="30"/>
          <w:szCs w:val="30"/>
        </w:rPr>
        <w:t>组织开展生态环境科技工作</w:t>
      </w:r>
      <w:r>
        <w:rPr>
          <w:rFonts w:hint="eastAsia" w:ascii="仿宋" w:hAnsi="仿宋" w:eastAsia="仿宋" w:cs="仿宋"/>
          <w:sz w:val="30"/>
          <w:szCs w:val="30"/>
          <w:lang w:eastAsia="zh-CN"/>
        </w:rPr>
        <w:t>；</w:t>
      </w:r>
      <w:r>
        <w:rPr>
          <w:rFonts w:hint="eastAsia" w:ascii="仿宋" w:hAnsi="仿宋" w:eastAsia="仿宋" w:cs="仿宋"/>
          <w:sz w:val="30"/>
          <w:szCs w:val="30"/>
        </w:rPr>
        <w:t>会同有关部门管理生态环境保护有关资金项目</w:t>
      </w:r>
      <w:r>
        <w:rPr>
          <w:rFonts w:hint="eastAsia" w:ascii="仿宋" w:hAnsi="仿宋" w:eastAsia="仿宋" w:cs="仿宋"/>
          <w:sz w:val="30"/>
          <w:szCs w:val="30"/>
          <w:lang w:eastAsia="zh-CN"/>
        </w:rPr>
        <w:t>；</w:t>
      </w:r>
      <w:r>
        <w:rPr>
          <w:rFonts w:hint="eastAsia" w:ascii="仿宋" w:hAnsi="仿宋" w:eastAsia="仿宋" w:cs="仿宋"/>
          <w:sz w:val="30"/>
          <w:szCs w:val="30"/>
        </w:rPr>
        <w:t>组织开展和指导生态环境宣传教育工作</w:t>
      </w:r>
      <w:r>
        <w:rPr>
          <w:rFonts w:hint="eastAsia" w:ascii="仿宋" w:hAnsi="仿宋" w:eastAsia="仿宋" w:cs="仿宋"/>
          <w:sz w:val="30"/>
          <w:szCs w:val="30"/>
          <w:lang w:eastAsia="zh-CN"/>
        </w:rPr>
        <w:t>；</w:t>
      </w:r>
      <w:r>
        <w:rPr>
          <w:rFonts w:hint="eastAsia" w:ascii="仿宋" w:hAnsi="仿宋" w:eastAsia="仿宋" w:cs="仿宋"/>
          <w:sz w:val="30"/>
          <w:szCs w:val="30"/>
        </w:rPr>
        <w:t>完成市生态环境局交办的其他任务，协助华容县委、县政府开展生态环境保护工作，指导辖区内乡镇（街道）的生态环境保护工作。</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w:t>
      </w:r>
      <w:r>
        <w:rPr>
          <w:rFonts w:hint="eastAsia" w:ascii="仿宋" w:hAnsi="仿宋" w:eastAsia="仿宋" w:cs="仿宋"/>
          <w:sz w:val="30"/>
          <w:szCs w:val="30"/>
        </w:rPr>
        <w:t>我局属于参照公务员管理的事业单位，</w:t>
      </w:r>
      <w:r>
        <w:rPr>
          <w:rFonts w:hint="eastAsia" w:ascii="仿宋" w:hAnsi="仿宋" w:eastAsia="仿宋" w:cs="仿宋"/>
          <w:sz w:val="30"/>
          <w:szCs w:val="30"/>
          <w:lang w:eastAsia="zh-CN"/>
        </w:rPr>
        <w:t>现有编制数</w:t>
      </w:r>
      <w:r>
        <w:rPr>
          <w:rFonts w:hint="eastAsia" w:ascii="仿宋" w:hAnsi="仿宋" w:eastAsia="仿宋" w:cs="仿宋"/>
          <w:sz w:val="30"/>
          <w:szCs w:val="30"/>
          <w:lang w:val="en-US" w:eastAsia="zh-CN"/>
        </w:rPr>
        <w:t>62人，其中行政编制13人，参公编制36人，事业编制13人。现有在职在编人员62人，退休人员22人。</w:t>
      </w:r>
      <w:r>
        <w:rPr>
          <w:rFonts w:hint="eastAsia" w:ascii="仿宋" w:hAnsi="仿宋" w:eastAsia="仿宋" w:cs="仿宋"/>
          <w:sz w:val="30"/>
          <w:szCs w:val="30"/>
        </w:rPr>
        <w:t>内设办公室</w:t>
      </w:r>
      <w:r>
        <w:rPr>
          <w:rFonts w:hint="eastAsia" w:ascii="仿宋" w:hAnsi="仿宋" w:eastAsia="仿宋" w:cs="仿宋"/>
          <w:sz w:val="30"/>
          <w:szCs w:val="30"/>
          <w:lang w:eastAsia="zh-CN"/>
        </w:rPr>
        <w:t>、</w:t>
      </w:r>
      <w:r>
        <w:rPr>
          <w:rFonts w:hint="eastAsia" w:ascii="仿宋" w:hAnsi="仿宋" w:eastAsia="仿宋" w:cs="仿宋"/>
          <w:sz w:val="30"/>
          <w:szCs w:val="30"/>
        </w:rPr>
        <w:t>生态环境监督股</w:t>
      </w:r>
      <w:r>
        <w:rPr>
          <w:rFonts w:hint="eastAsia" w:ascii="仿宋" w:hAnsi="仿宋" w:eastAsia="仿宋" w:cs="仿宋"/>
          <w:sz w:val="30"/>
          <w:szCs w:val="30"/>
          <w:lang w:eastAsia="zh-CN"/>
        </w:rPr>
        <w:t>、</w:t>
      </w:r>
      <w:r>
        <w:rPr>
          <w:rFonts w:hint="eastAsia" w:ascii="仿宋" w:hAnsi="仿宋" w:eastAsia="仿宋" w:cs="仿宋"/>
          <w:sz w:val="30"/>
          <w:szCs w:val="30"/>
        </w:rPr>
        <w:t>法制宣教股</w:t>
      </w:r>
      <w:r>
        <w:rPr>
          <w:rFonts w:hint="eastAsia" w:ascii="仿宋" w:hAnsi="仿宋" w:eastAsia="仿宋" w:cs="仿宋"/>
          <w:sz w:val="30"/>
          <w:szCs w:val="30"/>
          <w:lang w:eastAsia="zh-CN"/>
        </w:rPr>
        <w:t>、</w:t>
      </w:r>
      <w:r>
        <w:rPr>
          <w:rFonts w:hint="eastAsia" w:ascii="仿宋" w:hAnsi="仿宋" w:eastAsia="仿宋" w:cs="仿宋"/>
          <w:sz w:val="30"/>
          <w:szCs w:val="30"/>
        </w:rPr>
        <w:t>土壤生态股</w:t>
      </w:r>
      <w:r>
        <w:rPr>
          <w:rFonts w:hint="eastAsia" w:ascii="仿宋" w:hAnsi="仿宋" w:eastAsia="仿宋" w:cs="仿宋"/>
          <w:sz w:val="30"/>
          <w:szCs w:val="30"/>
          <w:lang w:eastAsia="zh-CN"/>
        </w:rPr>
        <w:t>、</w:t>
      </w:r>
      <w:r>
        <w:rPr>
          <w:rFonts w:hint="eastAsia" w:ascii="仿宋" w:hAnsi="仿宋" w:eastAsia="仿宋" w:cs="仿宋"/>
          <w:sz w:val="30"/>
          <w:szCs w:val="30"/>
        </w:rPr>
        <w:t>水生态环境股</w:t>
      </w:r>
      <w:r>
        <w:rPr>
          <w:rFonts w:hint="eastAsia" w:ascii="仿宋" w:hAnsi="仿宋" w:eastAsia="仿宋" w:cs="仿宋"/>
          <w:sz w:val="30"/>
          <w:szCs w:val="30"/>
          <w:lang w:eastAsia="zh-CN"/>
        </w:rPr>
        <w:t>、</w:t>
      </w:r>
      <w:r>
        <w:rPr>
          <w:rFonts w:hint="eastAsia" w:ascii="仿宋" w:hAnsi="仿宋" w:eastAsia="仿宋" w:cs="仿宋"/>
          <w:sz w:val="30"/>
          <w:szCs w:val="30"/>
        </w:rPr>
        <w:t>大气环境与应对气候变化股</w:t>
      </w:r>
      <w:r>
        <w:rPr>
          <w:rFonts w:hint="eastAsia" w:ascii="仿宋" w:hAnsi="仿宋" w:eastAsia="仿宋" w:cs="仿宋"/>
          <w:sz w:val="30"/>
          <w:szCs w:val="30"/>
          <w:lang w:eastAsia="zh-CN"/>
        </w:rPr>
        <w:t>、</w:t>
      </w:r>
      <w:r>
        <w:rPr>
          <w:rFonts w:hint="eastAsia" w:ascii="仿宋" w:hAnsi="仿宋" w:eastAsia="仿宋" w:cs="仿宋"/>
          <w:sz w:val="30"/>
          <w:szCs w:val="30"/>
        </w:rPr>
        <w:t>固体废物股</w:t>
      </w:r>
      <w:r>
        <w:rPr>
          <w:rFonts w:hint="eastAsia" w:ascii="仿宋" w:hAnsi="仿宋" w:eastAsia="仿宋" w:cs="仿宋"/>
          <w:sz w:val="30"/>
          <w:szCs w:val="30"/>
          <w:lang w:eastAsia="zh-CN"/>
        </w:rPr>
        <w:t>、</w:t>
      </w:r>
      <w:r>
        <w:rPr>
          <w:rFonts w:hint="eastAsia" w:ascii="仿宋" w:hAnsi="仿宋" w:eastAsia="仿宋" w:cs="仿宋"/>
          <w:sz w:val="30"/>
          <w:szCs w:val="30"/>
        </w:rPr>
        <w:t>行政审批股</w:t>
      </w:r>
      <w:r>
        <w:rPr>
          <w:rFonts w:hint="eastAsia" w:ascii="仿宋" w:hAnsi="仿宋" w:eastAsia="仿宋" w:cs="仿宋"/>
          <w:sz w:val="30"/>
          <w:szCs w:val="30"/>
          <w:lang w:eastAsia="zh-CN"/>
        </w:rPr>
        <w:t>、</w:t>
      </w:r>
      <w:r>
        <w:rPr>
          <w:rFonts w:hint="eastAsia" w:ascii="仿宋" w:hAnsi="仿宋" w:eastAsia="仿宋" w:cs="仿宋"/>
          <w:sz w:val="30"/>
          <w:szCs w:val="30"/>
        </w:rPr>
        <w:t>规划与财务股</w:t>
      </w:r>
      <w:r>
        <w:rPr>
          <w:rFonts w:hint="eastAsia" w:ascii="仿宋" w:hAnsi="仿宋" w:eastAsia="仿宋" w:cs="仿宋"/>
          <w:sz w:val="30"/>
          <w:szCs w:val="30"/>
          <w:lang w:eastAsia="zh-CN"/>
        </w:rPr>
        <w:t>、</w:t>
      </w:r>
      <w:r>
        <w:rPr>
          <w:rFonts w:hint="eastAsia" w:ascii="仿宋" w:hAnsi="仿宋" w:eastAsia="仿宋" w:cs="仿宋"/>
          <w:sz w:val="30"/>
          <w:szCs w:val="30"/>
        </w:rPr>
        <w:t>人事股。</w:t>
      </w:r>
      <w:r>
        <w:rPr>
          <w:rFonts w:hint="eastAsia" w:ascii="仿宋" w:hAnsi="仿宋" w:eastAsia="仿宋" w:cs="仿宋"/>
          <w:sz w:val="32"/>
          <w:szCs w:val="32"/>
        </w:rPr>
        <w:t>下设县生态环境保护综合行政执法大队</w:t>
      </w:r>
      <w:r>
        <w:rPr>
          <w:rFonts w:hint="eastAsia" w:ascii="仿宋" w:hAnsi="仿宋" w:eastAsia="仿宋" w:cs="仿宋"/>
          <w:sz w:val="32"/>
          <w:szCs w:val="32"/>
          <w:lang w:eastAsia="zh-CN"/>
        </w:rPr>
        <w:t>、</w:t>
      </w:r>
      <w:r>
        <w:rPr>
          <w:rFonts w:hint="eastAsia" w:ascii="仿宋" w:hAnsi="仿宋" w:eastAsia="仿宋" w:cs="仿宋"/>
          <w:sz w:val="32"/>
          <w:szCs w:val="32"/>
        </w:rPr>
        <w:t>岳阳市华容生态环境监测站</w:t>
      </w:r>
      <w:r>
        <w:rPr>
          <w:rFonts w:hint="eastAsia" w:ascii="仿宋" w:hAnsi="仿宋" w:eastAsia="仿宋" w:cs="仿宋"/>
          <w:sz w:val="30"/>
          <w:szCs w:val="30"/>
        </w:rPr>
        <w:t>两个二级机构（二级机构财务上未独立核算）。</w:t>
      </w:r>
    </w:p>
    <w:p>
      <w:pPr>
        <w:widowControl/>
        <w:numPr>
          <w:ilvl w:val="0"/>
          <w:numId w:val="0"/>
        </w:numPr>
        <w:spacing w:line="600" w:lineRule="exact"/>
        <w:rPr>
          <w:rFonts w:asciiTheme="minorEastAsia" w:hAnsiTheme="minorEastAsia"/>
          <w:bCs/>
          <w:kern w:val="0"/>
          <w:sz w:val="32"/>
          <w:szCs w:val="32"/>
        </w:rPr>
      </w:pPr>
      <w:r>
        <w:rPr>
          <w:rFonts w:hint="eastAsia" w:asciiTheme="minorEastAsia" w:hAnsiTheme="minorEastAsia"/>
          <w:bCs/>
          <w:kern w:val="0"/>
          <w:sz w:val="32"/>
          <w:szCs w:val="32"/>
          <w:lang w:val="en-US" w:eastAsia="zh-CN"/>
        </w:rPr>
        <w:t xml:space="preserve">     （二）</w:t>
      </w:r>
      <w:r>
        <w:rPr>
          <w:rFonts w:hint="eastAsia" w:asciiTheme="minorEastAsia" w:hAnsiTheme="minorEastAsia"/>
          <w:bCs/>
          <w:kern w:val="0"/>
          <w:sz w:val="32"/>
          <w:szCs w:val="32"/>
        </w:rPr>
        <w:t>决算单位构成。</w:t>
      </w:r>
      <w:r>
        <w:rPr>
          <w:rFonts w:hint="eastAsia" w:ascii="仿宋" w:hAnsi="仿宋" w:eastAsia="仿宋" w:cs="仿宋"/>
          <w:sz w:val="30"/>
          <w:szCs w:val="30"/>
          <w:lang w:val="en-US" w:eastAsia="zh-CN"/>
        </w:rPr>
        <w:t>本</w:t>
      </w:r>
      <w:r>
        <w:rPr>
          <w:rFonts w:hint="eastAsia" w:ascii="仿宋" w:hAnsi="仿宋" w:eastAsia="仿宋" w:cs="仿宋"/>
          <w:sz w:val="30"/>
          <w:szCs w:val="30"/>
          <w:lang w:eastAsia="zh-CN"/>
        </w:rPr>
        <w:t>部门决算公开单位构成包括：岳阳市生态环境局华容县分局</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14081" w:type="dxa"/>
        <w:tblInd w:w="93" w:type="dxa"/>
        <w:tblLayout w:type="autofit"/>
        <w:tblCellMar>
          <w:top w:w="0" w:type="dxa"/>
          <w:left w:w="108" w:type="dxa"/>
          <w:bottom w:w="0" w:type="dxa"/>
          <w:right w:w="108" w:type="dxa"/>
        </w:tblCellMar>
      </w:tblPr>
      <w:tblGrid>
        <w:gridCol w:w="1253"/>
        <w:gridCol w:w="2873"/>
        <w:gridCol w:w="449"/>
        <w:gridCol w:w="631"/>
        <w:gridCol w:w="56"/>
        <w:gridCol w:w="543"/>
        <w:gridCol w:w="98"/>
        <w:gridCol w:w="232"/>
        <w:gridCol w:w="245"/>
        <w:gridCol w:w="1105"/>
        <w:gridCol w:w="845"/>
        <w:gridCol w:w="1173"/>
        <w:gridCol w:w="100"/>
        <w:gridCol w:w="845"/>
        <w:gridCol w:w="160"/>
        <w:gridCol w:w="1254"/>
        <w:gridCol w:w="46"/>
        <w:gridCol w:w="657"/>
        <w:gridCol w:w="1516"/>
      </w:tblGrid>
      <w:tr>
        <w:tblPrEx>
          <w:tblCellMar>
            <w:top w:w="0" w:type="dxa"/>
            <w:left w:w="108" w:type="dxa"/>
            <w:bottom w:w="0" w:type="dxa"/>
            <w:right w:w="108" w:type="dxa"/>
          </w:tblCellMar>
        </w:tblPrEx>
        <w:trPr>
          <w:trHeight w:val="360" w:hRule="atLeast"/>
        </w:trPr>
        <w:tc>
          <w:tcPr>
            <w:tcW w:w="14081" w:type="dxa"/>
            <w:gridSpan w:val="1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tblPrEx>
          <w:tblCellMar>
            <w:top w:w="0" w:type="dxa"/>
            <w:left w:w="108" w:type="dxa"/>
            <w:bottom w:w="0" w:type="dxa"/>
            <w:right w:w="108" w:type="dxa"/>
          </w:tblCellMar>
        </w:tblPrEx>
        <w:trPr>
          <w:trHeight w:val="199" w:hRule="atLeast"/>
        </w:trPr>
        <w:tc>
          <w:tcPr>
            <w:tcW w:w="5206"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9"/>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tblPrEx>
          <w:tblCellMar>
            <w:top w:w="0" w:type="dxa"/>
            <w:left w:w="108" w:type="dxa"/>
            <w:bottom w:w="0" w:type="dxa"/>
            <w:right w:w="108" w:type="dxa"/>
          </w:tblCellMar>
        </w:tblPrEx>
        <w:trPr>
          <w:trHeight w:val="300" w:hRule="atLeast"/>
        </w:trPr>
        <w:tc>
          <w:tcPr>
            <w:tcW w:w="5206" w:type="dxa"/>
            <w:gridSpan w:val="4"/>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岳阳市生态环境局华容分局</w:t>
            </w:r>
            <w:r>
              <w:rPr>
                <w:rFonts w:ascii="宋体" w:hAnsi="宋体" w:eastAsia="宋体" w:cs="宋体"/>
                <w:color w:val="000000"/>
                <w:kern w:val="0"/>
                <w:sz w:val="20"/>
                <w:szCs w:val="20"/>
              </w:rPr>
              <w:t xml:space="preserve"> </w:t>
            </w:r>
          </w:p>
        </w:tc>
        <w:tc>
          <w:tcPr>
            <w:tcW w:w="697"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9"/>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340" w:hRule="atLeast"/>
        </w:trPr>
        <w:tc>
          <w:tcPr>
            <w:tcW w:w="5805"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1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5"/>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5"/>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tblPrEx>
          <w:tblCellMar>
            <w:top w:w="0" w:type="dxa"/>
            <w:left w:w="108" w:type="dxa"/>
            <w:bottom w:w="0" w:type="dxa"/>
            <w:right w:w="108" w:type="dxa"/>
          </w:tblCellMar>
        </w:tblPrEx>
        <w:trPr>
          <w:trHeight w:val="90" w:hRule="atLeast"/>
        </w:trPr>
        <w:tc>
          <w:tcPr>
            <w:tcW w:w="412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1546.8</w:t>
            </w: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2"/>
                <w:lang w:val="en-US" w:eastAsia="zh-CN"/>
              </w:rPr>
              <w:t>七、社会保障和就业支出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val="0"/>
                <w:bCs w:val="0"/>
                <w:kern w:val="0"/>
                <w:sz w:val="22"/>
              </w:rPr>
            </w:pPr>
            <w:r>
              <w:rPr>
                <w:rFonts w:hint="eastAsia" w:ascii="宋体" w:hAnsi="宋体" w:eastAsia="宋体" w:cs="宋体"/>
                <w:b w:val="0"/>
                <w:bCs w:val="0"/>
                <w:kern w:val="0"/>
                <w:sz w:val="22"/>
                <w:lang w:val="en-US" w:eastAsia="zh-CN"/>
              </w:rPr>
              <w:t>60.53</w:t>
            </w:r>
            <w:r>
              <w:rPr>
                <w:rFonts w:hint="eastAsia" w:ascii="宋体" w:hAnsi="宋体" w:eastAsia="宋体" w:cs="宋体"/>
                <w:b w:val="0"/>
                <w:bCs w:val="0"/>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3006.6</w:t>
            </w:r>
          </w:p>
        </w:tc>
        <w:tc>
          <w:tcPr>
            <w:tcW w:w="3798" w:type="dxa"/>
            <w:gridSpan w:val="7"/>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八、卫生健康支出</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　</w:t>
            </w:r>
            <w:r>
              <w:rPr>
                <w:rFonts w:hint="eastAsia" w:ascii="宋体" w:hAnsi="宋体" w:eastAsia="宋体" w:cs="宋体"/>
                <w:b w:val="0"/>
                <w:bCs w:val="0"/>
                <w:kern w:val="0"/>
                <w:sz w:val="22"/>
                <w:lang w:val="en-US" w:eastAsia="zh-CN"/>
              </w:rPr>
              <w:t>28.01</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auto" w:fill="auto"/>
            <w:noWrap/>
            <w:vAlign w:val="center"/>
          </w:tcPr>
          <w:p>
            <w:pPr>
              <w:widowControl/>
              <w:jc w:val="both"/>
              <w:rPr>
                <w:rFonts w:ascii="宋体" w:hAnsi="宋体" w:eastAsia="宋体" w:cs="宋体"/>
                <w:kern w:val="0"/>
                <w:sz w:val="20"/>
                <w:szCs w:val="20"/>
              </w:rPr>
            </w:pPr>
            <w:r>
              <w:rPr>
                <w:rFonts w:hint="eastAsia" w:ascii="宋体" w:hAnsi="宋体" w:eastAsia="宋体" w:cs="宋体"/>
                <w:kern w:val="0"/>
                <w:sz w:val="20"/>
                <w:szCs w:val="20"/>
                <w:lang w:val="en-US" w:eastAsia="zh-CN"/>
              </w:rPr>
              <w:t>九、节能环保支出</w:t>
            </w: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　</w:t>
            </w:r>
            <w:r>
              <w:rPr>
                <w:rFonts w:hint="eastAsia" w:ascii="宋体" w:hAnsi="宋体" w:eastAsia="宋体" w:cs="宋体"/>
                <w:b w:val="0"/>
                <w:bCs w:val="0"/>
                <w:kern w:val="0"/>
                <w:sz w:val="22"/>
                <w:lang w:val="en-US" w:eastAsia="zh-CN"/>
              </w:rPr>
              <w:t>6673.28</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4553.4</w:t>
            </w: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6761.82</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　</w:t>
            </w:r>
            <w:r>
              <w:rPr>
                <w:rFonts w:hint="eastAsia" w:ascii="宋体" w:hAnsi="宋体" w:eastAsia="宋体" w:cs="宋体"/>
                <w:b w:val="0"/>
                <w:bCs w:val="0"/>
                <w:kern w:val="0"/>
                <w:sz w:val="22"/>
                <w:lang w:val="en-US" w:eastAsia="zh-CN"/>
              </w:rPr>
              <w:t>49.42</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2257.84</w:t>
            </w: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val="0"/>
                <w:bCs w:val="0"/>
                <w:kern w:val="0"/>
                <w:sz w:val="22"/>
              </w:rPr>
            </w:pPr>
            <w:r>
              <w:rPr>
                <w:rFonts w:hint="eastAsia" w:ascii="宋体" w:hAnsi="宋体" w:eastAsia="宋体" w:cs="宋体"/>
                <w:b w:val="0"/>
                <w:bCs w:val="0"/>
                <w:kern w:val="0"/>
                <w:sz w:val="22"/>
              </w:rPr>
              <w:t>　</w:t>
            </w:r>
          </w:p>
        </w:tc>
      </w:tr>
      <w:tr>
        <w:tblPrEx>
          <w:tblCellMar>
            <w:top w:w="0" w:type="dxa"/>
            <w:left w:w="108" w:type="dxa"/>
            <w:bottom w:w="0" w:type="dxa"/>
            <w:right w:w="108" w:type="dxa"/>
          </w:tblCellMar>
        </w:tblPrEx>
        <w:trPr>
          <w:trHeight w:val="340" w:hRule="atLeast"/>
        </w:trPr>
        <w:tc>
          <w:tcPr>
            <w:tcW w:w="4126" w:type="dxa"/>
            <w:gridSpan w:val="2"/>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3"/>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6811.24</w:t>
            </w:r>
            <w:r>
              <w:rPr>
                <w:rFonts w:hint="eastAsia" w:ascii="宋体" w:hAnsi="宋体" w:eastAsia="宋体" w:cs="宋体"/>
                <w:kern w:val="0"/>
                <w:sz w:val="22"/>
              </w:rPr>
              <w:t>　</w:t>
            </w:r>
          </w:p>
        </w:tc>
        <w:tc>
          <w:tcPr>
            <w:tcW w:w="3798" w:type="dxa"/>
            <w:gridSpan w:val="7"/>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　</w:t>
            </w:r>
            <w:r>
              <w:rPr>
                <w:rFonts w:hint="eastAsia" w:ascii="宋体" w:hAnsi="宋体" w:eastAsia="宋体" w:cs="宋体"/>
                <w:b w:val="0"/>
                <w:bCs w:val="0"/>
                <w:kern w:val="0"/>
                <w:sz w:val="22"/>
                <w:lang w:val="en-US" w:eastAsia="zh-CN"/>
              </w:rPr>
              <w:t>6811.24</w:t>
            </w:r>
          </w:p>
        </w:tc>
      </w:tr>
      <w:tr>
        <w:tblPrEx>
          <w:tblCellMar>
            <w:top w:w="0" w:type="dxa"/>
            <w:left w:w="108" w:type="dxa"/>
            <w:bottom w:w="0" w:type="dxa"/>
            <w:right w:w="108" w:type="dxa"/>
          </w:tblCellMar>
        </w:tblPrEx>
        <w:trPr>
          <w:trHeight w:val="1020" w:hRule="atLeast"/>
        </w:trPr>
        <w:tc>
          <w:tcPr>
            <w:tcW w:w="14081" w:type="dxa"/>
            <w:gridSpan w:val="1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2"/>
              </w:rPr>
              <w:t>注：1.本表反映部门本年度的总收支和年末结转结余情况。</w:t>
            </w:r>
            <w:r>
              <w:rPr>
                <w:rFonts w:hint="eastAsia" w:ascii="宋体" w:hAnsi="宋体" w:eastAsia="宋体" w:cs="宋体"/>
                <w:kern w:val="0"/>
                <w:sz w:val="22"/>
              </w:rPr>
              <w:br w:type="textWrapping"/>
            </w:r>
            <w:r>
              <w:rPr>
                <w:rFonts w:hint="eastAsia" w:ascii="宋体" w:hAnsi="宋体" w:eastAsia="宋体" w:cs="宋体"/>
                <w:kern w:val="0"/>
                <w:sz w:val="22"/>
              </w:rPr>
              <w:t xml:space="preserve"> 2.本套报表金额单位转换时可能存在尾数误差。</w:t>
            </w:r>
          </w:p>
        </w:tc>
      </w:tr>
      <w:tr>
        <w:tblPrEx>
          <w:shd w:val="clear" w:color="auto" w:fill="FFFFFF" w:themeFill="background1"/>
          <w:tblCellMar>
            <w:top w:w="0" w:type="dxa"/>
            <w:left w:w="108" w:type="dxa"/>
            <w:bottom w:w="0" w:type="dxa"/>
            <w:right w:w="108" w:type="dxa"/>
          </w:tblCellMar>
        </w:tblPrEx>
        <w:trPr>
          <w:trHeight w:val="390" w:hRule="atLeast"/>
        </w:trPr>
        <w:tc>
          <w:tcPr>
            <w:tcW w:w="14081" w:type="dxa"/>
            <w:gridSpan w:val="19"/>
            <w:tcBorders>
              <w:top w:val="nil"/>
              <w:left w:val="nil"/>
              <w:bottom w:val="nil"/>
              <w:right w:val="nil"/>
            </w:tcBorders>
            <w:shd w:val="clear" w:color="auto" w:fill="FFFFFF" w:themeFill="background1"/>
            <w:noWrap/>
            <w:vAlign w:val="bottom"/>
          </w:tcPr>
          <w:p>
            <w:pPr>
              <w:jc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shd w:val="clear" w:color="auto" w:fill="FFFFFF" w:themeFill="background1"/>
          <w:tblCellMar>
            <w:top w:w="0" w:type="dxa"/>
            <w:left w:w="108" w:type="dxa"/>
            <w:bottom w:w="0" w:type="dxa"/>
            <w:right w:w="108" w:type="dxa"/>
          </w:tblCellMar>
        </w:tblPrEx>
        <w:trPr>
          <w:trHeight w:val="255" w:hRule="atLeast"/>
        </w:trPr>
        <w:tc>
          <w:tcPr>
            <w:tcW w:w="14081" w:type="dxa"/>
            <w:gridSpan w:val="19"/>
            <w:tcBorders>
              <w:top w:val="nil"/>
              <w:left w:val="nil"/>
              <w:bottom w:val="nil"/>
              <w:right w:val="nil"/>
            </w:tcBorders>
            <w:shd w:val="clear" w:color="auto" w:fill="FFFFFF" w:themeFill="background1"/>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tblPrEx>
          <w:shd w:val="clear" w:color="auto" w:fill="FFFFFF" w:themeFill="background1"/>
          <w:tblCellMar>
            <w:top w:w="0" w:type="dxa"/>
            <w:left w:w="108" w:type="dxa"/>
            <w:bottom w:w="0" w:type="dxa"/>
            <w:right w:w="108" w:type="dxa"/>
          </w:tblCellMar>
        </w:tblPrEx>
        <w:trPr>
          <w:trHeight w:val="255" w:hRule="atLeast"/>
        </w:trPr>
        <w:tc>
          <w:tcPr>
            <w:tcW w:w="5262" w:type="dxa"/>
            <w:gridSpan w:val="5"/>
            <w:tcBorders>
              <w:top w:val="nil"/>
              <w:left w:val="nil"/>
              <w:bottom w:val="nil"/>
              <w:right w:val="nil"/>
            </w:tcBorders>
            <w:shd w:val="clear" w:color="auto" w:fill="FFFFFF" w:themeFill="background1"/>
            <w:noWrap/>
            <w:vAlign w:val="bottom"/>
          </w:tcPr>
          <w:p>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部门：岳阳市生态环境局华容分局</w:t>
            </w:r>
          </w:p>
        </w:tc>
        <w:tc>
          <w:tcPr>
            <w:tcW w:w="1118" w:type="dxa"/>
            <w:gridSpan w:val="4"/>
            <w:tcBorders>
              <w:top w:val="nil"/>
              <w:left w:val="nil"/>
              <w:bottom w:val="nil"/>
              <w:right w:val="nil"/>
            </w:tcBorders>
            <w:shd w:val="clear" w:color="auto" w:fill="FFFFFF" w:themeFill="background1"/>
            <w:noWrap/>
            <w:vAlign w:val="bottom"/>
          </w:tcPr>
          <w:p>
            <w:pPr>
              <w:rPr>
                <w:rFonts w:hint="default" w:ascii="Arial" w:hAnsi="Arial" w:cs="Arial"/>
                <w:i w:val="0"/>
                <w:iCs w:val="0"/>
                <w:color w:val="000000"/>
                <w:sz w:val="20"/>
                <w:szCs w:val="20"/>
                <w:u w:val="none"/>
              </w:rPr>
            </w:pPr>
          </w:p>
        </w:tc>
        <w:tc>
          <w:tcPr>
            <w:tcW w:w="1105" w:type="dxa"/>
            <w:tcBorders>
              <w:top w:val="nil"/>
              <w:left w:val="nil"/>
              <w:bottom w:val="nil"/>
              <w:right w:val="nil"/>
            </w:tcBorders>
            <w:shd w:val="clear" w:color="auto" w:fill="FFFFFF" w:themeFill="background1"/>
            <w:noWrap/>
            <w:vAlign w:val="bottom"/>
          </w:tcPr>
          <w:p>
            <w:pPr>
              <w:rPr>
                <w:rFonts w:hint="default" w:ascii="Arial" w:hAnsi="Arial" w:cs="Arial"/>
                <w:i w:val="0"/>
                <w:iCs w:val="0"/>
                <w:color w:val="000000"/>
                <w:sz w:val="20"/>
                <w:szCs w:val="20"/>
                <w:u w:val="none"/>
              </w:rPr>
            </w:pPr>
          </w:p>
        </w:tc>
        <w:tc>
          <w:tcPr>
            <w:tcW w:w="845" w:type="dxa"/>
            <w:tcBorders>
              <w:top w:val="nil"/>
              <w:left w:val="nil"/>
              <w:bottom w:val="nil"/>
              <w:right w:val="nil"/>
            </w:tcBorders>
            <w:shd w:val="clear" w:color="auto" w:fill="FFFFFF" w:themeFill="background1"/>
            <w:noWrap/>
            <w:vAlign w:val="bottom"/>
          </w:tcPr>
          <w:p>
            <w:pPr>
              <w:rPr>
                <w:rFonts w:hint="default" w:ascii="Arial" w:hAnsi="Arial" w:cs="Arial"/>
                <w:i w:val="0"/>
                <w:iCs w:val="0"/>
                <w:color w:val="000000"/>
                <w:sz w:val="20"/>
                <w:szCs w:val="20"/>
                <w:u w:val="none"/>
              </w:rPr>
            </w:pPr>
          </w:p>
        </w:tc>
        <w:tc>
          <w:tcPr>
            <w:tcW w:w="1173" w:type="dxa"/>
            <w:tcBorders>
              <w:top w:val="nil"/>
              <w:left w:val="nil"/>
              <w:bottom w:val="nil"/>
              <w:right w:val="nil"/>
            </w:tcBorders>
            <w:shd w:val="clear" w:color="auto" w:fill="FFFFFF" w:themeFill="background1"/>
            <w:noWrap/>
            <w:vAlign w:val="bottom"/>
          </w:tcPr>
          <w:p>
            <w:pPr>
              <w:rPr>
                <w:rFonts w:hint="default" w:ascii="Arial" w:hAnsi="Arial" w:cs="Arial"/>
                <w:i w:val="0"/>
                <w:iCs w:val="0"/>
                <w:color w:val="000000"/>
                <w:sz w:val="20"/>
                <w:szCs w:val="20"/>
                <w:u w:val="none"/>
              </w:rPr>
            </w:pPr>
          </w:p>
        </w:tc>
        <w:tc>
          <w:tcPr>
            <w:tcW w:w="1105" w:type="dxa"/>
            <w:gridSpan w:val="3"/>
            <w:tcBorders>
              <w:top w:val="nil"/>
              <w:left w:val="nil"/>
              <w:bottom w:val="nil"/>
              <w:right w:val="nil"/>
            </w:tcBorders>
            <w:shd w:val="clear" w:color="auto" w:fill="FFFFFF" w:themeFill="background1"/>
            <w:noWrap/>
            <w:vAlign w:val="bottom"/>
          </w:tcPr>
          <w:p>
            <w:pPr>
              <w:rPr>
                <w:rFonts w:hint="default" w:ascii="Arial" w:hAnsi="Arial" w:cs="Arial"/>
                <w:i w:val="0"/>
                <w:iCs w:val="0"/>
                <w:color w:val="000000"/>
                <w:sz w:val="20"/>
                <w:szCs w:val="20"/>
                <w:u w:val="none"/>
              </w:rPr>
            </w:pPr>
          </w:p>
        </w:tc>
        <w:tc>
          <w:tcPr>
            <w:tcW w:w="1254" w:type="dxa"/>
            <w:tcBorders>
              <w:top w:val="nil"/>
              <w:left w:val="nil"/>
              <w:bottom w:val="nil"/>
              <w:right w:val="nil"/>
            </w:tcBorders>
            <w:shd w:val="clear" w:color="auto" w:fill="FFFFFF" w:themeFill="background1"/>
            <w:noWrap/>
            <w:vAlign w:val="bottom"/>
          </w:tcPr>
          <w:p>
            <w:pPr>
              <w:rPr>
                <w:rFonts w:hint="default" w:ascii="Arial" w:hAnsi="Arial" w:cs="Arial"/>
                <w:i w:val="0"/>
                <w:iCs w:val="0"/>
                <w:color w:val="000000"/>
                <w:sz w:val="20"/>
                <w:szCs w:val="20"/>
                <w:u w:val="none"/>
              </w:rPr>
            </w:pPr>
          </w:p>
        </w:tc>
        <w:tc>
          <w:tcPr>
            <w:tcW w:w="2219" w:type="dxa"/>
            <w:gridSpan w:val="3"/>
            <w:tcBorders>
              <w:top w:val="nil"/>
              <w:left w:val="nil"/>
              <w:bottom w:val="nil"/>
              <w:right w:val="nil"/>
            </w:tcBorders>
            <w:shd w:val="clear" w:color="auto" w:fill="FFFFFF" w:themeFill="background1"/>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shd w:val="clear" w:color="auto" w:fill="FFFFFF" w:themeFill="background1"/>
          <w:tblCellMar>
            <w:top w:w="0" w:type="dxa"/>
            <w:left w:w="108" w:type="dxa"/>
            <w:bottom w:w="0" w:type="dxa"/>
            <w:right w:w="108" w:type="dxa"/>
          </w:tblCellMar>
        </w:tblPrEx>
        <w:trPr>
          <w:trHeight w:val="308" w:hRule="atLeast"/>
        </w:trPr>
        <w:tc>
          <w:tcPr>
            <w:tcW w:w="5262"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18" w:type="dxa"/>
            <w:gridSpan w:val="4"/>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105"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845"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73"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05" w:type="dxa"/>
            <w:gridSpan w:val="3"/>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254"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2219" w:type="dxa"/>
            <w:gridSpan w:val="3"/>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009" w:type="dxa"/>
            <w:gridSpan w:val="4"/>
            <w:vMerge w:val="restart"/>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18" w:type="dxa"/>
            <w:gridSpan w:val="4"/>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845"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05" w:type="dxa"/>
            <w:gridSpan w:val="3"/>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2219" w:type="dxa"/>
            <w:gridSpan w:val="3"/>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r>
      <w:tr>
        <w:tblPrEx>
          <w:shd w:val="clear" w:color="auto" w:fill="FFFFFF" w:themeFill="background1"/>
          <w:tblCellMar>
            <w:top w:w="0" w:type="dxa"/>
            <w:left w:w="108" w:type="dxa"/>
            <w:bottom w:w="0" w:type="dxa"/>
            <w:right w:w="108" w:type="dxa"/>
          </w:tblCellMar>
        </w:tblPrEx>
        <w:trPr>
          <w:trHeight w:val="308" w:hRule="atLeast"/>
        </w:trPr>
        <w:tc>
          <w:tcPr>
            <w:tcW w:w="1253"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4009" w:type="dxa"/>
            <w:gridSpan w:val="4"/>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hint="eastAsia" w:ascii="宋体" w:hAnsi="宋体" w:eastAsia="宋体" w:cs="宋体"/>
                <w:i w:val="0"/>
                <w:iCs w:val="0"/>
                <w:color w:val="000000"/>
                <w:sz w:val="22"/>
                <w:szCs w:val="22"/>
                <w:u w:val="none"/>
              </w:rPr>
            </w:pPr>
          </w:p>
        </w:tc>
        <w:tc>
          <w:tcPr>
            <w:tcW w:w="1118" w:type="dxa"/>
            <w:gridSpan w:val="4"/>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845"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05" w:type="dxa"/>
            <w:gridSpan w:val="3"/>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2219" w:type="dxa"/>
            <w:gridSpan w:val="3"/>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r>
      <w:tr>
        <w:tblPrEx>
          <w:shd w:val="clear" w:color="auto" w:fill="FFFFFF" w:themeFill="background1"/>
          <w:tblCellMar>
            <w:top w:w="0" w:type="dxa"/>
            <w:left w:w="108" w:type="dxa"/>
            <w:bottom w:w="0" w:type="dxa"/>
            <w:right w:w="108" w:type="dxa"/>
          </w:tblCellMar>
        </w:tblPrEx>
        <w:trPr>
          <w:trHeight w:val="312" w:hRule="atLeast"/>
        </w:trPr>
        <w:tc>
          <w:tcPr>
            <w:tcW w:w="1253"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4009" w:type="dxa"/>
            <w:gridSpan w:val="4"/>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hint="eastAsia" w:ascii="宋体" w:hAnsi="宋体" w:eastAsia="宋体" w:cs="宋体"/>
                <w:i w:val="0"/>
                <w:iCs w:val="0"/>
                <w:color w:val="000000"/>
                <w:sz w:val="22"/>
                <w:szCs w:val="22"/>
                <w:u w:val="none"/>
              </w:rPr>
            </w:pPr>
          </w:p>
        </w:tc>
        <w:tc>
          <w:tcPr>
            <w:tcW w:w="1118" w:type="dxa"/>
            <w:gridSpan w:val="4"/>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845"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7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105" w:type="dxa"/>
            <w:gridSpan w:val="3"/>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2219" w:type="dxa"/>
            <w:gridSpan w:val="3"/>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r>
      <w:tr>
        <w:tblPrEx>
          <w:shd w:val="clear" w:color="auto" w:fill="FFFFFF" w:themeFill="background1"/>
          <w:tblCellMar>
            <w:top w:w="0" w:type="dxa"/>
            <w:left w:w="108" w:type="dxa"/>
            <w:bottom w:w="0" w:type="dxa"/>
            <w:right w:w="108" w:type="dxa"/>
          </w:tblCellMar>
        </w:tblPrEx>
        <w:trPr>
          <w:trHeight w:val="308" w:hRule="atLeast"/>
        </w:trPr>
        <w:tc>
          <w:tcPr>
            <w:tcW w:w="5262" w:type="dxa"/>
            <w:gridSpan w:val="5"/>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18" w:type="dxa"/>
            <w:gridSpan w:val="4"/>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5"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45"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3"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5" w:type="dxa"/>
            <w:gridSpan w:val="3"/>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54"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219" w:type="dxa"/>
            <w:gridSpan w:val="3"/>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shd w:val="clear" w:color="auto" w:fill="FFFFFF" w:themeFill="background1"/>
          <w:tblCellMar>
            <w:top w:w="0" w:type="dxa"/>
            <w:left w:w="108" w:type="dxa"/>
            <w:bottom w:w="0" w:type="dxa"/>
            <w:right w:w="108" w:type="dxa"/>
          </w:tblCellMar>
        </w:tblPrEx>
        <w:trPr>
          <w:trHeight w:val="308" w:hRule="atLeast"/>
        </w:trPr>
        <w:tc>
          <w:tcPr>
            <w:tcW w:w="5262" w:type="dxa"/>
            <w:gridSpan w:val="5"/>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4,553.40</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1,546.80</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3,006.60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4,464.86</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1,458.26</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3,006.60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环境保护管理事务</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1,000.88</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990.79</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2110101</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794.97</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794.97</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2110102</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172.91</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162.82</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2110199</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21102</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环境监测与监察</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2,996.51</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2,996.51</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2110299</w:t>
            </w:r>
          </w:p>
        </w:tc>
        <w:tc>
          <w:tcPr>
            <w:tcW w:w="4009"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其他环境监测与监察支出</w:t>
            </w:r>
          </w:p>
        </w:tc>
        <w:tc>
          <w:tcPr>
            <w:tcW w:w="1118" w:type="dxa"/>
            <w:gridSpan w:val="4"/>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2,996.51</w:t>
            </w:r>
          </w:p>
        </w:tc>
        <w:tc>
          <w:tcPr>
            <w:tcW w:w="110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5"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2,996.51</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nil"/>
              <w:left w:val="single" w:color="000000" w:sz="4" w:space="0"/>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4009" w:type="dxa"/>
            <w:gridSpan w:val="4"/>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1118" w:type="dxa"/>
            <w:gridSpan w:val="4"/>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1105" w:type="dxa"/>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845" w:type="dxa"/>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nil"/>
              <w:left w:val="nil"/>
              <w:bottom w:val="single" w:color="auto"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2110399</w:t>
            </w:r>
          </w:p>
        </w:tc>
        <w:tc>
          <w:tcPr>
            <w:tcW w:w="4009" w:type="dxa"/>
            <w:gridSpan w:val="4"/>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118" w:type="dxa"/>
            <w:gridSpan w:val="4"/>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110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8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w:t>
            </w:r>
          </w:p>
        </w:tc>
        <w:tc>
          <w:tcPr>
            <w:tcW w:w="4009" w:type="dxa"/>
            <w:gridSpan w:val="4"/>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其他节能环保支出</w:t>
            </w:r>
          </w:p>
        </w:tc>
        <w:tc>
          <w:tcPr>
            <w:tcW w:w="1118" w:type="dxa"/>
            <w:gridSpan w:val="4"/>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110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8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25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2119901</w:t>
            </w:r>
          </w:p>
        </w:tc>
        <w:tc>
          <w:tcPr>
            <w:tcW w:w="4009" w:type="dxa"/>
            <w:gridSpan w:val="4"/>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其他节能环保支出</w:t>
            </w:r>
          </w:p>
        </w:tc>
        <w:tc>
          <w:tcPr>
            <w:tcW w:w="1118" w:type="dxa"/>
            <w:gridSpan w:val="4"/>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110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8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5"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219" w:type="dxa"/>
            <w:gridSpan w:val="3"/>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FFFFFF" w:themeFill="background1"/>
          <w:tblCellMar>
            <w:top w:w="0" w:type="dxa"/>
            <w:left w:w="108" w:type="dxa"/>
            <w:bottom w:w="0" w:type="dxa"/>
            <w:right w:w="108" w:type="dxa"/>
          </w:tblCellMar>
        </w:tblPrEx>
        <w:trPr>
          <w:trHeight w:val="308" w:hRule="atLeast"/>
        </w:trPr>
        <w:tc>
          <w:tcPr>
            <w:tcW w:w="14081" w:type="dxa"/>
            <w:gridSpan w:val="19"/>
            <w:tcBorders>
              <w:top w:val="single" w:color="auto" w:sz="4" w:space="0"/>
              <w:left w:val="nil"/>
              <w:bottom w:val="nil"/>
              <w:right w:val="nil"/>
            </w:tcBorders>
            <w:shd w:val="clear" w:color="auto" w:fill="FFFFFF" w:themeFill="background1"/>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jc w:val="center"/>
        <w:rPr>
          <w:rFonts w:ascii="黑体" w:hAnsi="黑体" w:eastAsia="黑体"/>
          <w:sz w:val="28"/>
          <w:szCs w:val="28"/>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8"/>
        <w:tblW w:w="15429" w:type="dxa"/>
        <w:tblInd w:w="93" w:type="dxa"/>
        <w:shd w:val="clear" w:color="auto" w:fill="auto"/>
        <w:tblLayout w:type="fixed"/>
        <w:tblCellMar>
          <w:top w:w="0" w:type="dxa"/>
          <w:left w:w="108" w:type="dxa"/>
          <w:bottom w:w="0" w:type="dxa"/>
          <w:right w:w="108" w:type="dxa"/>
        </w:tblCellMar>
      </w:tblPr>
      <w:tblGrid>
        <w:gridCol w:w="1428"/>
        <w:gridCol w:w="4554"/>
        <w:gridCol w:w="1786"/>
        <w:gridCol w:w="1541"/>
        <w:gridCol w:w="1569"/>
        <w:gridCol w:w="1663"/>
        <w:gridCol w:w="1378"/>
        <w:gridCol w:w="1510"/>
      </w:tblGrid>
      <w:tr>
        <w:tblPrEx>
          <w:shd w:val="clear" w:color="auto" w:fill="auto"/>
          <w:tblCellMar>
            <w:top w:w="0" w:type="dxa"/>
            <w:left w:w="108" w:type="dxa"/>
            <w:bottom w:w="0" w:type="dxa"/>
            <w:right w:w="108" w:type="dxa"/>
          </w:tblCellMar>
        </w:tblPrEx>
        <w:trPr>
          <w:trHeight w:val="390" w:hRule="atLeast"/>
        </w:trPr>
        <w:tc>
          <w:tcPr>
            <w:tcW w:w="15429" w:type="dxa"/>
            <w:gridSpan w:val="8"/>
            <w:tcBorders>
              <w:top w:val="nil"/>
              <w:left w:val="nil"/>
              <w:bottom w:val="nil"/>
              <w:right w:val="nil"/>
            </w:tcBorders>
            <w:shd w:val="clear" w:color="auto" w:fill="auto"/>
            <w:noWrap/>
            <w:vAlign w:val="bottom"/>
          </w:tcPr>
          <w:p>
            <w:pPr>
              <w:jc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30"/>
                <w:szCs w:val="30"/>
                <w:u w:val="none"/>
                <w:lang w:val="en-US" w:eastAsia="zh-CN" w:bidi="ar"/>
              </w:rPr>
              <w:t>支出决算表</w:t>
            </w:r>
          </w:p>
        </w:tc>
      </w:tr>
      <w:tr>
        <w:tblPrEx>
          <w:shd w:val="clear" w:color="auto" w:fill="auto"/>
          <w:tblCellMar>
            <w:top w:w="0" w:type="dxa"/>
            <w:left w:w="108" w:type="dxa"/>
            <w:bottom w:w="0" w:type="dxa"/>
            <w:right w:w="108" w:type="dxa"/>
          </w:tblCellMar>
        </w:tblPrEx>
        <w:trPr>
          <w:trHeight w:val="255" w:hRule="atLeast"/>
        </w:trPr>
        <w:tc>
          <w:tcPr>
            <w:tcW w:w="15429" w:type="dxa"/>
            <w:gridSpan w:val="8"/>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tblPrEx>
          <w:shd w:val="clear" w:color="auto" w:fill="auto"/>
          <w:tblCellMar>
            <w:top w:w="0" w:type="dxa"/>
            <w:left w:w="108" w:type="dxa"/>
            <w:bottom w:w="0" w:type="dxa"/>
            <w:right w:w="108" w:type="dxa"/>
          </w:tblCellMar>
        </w:tblPrEx>
        <w:trPr>
          <w:trHeight w:val="255" w:hRule="atLeast"/>
        </w:trPr>
        <w:tc>
          <w:tcPr>
            <w:tcW w:w="5982" w:type="dxa"/>
            <w:gridSpan w:val="2"/>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部门：岳阳市生态环境局华容分局</w:t>
            </w:r>
          </w:p>
        </w:tc>
        <w:tc>
          <w:tcPr>
            <w:tcW w:w="1786"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41"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569"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1663"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888"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shd w:val="clear" w:color="auto" w:fill="auto"/>
          <w:tblCellMar>
            <w:top w:w="0" w:type="dxa"/>
            <w:left w:w="108" w:type="dxa"/>
            <w:bottom w:w="0" w:type="dxa"/>
            <w:right w:w="108" w:type="dxa"/>
          </w:tblCellMar>
        </w:tblPrEx>
        <w:trPr>
          <w:trHeight w:val="308" w:hRule="atLeast"/>
        </w:trPr>
        <w:tc>
          <w:tcPr>
            <w:tcW w:w="5982"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86"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541"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69"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63"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378"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510"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shd w:val="clear" w:color="auto" w:fill="auto"/>
          <w:tblCellMar>
            <w:top w:w="0" w:type="dxa"/>
            <w:left w:w="108" w:type="dxa"/>
            <w:bottom w:w="0" w:type="dxa"/>
            <w:right w:w="108" w:type="dxa"/>
          </w:tblCellMar>
        </w:tblPrEx>
        <w:trPr>
          <w:trHeight w:val="308" w:hRule="atLeast"/>
        </w:trPr>
        <w:tc>
          <w:tcPr>
            <w:tcW w:w="1428" w:type="dxa"/>
            <w:vMerge w:val="restart"/>
            <w:tcBorders>
              <w:top w:val="nil"/>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4554" w:type="dxa"/>
            <w:vMerge w:val="restart"/>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8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4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69"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66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378"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308" w:hRule="atLeast"/>
        </w:trPr>
        <w:tc>
          <w:tcPr>
            <w:tcW w:w="1428"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4554" w:type="dxa"/>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hint="eastAsia" w:ascii="宋体" w:hAnsi="宋体" w:eastAsia="宋体" w:cs="宋体"/>
                <w:i w:val="0"/>
                <w:iCs w:val="0"/>
                <w:color w:val="000000"/>
                <w:sz w:val="22"/>
                <w:szCs w:val="22"/>
                <w:u w:val="none"/>
              </w:rPr>
            </w:pPr>
          </w:p>
        </w:tc>
        <w:tc>
          <w:tcPr>
            <w:tcW w:w="178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4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69"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66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378"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308" w:hRule="atLeast"/>
        </w:trPr>
        <w:tc>
          <w:tcPr>
            <w:tcW w:w="1428"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4554" w:type="dxa"/>
            <w:vMerge w:val="continue"/>
            <w:tcBorders>
              <w:top w:val="nil"/>
              <w:left w:val="nil"/>
              <w:bottom w:val="single" w:color="000000" w:sz="4" w:space="0"/>
              <w:right w:val="single" w:color="000000" w:sz="4" w:space="0"/>
            </w:tcBorders>
            <w:shd w:val="clear" w:color="auto" w:fill="FFFFFF" w:themeFill="background1"/>
            <w:noWrap/>
            <w:vAlign w:val="center"/>
          </w:tcPr>
          <w:p>
            <w:pPr>
              <w:jc w:val="center"/>
              <w:rPr>
                <w:rFonts w:hint="eastAsia" w:ascii="宋体" w:hAnsi="宋体" w:eastAsia="宋体" w:cs="宋体"/>
                <w:i w:val="0"/>
                <w:iCs w:val="0"/>
                <w:color w:val="000000"/>
                <w:sz w:val="22"/>
                <w:szCs w:val="22"/>
                <w:u w:val="none"/>
              </w:rPr>
            </w:pPr>
          </w:p>
        </w:tc>
        <w:tc>
          <w:tcPr>
            <w:tcW w:w="178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4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69"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663"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378"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c>
          <w:tcPr>
            <w:tcW w:w="151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308" w:hRule="atLeast"/>
        </w:trPr>
        <w:tc>
          <w:tcPr>
            <w:tcW w:w="5982"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86"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41"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69"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63"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78"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10" w:type="dxa"/>
            <w:tcBorders>
              <w:top w:val="nil"/>
              <w:left w:val="nil"/>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shd w:val="clear" w:color="auto" w:fill="auto"/>
          <w:tblCellMar>
            <w:top w:w="0" w:type="dxa"/>
            <w:left w:w="108" w:type="dxa"/>
            <w:bottom w:w="0" w:type="dxa"/>
            <w:right w:w="108" w:type="dxa"/>
          </w:tblCellMar>
        </w:tblPrEx>
        <w:trPr>
          <w:trHeight w:val="308" w:hRule="atLeast"/>
        </w:trPr>
        <w:tc>
          <w:tcPr>
            <w:tcW w:w="5982" w:type="dxa"/>
            <w:gridSpan w:val="2"/>
            <w:tcBorders>
              <w:top w:val="nil"/>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86"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6,761.82</w:t>
            </w:r>
          </w:p>
        </w:tc>
        <w:tc>
          <w:tcPr>
            <w:tcW w:w="1541"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1,071.09</w:t>
            </w:r>
          </w:p>
        </w:tc>
        <w:tc>
          <w:tcPr>
            <w:tcW w:w="1569"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5,690.73</w:t>
            </w:r>
          </w:p>
        </w:tc>
        <w:tc>
          <w:tcPr>
            <w:tcW w:w="1663"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FFFFFF" w:themeFill="background1"/>
            <w:noWrap/>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60.53</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28.01</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6,673.28</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982.55</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5,690.73</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环境保护管理事务</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951.46</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778.55</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172.91</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2110101</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745.55</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745.55</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2110102</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172.91</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172.91</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2110199</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21102</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环境监测与监察</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5,254.35</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5,050.35</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2110299</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其他环境监测与监察支出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5,254.35</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5,050.35</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2110399</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217.47</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其他节能环保支出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42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2119901</w:t>
            </w:r>
          </w:p>
        </w:tc>
        <w:tc>
          <w:tcPr>
            <w:tcW w:w="455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其他节能环保支出</w:t>
            </w:r>
          </w:p>
        </w:tc>
        <w:tc>
          <w:tcPr>
            <w:tcW w:w="17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154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w:t>
            </w:r>
          </w:p>
        </w:tc>
        <w:tc>
          <w:tcPr>
            <w:tcW w:w="16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78"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1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shd w:val="clear" w:color="auto" w:fill="auto"/>
          <w:tblCellMar>
            <w:top w:w="0" w:type="dxa"/>
            <w:left w:w="108" w:type="dxa"/>
            <w:bottom w:w="0" w:type="dxa"/>
            <w:right w:w="108" w:type="dxa"/>
          </w:tblCellMar>
        </w:tblPrEx>
        <w:trPr>
          <w:trHeight w:val="308" w:hRule="atLeast"/>
        </w:trPr>
        <w:tc>
          <w:tcPr>
            <w:tcW w:w="15429"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widowControl/>
        <w:jc w:val="left"/>
        <w:rPr>
          <w:rFonts w:ascii="Times New Roman" w:hAnsi="Times New Roman" w:eastAsia="方正小标宋_GBK" w:cs="Times New Roman"/>
          <w:color w:val="000000"/>
          <w:kern w:val="0"/>
          <w:sz w:val="36"/>
          <w:szCs w:val="21"/>
        </w:rPr>
      </w:pPr>
    </w:p>
    <w:p>
      <w:pPr>
        <w:widowControl/>
        <w:ind w:left="93"/>
        <w:jc w:val="center"/>
        <w:rPr>
          <w:rFonts w:ascii="Times New Roman" w:hAnsi="Times New Roman" w:eastAsia="方正小标宋_GBK" w:cs="Times New Roman"/>
          <w:color w:val="000000"/>
          <w:kern w:val="0"/>
          <w:sz w:val="36"/>
          <w:szCs w:val="21"/>
        </w:rPr>
      </w:pPr>
    </w:p>
    <w:tbl>
      <w:tblPr>
        <w:tblStyle w:val="8"/>
        <w:tblW w:w="15521" w:type="dxa"/>
        <w:tblInd w:w="93" w:type="dxa"/>
        <w:tblLayout w:type="fixed"/>
        <w:tblCellMar>
          <w:top w:w="0" w:type="dxa"/>
          <w:left w:w="108" w:type="dxa"/>
          <w:bottom w:w="0" w:type="dxa"/>
          <w:right w:w="108" w:type="dxa"/>
        </w:tblCellMar>
      </w:tblPr>
      <w:tblGrid>
        <w:gridCol w:w="3555"/>
        <w:gridCol w:w="723"/>
        <w:gridCol w:w="968"/>
        <w:gridCol w:w="3274"/>
        <w:gridCol w:w="632"/>
        <w:gridCol w:w="435"/>
        <w:gridCol w:w="1573"/>
        <w:gridCol w:w="1394"/>
        <w:gridCol w:w="1310"/>
        <w:gridCol w:w="1657"/>
      </w:tblGrid>
      <w:tr>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5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6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06"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1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7"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55" w:type="dxa"/>
            <w:tcBorders>
              <w:top w:val="nil"/>
              <w:left w:val="nil"/>
              <w:bottom w:val="nil"/>
              <w:right w:val="nil"/>
            </w:tcBorders>
            <w:shd w:val="clear" w:color="000000" w:fill="FFFFFF"/>
            <w:noWrap/>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岳阳市生态环境局华容分局</w:t>
            </w:r>
          </w:p>
        </w:tc>
        <w:tc>
          <w:tcPr>
            <w:tcW w:w="72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6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06"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1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7"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24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275"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项    目</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行次</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金额</w:t>
            </w:r>
          </w:p>
        </w:tc>
        <w:tc>
          <w:tcPr>
            <w:tcW w:w="327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一般公共预算财政拨款</w:t>
            </w:r>
          </w:p>
        </w:tc>
        <w:tc>
          <w:tcPr>
            <w:tcW w:w="131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政府性基金预算财政拨款</w:t>
            </w:r>
          </w:p>
        </w:tc>
        <w:tc>
          <w:tcPr>
            <w:tcW w:w="165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国有资本经营预算财政拨款</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栏    次</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1</w:t>
            </w:r>
          </w:p>
        </w:tc>
        <w:tc>
          <w:tcPr>
            <w:tcW w:w="327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3</w:t>
            </w:r>
          </w:p>
        </w:tc>
        <w:tc>
          <w:tcPr>
            <w:tcW w:w="131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4</w:t>
            </w:r>
          </w:p>
        </w:tc>
        <w:tc>
          <w:tcPr>
            <w:tcW w:w="1657"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5</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一、一般公共预算财政拨款</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1</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1546.8</w:t>
            </w: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二、政府性基金预算财政拨款</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2</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三、国有资本经营预算财政拨款</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3</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4</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5</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6</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六、</w:t>
            </w:r>
            <w:r>
              <w:rPr>
                <w:rFonts w:hint="eastAsia" w:ascii="宋体" w:hAnsi="宋体" w:eastAsia="宋体" w:cs="宋体"/>
                <w:kern w:val="0"/>
                <w:sz w:val="22"/>
                <w:lang w:val="en-US" w:eastAsia="zh-CN"/>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60.53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60.53</w:t>
            </w: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7</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28.01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28.01</w:t>
            </w: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8</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八、节能环保支出</w:t>
            </w: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1408.84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r>
              <w:rPr>
                <w:rFonts w:hint="eastAsia" w:ascii="宋体" w:hAnsi="宋体" w:eastAsia="宋体" w:cs="宋体"/>
                <w:kern w:val="0"/>
                <w:sz w:val="22"/>
                <w:lang w:val="en-US" w:eastAsia="zh-CN"/>
              </w:rPr>
              <w:t>1408.84</w:t>
            </w: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1546.8</w:t>
            </w:r>
          </w:p>
        </w:tc>
        <w:tc>
          <w:tcPr>
            <w:tcW w:w="327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1497.38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1497.38</w:t>
            </w:r>
          </w:p>
        </w:tc>
        <w:tc>
          <w:tcPr>
            <w:tcW w:w="13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49.42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49.42</w:t>
            </w:r>
          </w:p>
        </w:tc>
        <w:tc>
          <w:tcPr>
            <w:tcW w:w="13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72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27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5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2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9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1546.8</w:t>
            </w:r>
          </w:p>
        </w:tc>
        <w:tc>
          <w:tcPr>
            <w:tcW w:w="327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1546.8</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1546.8</w:t>
            </w:r>
          </w:p>
        </w:tc>
        <w:tc>
          <w:tcPr>
            <w:tcW w:w="131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2"/>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r>
        <w:rPr>
          <w:rFonts w:hint="eastAsia" w:ascii="华文中宋" w:hAnsi="华文中宋" w:eastAsia="华文中宋" w:cs="宋体"/>
          <w:color w:val="000000"/>
          <w:kern w:val="0"/>
          <w:sz w:val="32"/>
          <w:szCs w:val="32"/>
        </w:rPr>
        <w:t>一般公共预算财政拨款支出决算表</w:t>
      </w:r>
      <w:bookmarkEnd w:id="1"/>
    </w:p>
    <w:p>
      <w:pPr>
        <w:widowControl/>
        <w:spacing w:beforeLines="50"/>
        <w:jc w:val="left"/>
        <w:rPr>
          <w:rFonts w:hint="default" w:ascii="ËÎÌå" w:hAnsi="ËÎÌå" w:eastAsia="ËÎÌå"/>
          <w:color w:val="000000"/>
          <w:sz w:val="22"/>
          <w:szCs w:val="24"/>
        </w:rPr>
      </w:pPr>
      <w:r>
        <w:rPr>
          <w:rFonts w:hint="eastAsia" w:ascii="Times New Roman" w:hAnsi="Times New Roman" w:eastAsia="仿宋_GB2312" w:cs="Times New Roman"/>
          <w:color w:val="000000"/>
          <w:kern w:val="0"/>
          <w:szCs w:val="21"/>
        </w:rPr>
        <w:t xml:space="preserve">     </w:t>
      </w:r>
      <w:r>
        <w:rPr>
          <w:rFonts w:hint="default" w:ascii="ËÎÌå" w:hAnsi="ËÎÌå" w:eastAsia="ËÎÌå"/>
          <w:color w:val="000000"/>
          <w:sz w:val="22"/>
          <w:szCs w:val="24"/>
        </w:rPr>
        <w:t xml:space="preserve">部门：    </w:t>
      </w:r>
      <w:r>
        <w:rPr>
          <w:rFonts w:hint="eastAsia" w:ascii="ËÎÌå" w:hAnsi="ËÎÌå" w:eastAsia="ËÎÌå"/>
          <w:color w:val="000000"/>
          <w:sz w:val="22"/>
          <w:szCs w:val="24"/>
        </w:rPr>
        <w:t>岳阳市生态环境局华容分局</w:t>
      </w:r>
      <w:r>
        <w:rPr>
          <w:rFonts w:hint="default" w:ascii="ËÎÌå" w:hAnsi="ËÎÌå" w:eastAsia="ËÎÌå"/>
          <w:color w:val="000000"/>
          <w:sz w:val="22"/>
          <w:szCs w:val="24"/>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default" w:ascii="ËÎÌå" w:hAnsi="ËÎÌå" w:eastAsia="ËÎÌå"/>
          <w:color w:val="000000"/>
          <w:sz w:val="22"/>
          <w:szCs w:val="24"/>
        </w:rPr>
        <w:t>公开05表</w:t>
      </w:r>
    </w:p>
    <w:p>
      <w:pPr>
        <w:widowControl/>
        <w:spacing w:beforeLines="50"/>
        <w:jc w:val="left"/>
        <w:rPr>
          <w:rFonts w:hint="default" w:ascii="ËÎÌå" w:hAnsi="ËÎÌå" w:eastAsia="ËÎÌå"/>
          <w:color w:val="000000"/>
          <w:sz w:val="22"/>
          <w:szCs w:val="24"/>
        </w:rPr>
      </w:pPr>
      <w:r>
        <w:rPr>
          <w:rFonts w:hint="default" w:ascii="ËÎÌå" w:hAnsi="ËÎÌå" w:eastAsia="ËÎÌå"/>
          <w:color w:val="000000"/>
          <w:sz w:val="22"/>
          <w:szCs w:val="24"/>
        </w:rPr>
        <w:t xml:space="preserve">                                                                                                                     </w:t>
      </w:r>
      <w:r>
        <w:rPr>
          <w:rFonts w:hint="eastAsia" w:ascii="ËÎÌå" w:hAnsi="ËÎÌå" w:eastAsia="ËÎÌå"/>
          <w:color w:val="000000"/>
          <w:sz w:val="22"/>
          <w:szCs w:val="24"/>
        </w:rPr>
        <w:t xml:space="preserve">      </w:t>
      </w:r>
      <w:r>
        <w:rPr>
          <w:rFonts w:hint="default" w:ascii="ËÎÌå" w:hAnsi="ËÎÌå" w:eastAsia="ËÎÌå"/>
          <w:color w:val="000000"/>
          <w:sz w:val="22"/>
          <w:szCs w:val="24"/>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4124"/>
        <w:gridCol w:w="2031"/>
        <w:gridCol w:w="3369"/>
        <w:gridCol w:w="3495"/>
      </w:tblGrid>
      <w:tr>
        <w:tblPrEx>
          <w:tblCellMar>
            <w:top w:w="0" w:type="dxa"/>
            <w:left w:w="108" w:type="dxa"/>
            <w:bottom w:w="0" w:type="dxa"/>
            <w:right w:w="108" w:type="dxa"/>
          </w:tblCellMar>
        </w:tblPrEx>
        <w:trPr>
          <w:trHeight w:val="405" w:hRule="atLeast"/>
          <w:jc w:val="center"/>
        </w:trPr>
        <w:tc>
          <w:tcPr>
            <w:tcW w:w="5324"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项    目</w:t>
            </w:r>
          </w:p>
        </w:tc>
        <w:tc>
          <w:tcPr>
            <w:tcW w:w="8895" w:type="dxa"/>
            <w:gridSpan w:val="3"/>
            <w:tcBorders>
              <w:top w:val="single" w:color="auto" w:sz="8" w:space="0"/>
              <w:left w:val="nil"/>
              <w:bottom w:val="single" w:color="auto" w:sz="4" w:space="0"/>
              <w:right w:val="single" w:color="000000" w:sz="8"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功能分类科目编码</w:t>
            </w:r>
          </w:p>
        </w:tc>
        <w:tc>
          <w:tcPr>
            <w:tcW w:w="4124" w:type="dxa"/>
            <w:vMerge w:val="restart"/>
            <w:tcBorders>
              <w:top w:val="nil"/>
              <w:left w:val="single" w:color="auto" w:sz="4" w:space="0"/>
              <w:bottom w:val="single" w:color="auto" w:sz="4" w:space="0"/>
              <w:right w:val="single" w:color="auto" w:sz="4"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科目名称</w:t>
            </w:r>
          </w:p>
        </w:tc>
        <w:tc>
          <w:tcPr>
            <w:tcW w:w="2031" w:type="dxa"/>
            <w:vMerge w:val="restart"/>
            <w:tcBorders>
              <w:top w:val="nil"/>
              <w:left w:val="single" w:color="auto" w:sz="4" w:space="0"/>
              <w:bottom w:val="single" w:color="000000" w:sz="4" w:space="0"/>
              <w:right w:val="single" w:color="auto" w:sz="4"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小计</w:t>
            </w:r>
          </w:p>
        </w:tc>
        <w:tc>
          <w:tcPr>
            <w:tcW w:w="3369" w:type="dxa"/>
            <w:vMerge w:val="restart"/>
            <w:tcBorders>
              <w:top w:val="nil"/>
              <w:left w:val="single" w:color="auto" w:sz="4" w:space="0"/>
              <w:bottom w:val="single" w:color="000000" w:sz="4" w:space="0"/>
              <w:right w:val="single" w:color="auto" w:sz="4"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基本支出</w:t>
            </w:r>
          </w:p>
        </w:tc>
        <w:tc>
          <w:tcPr>
            <w:tcW w:w="3495" w:type="dxa"/>
            <w:vMerge w:val="restart"/>
            <w:tcBorders>
              <w:top w:val="nil"/>
              <w:left w:val="single" w:color="auto" w:sz="4" w:space="0"/>
              <w:bottom w:val="single" w:color="000000" w:sz="4" w:space="0"/>
              <w:right w:val="single" w:color="auto" w:sz="8"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124"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031"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369"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5"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124"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031"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369"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5"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53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栏次</w:t>
            </w:r>
          </w:p>
        </w:tc>
        <w:tc>
          <w:tcPr>
            <w:tcW w:w="20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36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495"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53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spacing w:beforeLines="0" w:afterLines="0"/>
              <w:jc w:val="center"/>
              <w:rPr>
                <w:rFonts w:hint="default" w:ascii="ËÎÌå" w:hAnsi="ËÎÌå" w:eastAsia="ËÎÌå"/>
                <w:color w:val="000000"/>
                <w:sz w:val="22"/>
                <w:szCs w:val="24"/>
              </w:rPr>
            </w:pPr>
            <w:r>
              <w:rPr>
                <w:rFonts w:hint="default" w:ascii="ËÎÌå" w:hAnsi="ËÎÌå" w:eastAsia="ËÎÌå"/>
                <w:color w:val="000000"/>
                <w:sz w:val="22"/>
                <w:szCs w:val="24"/>
              </w:rPr>
              <w:t>合计</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1,497.38</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867.09</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630.29</w:t>
            </w:r>
          </w:p>
        </w:tc>
      </w:tr>
      <w:tr>
        <w:tblPrEx>
          <w:tblCellMar>
            <w:top w:w="0" w:type="dxa"/>
            <w:left w:w="108" w:type="dxa"/>
            <w:bottom w:w="0" w:type="dxa"/>
            <w:right w:w="108" w:type="dxa"/>
          </w:tblCellMar>
        </w:tblPrEx>
        <w:trPr>
          <w:trHeight w:val="32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社会保障和就业支出</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60.53</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60.53</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20805</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行政事业单位养老支出</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60.53</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60.53</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324"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2080505</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机关事业单位基本养老保险缴费支出</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60.53</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60.53</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卫生健康支出</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28.01</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28.01</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21011</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行政事业单位医疗</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28.01</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28.01</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2101101</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行政单位医疗</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28.01</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28.01</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3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节能环保支出</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1,408.84</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778.55</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630.29</w:t>
            </w:r>
          </w:p>
        </w:tc>
      </w:tr>
      <w:tr>
        <w:tblPrEx>
          <w:tblCellMar>
            <w:top w:w="0" w:type="dxa"/>
            <w:left w:w="108" w:type="dxa"/>
            <w:bottom w:w="0" w:type="dxa"/>
            <w:right w:w="108" w:type="dxa"/>
          </w:tblCellMar>
        </w:tblPrEx>
        <w:trPr>
          <w:trHeight w:val="32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环境保护管理事务</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941.37</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778.55</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162.82</w:t>
            </w:r>
          </w:p>
        </w:tc>
      </w:tr>
      <w:tr>
        <w:tblPrEx>
          <w:tblCellMar>
            <w:top w:w="0" w:type="dxa"/>
            <w:left w:w="108" w:type="dxa"/>
            <w:bottom w:w="0" w:type="dxa"/>
            <w:right w:w="108" w:type="dxa"/>
          </w:tblCellMar>
        </w:tblPrEx>
        <w:trPr>
          <w:trHeight w:val="341"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2110101</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745.55</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745.55</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4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2110102</w:t>
            </w:r>
          </w:p>
        </w:tc>
        <w:tc>
          <w:tcPr>
            <w:tcW w:w="4124" w:type="dxa"/>
            <w:tcBorders>
              <w:top w:val="nil"/>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2031"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162.82</w:t>
            </w:r>
          </w:p>
        </w:tc>
        <w:tc>
          <w:tcPr>
            <w:tcW w:w="3369" w:type="dxa"/>
            <w:tcBorders>
              <w:top w:val="nil"/>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c>
          <w:tcPr>
            <w:tcW w:w="3495" w:type="dxa"/>
            <w:tcBorders>
              <w:top w:val="nil"/>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162.82</w:t>
            </w:r>
          </w:p>
        </w:tc>
      </w:tr>
      <w:tr>
        <w:tblPrEx>
          <w:tblCellMar>
            <w:top w:w="0" w:type="dxa"/>
            <w:left w:w="108" w:type="dxa"/>
            <w:bottom w:w="0" w:type="dxa"/>
            <w:right w:w="108" w:type="dxa"/>
          </w:tblCellMar>
        </w:tblPrEx>
        <w:trPr>
          <w:trHeight w:val="29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2110199</w:t>
            </w:r>
          </w:p>
        </w:tc>
        <w:tc>
          <w:tcPr>
            <w:tcW w:w="4124"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其他环境保护管理事务支出</w:t>
            </w:r>
          </w:p>
        </w:tc>
        <w:tc>
          <w:tcPr>
            <w:tcW w:w="2031"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33.00</w:t>
            </w:r>
          </w:p>
        </w:tc>
        <w:tc>
          <w:tcPr>
            <w:tcW w:w="3369"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33.00</w:t>
            </w:r>
          </w:p>
        </w:tc>
        <w:tc>
          <w:tcPr>
            <w:tcW w:w="3495"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31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w:t>
            </w:r>
          </w:p>
        </w:tc>
        <w:tc>
          <w:tcPr>
            <w:tcW w:w="4124"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污染防治</w:t>
            </w:r>
          </w:p>
        </w:tc>
        <w:tc>
          <w:tcPr>
            <w:tcW w:w="2031"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217.47</w:t>
            </w:r>
          </w:p>
        </w:tc>
        <w:tc>
          <w:tcPr>
            <w:tcW w:w="3369"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c>
          <w:tcPr>
            <w:tcW w:w="3495"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217.47</w:t>
            </w:r>
          </w:p>
        </w:tc>
      </w:tr>
      <w:tr>
        <w:tblPrEx>
          <w:tblCellMar>
            <w:top w:w="0" w:type="dxa"/>
            <w:left w:w="108" w:type="dxa"/>
            <w:bottom w:w="0" w:type="dxa"/>
            <w:right w:w="108" w:type="dxa"/>
          </w:tblCellMar>
        </w:tblPrEx>
        <w:trPr>
          <w:trHeight w:val="304"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2110399</w:t>
            </w:r>
          </w:p>
        </w:tc>
        <w:tc>
          <w:tcPr>
            <w:tcW w:w="4124" w:type="dxa"/>
            <w:tcBorders>
              <w:top w:val="single" w:color="auto" w:sz="4" w:space="0"/>
              <w:left w:val="nil"/>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其他污染防治支出</w:t>
            </w:r>
          </w:p>
        </w:tc>
        <w:tc>
          <w:tcPr>
            <w:tcW w:w="2031" w:type="dxa"/>
            <w:tcBorders>
              <w:top w:val="single" w:color="auto" w:sz="4" w:space="0"/>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217.47</w:t>
            </w:r>
          </w:p>
        </w:tc>
        <w:tc>
          <w:tcPr>
            <w:tcW w:w="3369" w:type="dxa"/>
            <w:tcBorders>
              <w:top w:val="single" w:color="auto" w:sz="4" w:space="0"/>
              <w:left w:val="nil"/>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c>
          <w:tcPr>
            <w:tcW w:w="3495" w:type="dxa"/>
            <w:tcBorders>
              <w:top w:val="single" w:color="auto" w:sz="4" w:space="0"/>
              <w:left w:val="nil"/>
              <w:bottom w:val="single" w:color="auto" w:sz="4" w:space="0"/>
              <w:right w:val="single" w:color="auto" w:sz="8"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217.47</w:t>
            </w:r>
          </w:p>
        </w:tc>
      </w:tr>
      <w:tr>
        <w:tblPrEx>
          <w:tblCellMar>
            <w:top w:w="0" w:type="dxa"/>
            <w:left w:w="108" w:type="dxa"/>
            <w:bottom w:w="0" w:type="dxa"/>
            <w:right w:w="108" w:type="dxa"/>
          </w:tblCellMar>
        </w:tblPrEx>
        <w:trPr>
          <w:trHeight w:val="263"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21199</w:t>
            </w:r>
          </w:p>
        </w:tc>
        <w:tc>
          <w:tcPr>
            <w:tcW w:w="4124"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其他节能环保支出</w:t>
            </w:r>
          </w:p>
        </w:tc>
        <w:tc>
          <w:tcPr>
            <w:tcW w:w="2031"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250.00</w:t>
            </w:r>
          </w:p>
        </w:tc>
        <w:tc>
          <w:tcPr>
            <w:tcW w:w="3369"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c>
          <w:tcPr>
            <w:tcW w:w="3495"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250.00</w:t>
            </w:r>
          </w:p>
        </w:tc>
      </w:tr>
      <w:tr>
        <w:tblPrEx>
          <w:tblCellMar>
            <w:top w:w="0" w:type="dxa"/>
            <w:left w:w="108" w:type="dxa"/>
            <w:bottom w:w="0" w:type="dxa"/>
            <w:right w:w="108" w:type="dxa"/>
          </w:tblCellMar>
        </w:tblPrEx>
        <w:trPr>
          <w:trHeight w:val="31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2119901</w:t>
            </w:r>
          </w:p>
        </w:tc>
        <w:tc>
          <w:tcPr>
            <w:tcW w:w="4124"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其他节能环保支出</w:t>
            </w:r>
          </w:p>
        </w:tc>
        <w:tc>
          <w:tcPr>
            <w:tcW w:w="2031"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250.00</w:t>
            </w:r>
          </w:p>
        </w:tc>
        <w:tc>
          <w:tcPr>
            <w:tcW w:w="3369"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0.00</w:t>
            </w:r>
          </w:p>
        </w:tc>
        <w:tc>
          <w:tcPr>
            <w:tcW w:w="3495" w:type="dxa"/>
            <w:tcBorders>
              <w:top w:val="single" w:color="auto" w:sz="4" w:space="0"/>
              <w:left w:val="single" w:color="auto" w:sz="4" w:space="0"/>
              <w:bottom w:val="single" w:color="auto" w:sz="4" w:space="0"/>
              <w:right w:val="single" w:color="auto" w:sz="4" w:space="0"/>
            </w:tcBorders>
            <w:shd w:val="clear" w:color="auto" w:fill="auto"/>
            <w:vAlign w:val="top"/>
          </w:tcPr>
          <w:p>
            <w:pPr>
              <w:spacing w:beforeLines="0" w:afterLines="0"/>
              <w:jc w:val="center"/>
              <w:rPr>
                <w:rFonts w:hint="default" w:ascii="ËÎÌå" w:hAnsi="ËÎÌå" w:eastAsia="ËÎÌå"/>
                <w:color w:val="000000"/>
                <w:sz w:val="22"/>
                <w:szCs w:val="24"/>
                <w:lang w:val="en-US" w:eastAsia="zh-CN"/>
              </w:rPr>
            </w:pPr>
            <w:r>
              <w:rPr>
                <w:rFonts w:hint="default" w:ascii="ËÎÌå" w:hAnsi="ËÎÌå" w:eastAsia="ËÎÌå"/>
                <w:color w:val="000000"/>
                <w:sz w:val="22"/>
                <w:szCs w:val="24"/>
              </w:rPr>
              <w:t>250.00</w:t>
            </w:r>
          </w:p>
        </w:tc>
      </w:tr>
      <w:tr>
        <w:tblPrEx>
          <w:tblCellMar>
            <w:top w:w="0" w:type="dxa"/>
            <w:left w:w="108" w:type="dxa"/>
            <w:bottom w:w="0" w:type="dxa"/>
            <w:right w:w="108" w:type="dxa"/>
          </w:tblCellMar>
        </w:tblPrEx>
        <w:trPr>
          <w:trHeight w:val="645" w:hRule="atLeast"/>
          <w:jc w:val="center"/>
        </w:trPr>
        <w:tc>
          <w:tcPr>
            <w:tcW w:w="14219" w:type="dxa"/>
            <w:gridSpan w:val="5"/>
            <w:tcBorders>
              <w:top w:val="single" w:color="auto" w:sz="4" w:space="0"/>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hint="default" w:ascii="ËÎÌå" w:hAnsi="ËÎÌå" w:eastAsia="ËÎÌå"/>
                <w:color w:val="000000"/>
                <w:sz w:val="22"/>
                <w:szCs w:val="24"/>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15682" w:type="dxa"/>
        <w:tblInd w:w="0" w:type="dxa"/>
        <w:tblLayout w:type="fixed"/>
        <w:tblCellMar>
          <w:top w:w="0" w:type="dxa"/>
          <w:left w:w="108" w:type="dxa"/>
          <w:bottom w:w="0" w:type="dxa"/>
          <w:right w:w="108" w:type="dxa"/>
        </w:tblCellMar>
      </w:tblPr>
      <w:tblGrid>
        <w:gridCol w:w="1271"/>
        <w:gridCol w:w="3181"/>
        <w:gridCol w:w="969"/>
        <w:gridCol w:w="1003"/>
        <w:gridCol w:w="2290"/>
        <w:gridCol w:w="961"/>
        <w:gridCol w:w="859"/>
        <w:gridCol w:w="3546"/>
        <w:gridCol w:w="1602"/>
      </w:tblGrid>
      <w:tr>
        <w:tblPrEx>
          <w:tblCellMar>
            <w:top w:w="0" w:type="dxa"/>
            <w:left w:w="108" w:type="dxa"/>
            <w:bottom w:w="0" w:type="dxa"/>
            <w:right w:w="108" w:type="dxa"/>
          </w:tblCellMar>
        </w:tblPrEx>
        <w:trPr>
          <w:trHeight w:val="989" w:hRule="atLeast"/>
        </w:trPr>
        <w:tc>
          <w:tcPr>
            <w:tcW w:w="15682" w:type="dxa"/>
            <w:gridSpan w:val="9"/>
            <w:tcBorders>
              <w:top w:val="nil"/>
              <w:left w:val="nil"/>
              <w:bottom w:val="nil"/>
              <w:right w:val="nil"/>
            </w:tcBorders>
            <w:shd w:val="clear" w:color="auto" w:fill="auto"/>
            <w:noWrap/>
            <w:vAlign w:val="center"/>
          </w:tcPr>
          <w:p>
            <w:pPr>
              <w:widowControl/>
              <w:jc w:val="center"/>
              <w:rPr>
                <w:rFonts w:hint="eastAsia" w:ascii="华文中宋" w:hAnsi="华文中宋" w:eastAsia="华文中宋" w:cs="宋体"/>
                <w:color w:val="000000"/>
                <w:kern w:val="0"/>
                <w:sz w:val="24"/>
                <w:szCs w:val="24"/>
              </w:rPr>
            </w:pPr>
            <w:bookmarkStart w:id="2" w:name="RANGE!A1:I34"/>
            <w:r>
              <w:rPr>
                <w:rFonts w:hint="eastAsia" w:ascii="华文中宋" w:hAnsi="华文中宋" w:eastAsia="华文中宋" w:cs="宋体"/>
                <w:color w:val="000000"/>
                <w:kern w:val="0"/>
                <w:sz w:val="24"/>
                <w:szCs w:val="24"/>
              </w:rPr>
              <w:t>一般公共预算财政拨款基本支出决算表</w:t>
            </w:r>
            <w:bookmarkEnd w:id="2"/>
          </w:p>
          <w:p>
            <w:pPr>
              <w:widowControl/>
              <w:wordWrap w:val="0"/>
              <w:jc w:val="both"/>
              <w:rPr>
                <w:rFonts w:hint="eastAsia" w:ascii="宋体" w:hAnsi="宋体" w:eastAsia="宋体" w:cs="宋体"/>
                <w:color w:val="000000"/>
                <w:kern w:val="0"/>
                <w:szCs w:val="20"/>
              </w:rPr>
            </w:pPr>
            <w:r>
              <w:rPr>
                <w:rFonts w:hint="eastAsia" w:ascii="Times New Roman" w:hAnsi="Times New Roman" w:eastAsia="仿宋_GB2312" w:cs="Times New Roman"/>
                <w:color w:val="000000"/>
                <w:kern w:val="0"/>
                <w:szCs w:val="21"/>
              </w:rPr>
              <w:t xml:space="preserve"> </w:t>
            </w:r>
            <w:r>
              <w:rPr>
                <w:rFonts w:hint="eastAsia" w:ascii="宋体" w:hAnsi="宋体" w:eastAsia="宋体" w:cs="宋体"/>
                <w:color w:val="000000"/>
                <w:kern w:val="0"/>
                <w:szCs w:val="20"/>
              </w:rPr>
              <w:t xml:space="preserve">部门：  岳阳市生态环境局华容分局                                                                                                </w:t>
            </w:r>
            <w:r>
              <w:rPr>
                <w:rFonts w:hint="eastAsia" w:ascii="宋体" w:hAnsi="宋体" w:eastAsia="宋体" w:cs="宋体"/>
                <w:color w:val="000000"/>
                <w:kern w:val="0"/>
                <w:szCs w:val="20"/>
                <w:lang w:val="en-US" w:eastAsia="zh-CN"/>
              </w:rPr>
              <w:t xml:space="preserve">       </w:t>
            </w:r>
            <w:r>
              <w:rPr>
                <w:rFonts w:hint="eastAsia" w:ascii="宋体" w:hAnsi="宋体" w:eastAsia="宋体" w:cs="宋体"/>
                <w:color w:val="000000"/>
                <w:kern w:val="0"/>
                <w:szCs w:val="20"/>
              </w:rPr>
              <w:t>公开06表</w:t>
            </w:r>
          </w:p>
          <w:p>
            <w:pPr>
              <w:widowControl/>
              <w:wordWrap w:val="0"/>
              <w:ind w:firstLine="14280" w:firstLineChars="6800"/>
              <w:jc w:val="both"/>
              <w:rPr>
                <w:rFonts w:ascii="华文中宋" w:hAnsi="华文中宋" w:eastAsia="华文中宋" w:cs="宋体"/>
                <w:color w:val="000000"/>
                <w:kern w:val="0"/>
                <w:szCs w:val="32"/>
              </w:rPr>
            </w:pPr>
            <w:r>
              <w:rPr>
                <w:rFonts w:hint="eastAsia" w:ascii="宋体" w:hAnsi="宋体" w:eastAsia="宋体" w:cs="宋体"/>
                <w:color w:val="000000"/>
                <w:kern w:val="0"/>
                <w:szCs w:val="20"/>
              </w:rPr>
              <w:t>单位：万元</w:t>
            </w:r>
          </w:p>
        </w:tc>
      </w:tr>
      <w:tr>
        <w:tblPrEx>
          <w:tblCellMar>
            <w:top w:w="0" w:type="dxa"/>
            <w:left w:w="108" w:type="dxa"/>
            <w:bottom w:w="0" w:type="dxa"/>
            <w:right w:w="108" w:type="dxa"/>
          </w:tblCellMar>
        </w:tblPrEx>
        <w:trPr>
          <w:trHeight w:val="113"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8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5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6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627.11</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195.99</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245.49</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10.15</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145.60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4.94</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94.00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0.81</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59.67</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5.78</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1.06</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71.14</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7.06</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9.69</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0.41</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1.25</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32.87</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宋体" w:cstheme="minorBidi"/>
                <w:color w:val="000000"/>
                <w:kern w:val="2"/>
                <w:sz w:val="22"/>
                <w:szCs w:val="24"/>
                <w:lang w:val="en-US" w:eastAsia="zh-CN" w:bidi="ar-SA"/>
              </w:rPr>
            </w:pPr>
            <w:r>
              <w:rPr>
                <w:rFonts w:hint="default" w:ascii="ËÎÌå" w:hAnsi="ËÎÌå" w:eastAsia="ËÎÌå"/>
                <w:color w:val="000000"/>
                <w:sz w:val="22"/>
                <w:szCs w:val="24"/>
              </w:rPr>
              <w:t>2.</w:t>
            </w:r>
            <w:r>
              <w:rPr>
                <w:rFonts w:hint="eastAsia" w:ascii="ËÎÌå" w:hAnsi="ËÎÌå" w:eastAsia="宋体"/>
                <w:color w:val="000000"/>
                <w:sz w:val="22"/>
                <w:szCs w:val="24"/>
                <w:lang w:val="en-US" w:eastAsia="zh-CN"/>
              </w:rPr>
              <w:t>50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0.19</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43.99</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0.19</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3.52</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23.84</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0.18</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0.17</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9.98</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2.84</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602"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44.22</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6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6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27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8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69"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default" w:ascii="ËÎÌå" w:hAnsi="ËÎÌå" w:eastAsia="ËÎÌå" w:cstheme="minorBidi"/>
                <w:color w:val="000000"/>
                <w:kern w:val="2"/>
                <w:sz w:val="22"/>
                <w:szCs w:val="24"/>
                <w:lang w:val="en-US" w:eastAsia="zh-CN" w:bidi="ar-SA"/>
              </w:rPr>
            </w:pPr>
          </w:p>
        </w:tc>
        <w:tc>
          <w:tcPr>
            <w:tcW w:w="100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61" w:type="dxa"/>
            <w:tcBorders>
              <w:top w:val="nil"/>
              <w:left w:val="nil"/>
              <w:bottom w:val="single" w:color="auto" w:sz="4" w:space="0"/>
              <w:right w:val="single" w:color="auto" w:sz="4" w:space="0"/>
            </w:tcBorders>
            <w:shd w:val="clear" w:color="auto" w:fill="auto"/>
            <w:noWrap/>
            <w:vAlign w:val="top"/>
          </w:tcPr>
          <w:p>
            <w:pPr>
              <w:spacing w:beforeLines="0" w:afterLines="0"/>
              <w:jc w:val="right"/>
              <w:rPr>
                <w:rFonts w:hint="eastAsia" w:ascii="ËÎÌå" w:hAnsi="ËÎÌå" w:eastAsia="宋体" w:cstheme="minorBidi"/>
                <w:color w:val="000000"/>
                <w:kern w:val="2"/>
                <w:sz w:val="22"/>
                <w:szCs w:val="24"/>
                <w:lang w:val="en-US" w:eastAsia="zh-CN" w:bidi="ar-SA"/>
              </w:rPr>
            </w:pPr>
            <w:r>
              <w:rPr>
                <w:rFonts w:hint="default" w:ascii="ËÎÌå" w:hAnsi="ËÎÌå" w:eastAsia="ËÎÌå"/>
                <w:color w:val="000000"/>
                <w:sz w:val="22"/>
                <w:szCs w:val="24"/>
              </w:rPr>
              <w:t>49.5</w:t>
            </w:r>
            <w:r>
              <w:rPr>
                <w:rFonts w:hint="eastAsia" w:ascii="ËÎÌå" w:hAnsi="ËÎÌå" w:eastAsia="宋体"/>
                <w:color w:val="000000"/>
                <w:sz w:val="22"/>
                <w:szCs w:val="24"/>
                <w:lang w:val="en-US" w:eastAsia="zh-CN"/>
              </w:rPr>
              <w:t>4</w:t>
            </w:r>
          </w:p>
        </w:tc>
        <w:tc>
          <w:tcPr>
            <w:tcW w:w="85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4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602" w:type="dxa"/>
            <w:tcBorders>
              <w:top w:val="nil"/>
              <w:left w:val="nil"/>
              <w:bottom w:val="single" w:color="auto" w:sz="4" w:space="0"/>
              <w:right w:val="single" w:color="auto" w:sz="4" w:space="0"/>
            </w:tcBorders>
            <w:shd w:val="clear" w:color="auto" w:fill="auto"/>
            <w:noWrap/>
            <w:vAlign w:val="center"/>
          </w:tcPr>
          <w:p>
            <w:pPr>
              <w:widowControl/>
              <w:tabs>
                <w:tab w:val="left" w:pos="429"/>
              </w:tabs>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eastAsia="zh-CN"/>
              </w:rPr>
              <w:tab/>
            </w:r>
            <w:r>
              <w:rPr>
                <w:rFonts w:hint="eastAsia" w:ascii="宋体" w:hAnsi="宋体" w:eastAsia="宋体" w:cs="宋体"/>
                <w:color w:val="000000"/>
                <w:kern w:val="0"/>
                <w:szCs w:val="20"/>
                <w:lang w:val="en-US" w:eastAsia="zh-CN"/>
              </w:rPr>
              <w:t>195.99</w:t>
            </w:r>
          </w:p>
        </w:tc>
      </w:tr>
      <w:tr>
        <w:tblPrEx>
          <w:tblCellMar>
            <w:top w:w="0" w:type="dxa"/>
            <w:left w:w="108" w:type="dxa"/>
            <w:bottom w:w="0" w:type="dxa"/>
            <w:right w:w="108" w:type="dxa"/>
          </w:tblCellMar>
        </w:tblPrEx>
        <w:trPr>
          <w:trHeight w:val="284" w:hRule="exact"/>
        </w:trPr>
        <w:tc>
          <w:tcPr>
            <w:tcW w:w="445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69"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671.10</w:t>
            </w:r>
          </w:p>
        </w:tc>
        <w:tc>
          <w:tcPr>
            <w:tcW w:w="8659" w:type="dxa"/>
            <w:gridSpan w:val="5"/>
            <w:tcBorders>
              <w:top w:val="single" w:color="auto" w:sz="4" w:space="0"/>
              <w:left w:val="nil"/>
              <w:bottom w:val="single" w:color="auto" w:sz="4" w:space="0"/>
              <w:right w:val="single" w:color="auto" w:sz="4" w:space="0"/>
            </w:tcBorders>
            <w:shd w:val="clear" w:color="auto" w:fill="auto"/>
            <w:noWrap/>
            <w:vAlign w:val="top"/>
          </w:tcPr>
          <w:p>
            <w:pPr>
              <w:spacing w:beforeLines="0" w:afterLines="0"/>
              <w:ind w:firstLine="3300" w:firstLineChars="1500"/>
              <w:jc w:val="both"/>
              <w:rPr>
                <w:rFonts w:hint="default" w:ascii="ËÎÌå" w:hAnsi="ËÎÌå" w:eastAsia="ËÎÌå" w:cstheme="minorBidi"/>
                <w:color w:val="000000"/>
                <w:kern w:val="2"/>
                <w:sz w:val="22"/>
                <w:szCs w:val="24"/>
                <w:lang w:val="en-US" w:eastAsia="zh-CN" w:bidi="ar-SA"/>
              </w:rPr>
            </w:pPr>
            <w:r>
              <w:rPr>
                <w:rFonts w:hint="default" w:ascii="ËÎÌå" w:hAnsi="ËÎÌå" w:eastAsia="ËÎÌå" w:cstheme="minorBidi"/>
                <w:color w:val="000000"/>
                <w:kern w:val="2"/>
                <w:sz w:val="22"/>
                <w:szCs w:val="24"/>
                <w:lang w:val="en-US" w:eastAsia="zh-CN" w:bidi="ar-SA"/>
              </w:rPr>
              <w:t>公用经费合计</w:t>
            </w:r>
          </w:p>
        </w:tc>
        <w:tc>
          <w:tcPr>
            <w:tcW w:w="160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195.99</w:t>
            </w:r>
          </w:p>
        </w:tc>
      </w:tr>
      <w:tr>
        <w:tblPrEx>
          <w:tblCellMar>
            <w:top w:w="0" w:type="dxa"/>
            <w:left w:w="108" w:type="dxa"/>
            <w:bottom w:w="0" w:type="dxa"/>
            <w:right w:w="108" w:type="dxa"/>
          </w:tblCellMar>
        </w:tblPrEx>
        <w:trPr>
          <w:trHeight w:val="284" w:hRule="exact"/>
        </w:trPr>
        <w:tc>
          <w:tcPr>
            <w:tcW w:w="15682" w:type="dxa"/>
            <w:gridSpan w:val="9"/>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pPr>
        <w:widowControl/>
        <w:jc w:val="center"/>
        <w:rPr>
          <w:rFonts w:hint="eastAsia" w:ascii="华文中宋" w:hAnsi="华文中宋" w:eastAsia="华文中宋" w:cs="宋体"/>
          <w:color w:val="000000"/>
          <w:kern w:val="0"/>
          <w:sz w:val="32"/>
          <w:szCs w:val="32"/>
        </w:rPr>
      </w:pPr>
    </w:p>
    <w:p>
      <w:pPr>
        <w:widowControl/>
        <w:jc w:val="center"/>
        <w:rPr>
          <w:rFonts w:hint="eastAsia" w:ascii="华文中宋" w:hAnsi="华文中宋" w:eastAsia="华文中宋" w:cs="宋体"/>
          <w:color w:val="000000"/>
          <w:kern w:val="0"/>
          <w:sz w:val="32"/>
          <w:szCs w:val="32"/>
        </w:rPr>
      </w:pPr>
    </w:p>
    <w:p>
      <w:pPr>
        <w:widowControl/>
        <w:jc w:val="center"/>
        <w:rPr>
          <w:rFonts w:hint="eastAsia"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一般公共预算财政拨款“三公”经费支出决算表</w:t>
      </w:r>
    </w:p>
    <w:p>
      <w:pPr>
        <w:widowControl/>
        <w:ind w:left="13679" w:leftChars="228" w:hanging="13200" w:hangingChars="55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部门：岳阳市生态环境局华容分局                                                                                                                               公开07表</w:t>
      </w:r>
    </w:p>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单位：万元</w:t>
      </w:r>
    </w:p>
    <w:tbl>
      <w:tblPr>
        <w:tblStyle w:val="8"/>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决算数</w:t>
            </w:r>
          </w:p>
        </w:tc>
      </w:tr>
      <w:tr>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w:t>
            </w:r>
          </w:p>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w:t>
            </w:r>
          </w:p>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接待费</w:t>
            </w:r>
          </w:p>
        </w:tc>
      </w:tr>
      <w:tr>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pPr>
              <w:widowControl/>
              <w:jc w:val="center"/>
              <w:rPr>
                <w:rFonts w:hint="eastAsia" w:ascii="宋体" w:hAnsi="宋体" w:eastAsia="宋体" w:cs="宋体"/>
                <w:kern w:val="0"/>
                <w:sz w:val="24"/>
                <w:szCs w:val="24"/>
                <w:lang w:val="en-US" w:eastAsia="zh-CN"/>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kern w:val="0"/>
                <w:sz w:val="24"/>
                <w:szCs w:val="24"/>
                <w:lang w:val="en-US" w:eastAsia="zh-CN"/>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公务用车</w:t>
            </w:r>
            <w:r>
              <w:rPr>
                <w:rFonts w:hint="eastAsia" w:ascii="宋体" w:hAnsi="宋体" w:eastAsia="宋体" w:cs="宋体"/>
                <w:kern w:val="0"/>
                <w:sz w:val="24"/>
                <w:szCs w:val="24"/>
                <w:lang w:val="en-US" w:eastAsia="zh-CN"/>
              </w:rPr>
              <w:br w:type="textWrapping"/>
            </w:r>
            <w:r>
              <w:rPr>
                <w:rFonts w:hint="eastAsia" w:ascii="宋体" w:hAnsi="宋体" w:eastAsia="宋体" w:cs="宋体"/>
                <w:kern w:val="0"/>
                <w:sz w:val="24"/>
                <w:szCs w:val="24"/>
                <w:lang w:val="en-US" w:eastAsia="zh-CN"/>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公务用车</w:t>
            </w:r>
            <w:r>
              <w:rPr>
                <w:rFonts w:hint="eastAsia" w:ascii="宋体" w:hAnsi="宋体" w:eastAsia="宋体" w:cs="宋体"/>
                <w:kern w:val="0"/>
                <w:sz w:val="24"/>
                <w:szCs w:val="24"/>
                <w:lang w:val="en-US" w:eastAsia="zh-CN"/>
              </w:rPr>
              <w:br w:type="textWrapping"/>
            </w:r>
            <w:r>
              <w:rPr>
                <w:rFonts w:hint="eastAsia" w:ascii="宋体" w:hAnsi="宋体" w:eastAsia="宋体" w:cs="宋体"/>
                <w:kern w:val="0"/>
                <w:sz w:val="24"/>
                <w:szCs w:val="24"/>
                <w:lang w:val="en-US" w:eastAsia="zh-CN"/>
              </w:rPr>
              <w:t>运行费</w:t>
            </w:r>
          </w:p>
        </w:tc>
        <w:tc>
          <w:tcPr>
            <w:tcW w:w="1220" w:type="dxa"/>
            <w:vMerge w:val="continue"/>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szCs w:val="24"/>
                <w:lang w:val="en-US" w:eastAsia="zh-CN"/>
              </w:rPr>
            </w:pPr>
          </w:p>
        </w:tc>
        <w:tc>
          <w:tcPr>
            <w:tcW w:w="1220" w:type="dxa"/>
            <w:vMerge w:val="continue"/>
            <w:tcBorders>
              <w:top w:val="nil"/>
              <w:left w:val="nil"/>
              <w:bottom w:val="single" w:color="000000" w:sz="4" w:space="0"/>
              <w:right w:val="single" w:color="auto" w:sz="4" w:space="0"/>
            </w:tcBorders>
            <w:vAlign w:val="center"/>
          </w:tcPr>
          <w:p>
            <w:pPr>
              <w:widowControl/>
              <w:jc w:val="center"/>
              <w:rPr>
                <w:rFonts w:hint="eastAsia" w:ascii="宋体" w:hAnsi="宋体" w:eastAsia="宋体" w:cs="宋体"/>
                <w:kern w:val="0"/>
                <w:sz w:val="24"/>
                <w:szCs w:val="24"/>
                <w:lang w:val="en-US" w:eastAsia="zh-CN"/>
              </w:rPr>
            </w:pPr>
          </w:p>
        </w:tc>
        <w:tc>
          <w:tcPr>
            <w:tcW w:w="1220" w:type="dxa"/>
            <w:vMerge w:val="continue"/>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kern w:val="0"/>
                <w:sz w:val="24"/>
                <w:szCs w:val="24"/>
                <w:lang w:val="en-US" w:eastAsia="zh-CN"/>
              </w:rPr>
            </w:pP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小计</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公务用车</w:t>
            </w:r>
            <w:r>
              <w:rPr>
                <w:rFonts w:hint="eastAsia" w:ascii="宋体" w:hAnsi="宋体" w:eastAsia="宋体" w:cs="宋体"/>
                <w:kern w:val="0"/>
                <w:sz w:val="24"/>
                <w:szCs w:val="24"/>
                <w:lang w:val="en-US" w:eastAsia="zh-CN"/>
              </w:rPr>
              <w:br w:type="textWrapping"/>
            </w:r>
            <w:r>
              <w:rPr>
                <w:rFonts w:hint="eastAsia" w:ascii="宋体" w:hAnsi="宋体" w:eastAsia="宋体" w:cs="宋体"/>
                <w:kern w:val="0"/>
                <w:sz w:val="24"/>
                <w:szCs w:val="24"/>
                <w:lang w:val="en-US" w:eastAsia="zh-CN"/>
              </w:rPr>
              <w:t>购置费</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公务用车</w:t>
            </w:r>
            <w:r>
              <w:rPr>
                <w:rFonts w:hint="eastAsia" w:ascii="宋体" w:hAnsi="宋体" w:eastAsia="宋体" w:cs="宋体"/>
                <w:kern w:val="0"/>
                <w:sz w:val="24"/>
                <w:szCs w:val="24"/>
                <w:lang w:val="en-US" w:eastAsia="zh-CN"/>
              </w:rPr>
              <w:br w:type="textWrapping"/>
            </w:r>
            <w:r>
              <w:rPr>
                <w:rFonts w:hint="eastAsia" w:ascii="宋体" w:hAnsi="宋体" w:eastAsia="宋体" w:cs="宋体"/>
                <w:kern w:val="0"/>
                <w:sz w:val="24"/>
                <w:szCs w:val="24"/>
                <w:lang w:val="en-US" w:eastAsia="zh-CN"/>
              </w:rPr>
              <w:t>运行费</w:t>
            </w:r>
          </w:p>
        </w:tc>
        <w:tc>
          <w:tcPr>
            <w:tcW w:w="1220" w:type="dxa"/>
            <w:vMerge w:val="continue"/>
            <w:tcBorders>
              <w:top w:val="nil"/>
              <w:left w:val="single" w:color="auto" w:sz="4" w:space="0"/>
              <w:bottom w:val="single" w:color="000000" w:sz="4" w:space="0"/>
              <w:right w:val="single" w:color="auto" w:sz="8" w:space="0"/>
            </w:tcBorders>
            <w:vAlign w:val="center"/>
          </w:tcPr>
          <w:p>
            <w:pPr>
              <w:widowControl/>
              <w:jc w:val="center"/>
              <w:rPr>
                <w:rFonts w:hint="eastAsia" w:ascii="宋体" w:hAnsi="宋体" w:eastAsia="宋体" w:cs="宋体"/>
                <w:kern w:val="0"/>
                <w:sz w:val="24"/>
                <w:szCs w:val="24"/>
                <w:lang w:val="en-US" w:eastAsia="zh-CN"/>
              </w:rPr>
            </w:pPr>
          </w:p>
        </w:tc>
      </w:tr>
      <w:tr>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p>
        </w:tc>
        <w:tc>
          <w:tcPr>
            <w:tcW w:w="122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220" w:type="dxa"/>
            <w:tcBorders>
              <w:top w:val="nil"/>
              <w:left w:val="nil"/>
              <w:bottom w:val="single" w:color="auto" w:sz="4" w:space="0"/>
              <w:right w:val="single" w:color="auto" w:sz="8" w:space="0"/>
            </w:tcBorders>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r>
      <w:tr>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16.50</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0.00</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7.00</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0.00</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7.00</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9.50</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15.59</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0.00</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6.58</w:t>
            </w:r>
          </w:p>
        </w:tc>
        <w:tc>
          <w:tcPr>
            <w:tcW w:w="1220" w:type="dxa"/>
            <w:tcBorders>
              <w:top w:val="nil"/>
              <w:left w:val="nil"/>
              <w:bottom w:val="single" w:color="auto" w:sz="8" w:space="0"/>
              <w:right w:val="single" w:color="auto" w:sz="4" w:space="0"/>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0.00</w:t>
            </w:r>
          </w:p>
        </w:tc>
        <w:tc>
          <w:tcPr>
            <w:tcW w:w="1220" w:type="dxa"/>
            <w:tcBorders>
              <w:top w:val="nil"/>
              <w:left w:val="nil"/>
              <w:bottom w:val="single" w:color="auto" w:sz="8" w:space="0"/>
              <w:right w:val="nil"/>
            </w:tcBorders>
            <w:shd w:val="clear" w:color="auto" w:fill="auto"/>
            <w:vAlign w:val="top"/>
          </w:tcPr>
          <w:p>
            <w:pPr>
              <w:widowControl/>
              <w:jc w:val="center"/>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6.58</w:t>
            </w:r>
          </w:p>
        </w:tc>
        <w:tc>
          <w:tcPr>
            <w:tcW w:w="1220" w:type="dxa"/>
            <w:tcBorders>
              <w:top w:val="nil"/>
              <w:left w:val="single" w:color="auto" w:sz="4" w:space="0"/>
              <w:bottom w:val="single" w:color="auto" w:sz="8" w:space="0"/>
              <w:right w:val="single" w:color="auto" w:sz="8" w:space="0"/>
            </w:tcBorders>
            <w:shd w:val="clear" w:color="auto" w:fill="auto"/>
            <w:vAlign w:val="top"/>
          </w:tcPr>
          <w:p>
            <w:pPr>
              <w:widowControl/>
              <w:jc w:val="center"/>
              <w:rPr>
                <w:rFonts w:hint="eastAsia" w:ascii="宋体" w:hAnsi="宋体" w:eastAsia="宋体" w:cs="宋体"/>
                <w:kern w:val="0"/>
                <w:sz w:val="24"/>
                <w:szCs w:val="24"/>
                <w:lang w:val="en-US" w:eastAsia="zh-CN"/>
              </w:rPr>
            </w:pPr>
            <w:r>
              <w:rPr>
                <w:rFonts w:hint="default" w:ascii="宋体" w:hAnsi="宋体" w:eastAsia="宋体" w:cs="宋体"/>
                <w:kern w:val="0"/>
                <w:sz w:val="24"/>
                <w:szCs w:val="24"/>
                <w:lang w:val="en-US" w:eastAsia="zh-CN"/>
              </w:rPr>
              <w:t>9.0</w:t>
            </w:r>
            <w:r>
              <w:rPr>
                <w:rFonts w:hint="eastAsia" w:ascii="宋体" w:hAnsi="宋体" w:eastAsia="宋体" w:cs="宋体"/>
                <w:kern w:val="0"/>
                <w:sz w:val="24"/>
                <w:szCs w:val="24"/>
                <w:lang w:val="en-US" w:eastAsia="zh-CN"/>
              </w:rPr>
              <w:t>2</w:t>
            </w:r>
          </w:p>
        </w:tc>
      </w:tr>
    </w:tbl>
    <w:p>
      <w:pPr>
        <w:widowControl/>
        <w:jc w:val="left"/>
        <w:rPr>
          <w:rFonts w:ascii="宋体" w:eastAsia="宋体" w:cs="宋体"/>
          <w:kern w:val="0"/>
          <w:sz w:val="24"/>
          <w:szCs w:val="24"/>
        </w:rPr>
      </w:pPr>
      <w:r>
        <w:rPr>
          <w:rFonts w:hint="eastAsia" w:ascii="宋体" w:hAnsi="宋体" w:eastAsia="宋体" w:cs="宋体"/>
          <w:kern w:val="0"/>
          <w:sz w:val="24"/>
          <w:szCs w:val="24"/>
          <w:lang w:val="en-US" w:eastAsia="zh-CN"/>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kern w:val="0"/>
          <w:sz w:val="24"/>
          <w:szCs w:val="24"/>
          <w:lang w:val="en-US" w:eastAsia="zh-CN"/>
        </w:rPr>
        <w:br w:type="page"/>
      </w:r>
    </w:p>
    <w:p>
      <w:pPr>
        <w:autoSpaceDE w:val="0"/>
        <w:autoSpaceDN w:val="0"/>
        <w:adjustRightInd w:val="0"/>
        <w:ind w:left="315" w:leftChars="150"/>
        <w:jc w:val="left"/>
        <w:rPr>
          <w:rFonts w:ascii="宋体" w:eastAsia="宋体" w:cs="宋体"/>
          <w:kern w:val="0"/>
          <w:sz w:val="24"/>
          <w:szCs w:val="24"/>
        </w:rPr>
      </w:pPr>
    </w:p>
    <w:p>
      <w:pPr>
        <w:widowControl/>
        <w:jc w:val="center"/>
        <w:rPr>
          <w:rFonts w:hint="eastAsia" w:ascii="华文中宋" w:hAnsi="华文中宋" w:eastAsia="华文中宋" w:cs="宋体"/>
          <w:color w:val="000000"/>
          <w:kern w:val="0"/>
          <w:sz w:val="32"/>
          <w:szCs w:val="32"/>
        </w:rPr>
      </w:pPr>
    </w:p>
    <w:p>
      <w:pPr>
        <w:widowControl/>
        <w:jc w:val="center"/>
        <w:rPr>
          <w:rFonts w:hint="eastAsia"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政府性基金预算财政拨款收入支出决算表</w:t>
      </w:r>
    </w:p>
    <w:p>
      <w:pPr>
        <w:widowControl/>
        <w:ind w:firstLine="480" w:firstLineChars="200"/>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部门：岳阳市生态环境局华容分局                                                                                公开08表</w:t>
      </w:r>
    </w:p>
    <w:p>
      <w:pPr>
        <w:widowControl/>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单位：万元</w:t>
      </w:r>
    </w:p>
    <w:tbl>
      <w:tblPr>
        <w:tblStyle w:val="8"/>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项    目</w:t>
            </w:r>
          </w:p>
        </w:tc>
        <w:tc>
          <w:tcPr>
            <w:tcW w:w="200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年初结转和结余</w:t>
            </w:r>
          </w:p>
        </w:tc>
        <w:tc>
          <w:tcPr>
            <w:tcW w:w="200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本年收入</w:t>
            </w:r>
          </w:p>
        </w:tc>
        <w:tc>
          <w:tcPr>
            <w:tcW w:w="6000" w:type="dxa"/>
            <w:gridSpan w:val="3"/>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本年支出</w:t>
            </w:r>
          </w:p>
        </w:tc>
        <w:tc>
          <w:tcPr>
            <w:tcW w:w="200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功能分类科目编码</w:t>
            </w:r>
          </w:p>
        </w:tc>
        <w:tc>
          <w:tcPr>
            <w:tcW w:w="132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科目名称</w:t>
            </w: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小计</w:t>
            </w:r>
          </w:p>
        </w:tc>
        <w:tc>
          <w:tcPr>
            <w:tcW w:w="200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基本支出</w:t>
            </w:r>
          </w:p>
        </w:tc>
        <w:tc>
          <w:tcPr>
            <w:tcW w:w="2000" w:type="dxa"/>
            <w:vMerge w:val="restart"/>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项目支出</w:t>
            </w: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center"/>
              <w:rPr>
                <w:rFonts w:hint="eastAsia" w:ascii="宋体" w:hAnsi="宋体" w:eastAsia="宋体" w:cs="宋体"/>
                <w:kern w:val="0"/>
                <w:sz w:val="24"/>
                <w:szCs w:val="24"/>
                <w:lang w:val="en-US" w:eastAsia="zh-CN"/>
              </w:rPr>
            </w:pPr>
          </w:p>
        </w:tc>
        <w:tc>
          <w:tcPr>
            <w:tcW w:w="132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pPr>
              <w:widowControl/>
              <w:jc w:val="center"/>
              <w:rPr>
                <w:rFonts w:hint="eastAsia" w:ascii="宋体" w:hAnsi="宋体" w:eastAsia="宋体" w:cs="宋体"/>
                <w:kern w:val="0"/>
                <w:sz w:val="24"/>
                <w:szCs w:val="24"/>
                <w:lang w:val="en-US" w:eastAsia="zh-CN"/>
              </w:rPr>
            </w:pPr>
          </w:p>
        </w:tc>
        <w:tc>
          <w:tcPr>
            <w:tcW w:w="132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c>
          <w:tcPr>
            <w:tcW w:w="2000" w:type="dxa"/>
            <w:vMerge w:val="continue"/>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栏次</w:t>
            </w: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合计</w:t>
            </w: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13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13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13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13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13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132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c>
          <w:tcPr>
            <w:tcW w:w="2000" w:type="dxa"/>
            <w:shd w:val="clear" w:color="auto" w:fill="auto"/>
            <w:vAlign w:val="center"/>
          </w:tcPr>
          <w:p>
            <w:pPr>
              <w:widowControl/>
              <w:jc w:val="center"/>
              <w:rPr>
                <w:rFonts w:hint="eastAsia" w:ascii="宋体" w:hAnsi="宋体" w:eastAsia="宋体" w:cs="宋体"/>
                <w:kern w:val="0"/>
                <w:sz w:val="24"/>
                <w:szCs w:val="24"/>
                <w:lang w:val="en-US" w:eastAsia="zh-CN"/>
              </w:rPr>
            </w:pPr>
          </w:p>
        </w:tc>
      </w:tr>
    </w:tbl>
    <w:p>
      <w:pPr>
        <w:widowControl/>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注：本表反映部门本年度政府性基金预算财政拨款收入、支出及结转和结余情况</w:t>
      </w:r>
    </w:p>
    <w:p>
      <w:pPr>
        <w:widowControl/>
        <w:jc w:val="both"/>
        <w:rPr>
          <w:rFonts w:hint="eastAsia" w:ascii="宋体" w:hAnsi="宋体" w:eastAsia="宋体" w:cs="宋体"/>
          <w:kern w:val="0"/>
          <w:sz w:val="24"/>
          <w:szCs w:val="24"/>
          <w:highlight w:val="yellow"/>
          <w:lang w:val="en-US" w:eastAsia="zh-CN"/>
        </w:rPr>
      </w:pPr>
      <w:r>
        <w:rPr>
          <w:rFonts w:hint="eastAsia" w:ascii="宋体" w:hAnsi="宋体" w:eastAsia="宋体" w:cs="宋体"/>
          <w:kern w:val="0"/>
          <w:sz w:val="24"/>
          <w:szCs w:val="24"/>
          <w:highlight w:val="yellow"/>
          <w:lang w:val="en-US" w:eastAsia="zh-CN"/>
        </w:rPr>
        <w:t>(我单位没有政府性基金收入，也没有使用政府性基金安排的支出，故本表无数据。)</w:t>
      </w:r>
    </w:p>
    <w:p>
      <w:pPr>
        <w:widowControl/>
        <w:jc w:val="left"/>
        <w:rPr>
          <w:rFonts w:ascii="黑体" w:hAnsi="黑体" w:eastAsia="黑体"/>
          <w:szCs w:val="21"/>
        </w:rPr>
      </w:pPr>
      <w:r>
        <w:rPr>
          <w:rFonts w:ascii="黑体" w:hAnsi="黑体" w:eastAsia="黑体"/>
          <w:szCs w:val="21"/>
        </w:rPr>
        <w:br w:type="page"/>
      </w:r>
    </w:p>
    <w:tbl>
      <w:tblPr>
        <w:tblStyle w:val="8"/>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kern w:val="0"/>
                <w:sz w:val="24"/>
                <w:szCs w:val="24"/>
                <w:lang w:val="en-US" w:eastAsia="zh-CN"/>
              </w:rPr>
              <w:t>公开09表</w:t>
            </w:r>
          </w:p>
        </w:tc>
      </w:tr>
      <w:tr>
        <w:tblPrEx>
          <w:tblCellMar>
            <w:top w:w="0" w:type="dxa"/>
            <w:left w:w="108" w:type="dxa"/>
            <w:bottom w:w="0" w:type="dxa"/>
            <w:right w:w="108" w:type="dxa"/>
          </w:tblCellMar>
        </w:tblPrEx>
        <w:trPr>
          <w:trHeight w:val="285" w:hRule="atLeast"/>
        </w:trPr>
        <w:tc>
          <w:tcPr>
            <w:tcW w:w="6060" w:type="dxa"/>
            <w:gridSpan w:val="5"/>
            <w:tcBorders>
              <w:top w:val="nil"/>
              <w:left w:val="nil"/>
              <w:bottom w:val="nil"/>
              <w:right w:val="nil"/>
            </w:tcBorders>
            <w:shd w:val="clear" w:color="000000" w:fill="FFFFFF"/>
            <w:noWrap/>
            <w:vAlign w:val="center"/>
          </w:tcPr>
          <w:p>
            <w:pPr>
              <w:widowControl/>
              <w:jc w:val="both"/>
              <w:rPr>
                <w:rFonts w:hint="default" w:ascii="宋体" w:hAnsi="宋体" w:eastAsia="宋体" w:cs="宋体"/>
                <w:kern w:val="0"/>
                <w:sz w:val="24"/>
                <w:szCs w:val="24"/>
                <w:lang w:val="en-US" w:eastAsia="zh-CN"/>
              </w:rPr>
            </w:pPr>
            <w:r>
              <w:rPr>
                <w:rFonts w:hint="eastAsia" w:ascii="宋体" w:hAnsi="宋体" w:eastAsia="宋体" w:cs="宋体"/>
                <w:kern w:val="0"/>
                <w:sz w:val="24"/>
                <w:szCs w:val="24"/>
              </w:rPr>
              <w:t>部门：</w:t>
            </w:r>
            <w:r>
              <w:rPr>
                <w:rFonts w:hint="eastAsia" w:ascii="宋体" w:hAnsi="宋体" w:eastAsia="宋体" w:cs="宋体"/>
                <w:kern w:val="0"/>
                <w:sz w:val="24"/>
                <w:szCs w:val="24"/>
                <w:lang w:val="en-US" w:eastAsia="zh-CN"/>
              </w:rPr>
              <w:t>岳阳市生态环境局华容分局</w:t>
            </w:r>
          </w:p>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w:t>
            </w:r>
          </w:p>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w:t>
            </w:r>
          </w:p>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2620" w:type="dxa"/>
            <w:gridSpan w:val="2"/>
            <w:tcBorders>
              <w:top w:val="nil"/>
              <w:left w:val="nil"/>
              <w:bottom w:val="single" w:color="auto" w:sz="8" w:space="0"/>
              <w:right w:val="nil"/>
            </w:tcBorders>
            <w:shd w:val="clear" w:color="000000" w:fill="FFFFFF"/>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5510" w:type="dxa"/>
            <w:gridSpan w:val="2"/>
            <w:tcBorders>
              <w:top w:val="nil"/>
              <w:left w:val="nil"/>
              <w:bottom w:val="nil"/>
              <w:right w:val="nil"/>
            </w:tcBorders>
            <w:shd w:val="clear" w:color="000000" w:fill="FFFFFF"/>
            <w:noWrap/>
            <w:vAlign w:val="center"/>
          </w:tcPr>
          <w:p>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单位：万元</w:t>
            </w:r>
          </w:p>
        </w:tc>
      </w:tr>
      <w:tr>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p>
            <w:pPr>
              <w:widowControl/>
              <w:jc w:val="left"/>
              <w:rPr>
                <w:rFonts w:hint="eastAsia" w:ascii="宋体" w:hAnsi="宋体" w:eastAsia="宋体" w:cs="宋体"/>
                <w:kern w:val="0"/>
                <w:sz w:val="24"/>
                <w:szCs w:val="24"/>
                <w:highlight w:val="yellow"/>
              </w:rPr>
            </w:pPr>
            <w:r>
              <w:rPr>
                <w:rFonts w:hint="eastAsia" w:ascii="宋体" w:hAnsi="宋体" w:eastAsia="宋体" w:cs="宋体"/>
                <w:kern w:val="0"/>
                <w:sz w:val="24"/>
                <w:szCs w:val="24"/>
                <w:highlight w:val="yellow"/>
              </w:rPr>
              <w:t>(我单位没有使用国有资本经营预算安排的支出，故本表无数据。)</w:t>
            </w:r>
          </w:p>
          <w:p>
            <w:pPr>
              <w:widowControl/>
              <w:jc w:val="left"/>
              <w:rPr>
                <w:rFonts w:hint="eastAsia" w:ascii="宋体" w:hAnsi="宋体" w:eastAsia="宋体" w:cs="宋体"/>
                <w:kern w:val="0"/>
                <w:sz w:val="24"/>
                <w:szCs w:val="24"/>
              </w:rPr>
            </w:pPr>
          </w:p>
        </w:tc>
      </w:tr>
    </w:tbl>
    <w:p>
      <w:pPr>
        <w:pStyle w:val="18"/>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pStyle w:val="18"/>
        <w:jc w:val="center"/>
        <w:rPr>
          <w:sz w:val="72"/>
          <w:szCs w:val="72"/>
        </w:rPr>
      </w:pPr>
    </w:p>
    <w:p>
      <w:pPr>
        <w:pStyle w:val="18"/>
        <w:jc w:val="center"/>
        <w:rPr>
          <w:sz w:val="72"/>
          <w:szCs w:val="72"/>
        </w:rPr>
      </w:pPr>
      <w:r>
        <w:rPr>
          <w:rFonts w:hint="eastAsia"/>
          <w:sz w:val="72"/>
          <w:szCs w:val="72"/>
        </w:rPr>
        <w:t>第三部分</w:t>
      </w:r>
    </w:p>
    <w:p>
      <w:pPr>
        <w:pStyle w:val="18"/>
        <w:jc w:val="center"/>
        <w:rPr>
          <w:sz w:val="70"/>
          <w:szCs w:val="70"/>
        </w:rPr>
      </w:pPr>
    </w:p>
    <w:p>
      <w:pPr>
        <w:pStyle w:val="18"/>
        <w:jc w:val="center"/>
        <w:rPr>
          <w:sz w:val="70"/>
          <w:szCs w:val="70"/>
        </w:rPr>
      </w:pPr>
      <w:r>
        <w:rPr>
          <w:sz w:val="70"/>
          <w:szCs w:val="70"/>
        </w:rPr>
        <w:t>20</w:t>
      </w:r>
      <w:r>
        <w:rPr>
          <w:rFonts w:hint="eastAsia"/>
          <w:sz w:val="70"/>
          <w:szCs w:val="70"/>
        </w:rPr>
        <w:t>20年度部门决算情况说明</w:t>
      </w:r>
    </w:p>
    <w:p>
      <w:pPr>
        <w:widowControl/>
        <w:jc w:val="left"/>
        <w:rPr>
          <w:rFonts w:ascii="黑体" w:eastAsia="黑体" w:cs="黑体"/>
          <w:color w:val="000000"/>
          <w:kern w:val="0"/>
          <w:sz w:val="70"/>
          <w:szCs w:val="70"/>
        </w:rPr>
      </w:pPr>
      <w:r>
        <w:rPr>
          <w:sz w:val="70"/>
          <w:szCs w:val="70"/>
        </w:rPr>
        <w:br w:type="page"/>
      </w:r>
    </w:p>
    <w:p>
      <w:pPr>
        <w:pStyle w:val="18"/>
        <w:rPr>
          <w:rFonts w:hAnsi="黑体"/>
          <w:b/>
          <w:sz w:val="32"/>
          <w:szCs w:val="32"/>
        </w:rPr>
      </w:pPr>
      <w:r>
        <w:rPr>
          <w:rFonts w:hint="eastAsia" w:hAnsi="黑体"/>
          <w:b/>
          <w:sz w:val="32"/>
          <w:szCs w:val="32"/>
        </w:rPr>
        <w:t>一、收入支出决算总体情况说明</w:t>
      </w:r>
    </w:p>
    <w:p>
      <w:pPr>
        <w:keepNext/>
        <w:keepLines/>
        <w:ind w:firstLine="641"/>
        <w:rPr>
          <w:rFonts w:hint="default" w:eastAsia="Times New Roman"/>
          <w:color w:val="auto"/>
          <w:sz w:val="32"/>
          <w:szCs w:val="24"/>
          <w:highlight w:val="white"/>
          <w:lang w:val="zh-CN"/>
        </w:rPr>
      </w:pPr>
      <w:r>
        <w:rPr>
          <w:rFonts w:hint="eastAsia" w:ascii="宋体" w:hAnsi="宋体"/>
          <w:color w:val="auto"/>
          <w:sz w:val="32"/>
          <w:szCs w:val="24"/>
          <w:highlight w:val="white"/>
          <w:lang w:val="zh-CN"/>
        </w:rPr>
        <w:t>2020年度收、支总计6,811.24万元，与2019年相比，收、支总计各增加6,811.24万元，增长</w:t>
      </w:r>
      <w:r>
        <w:rPr>
          <w:rFonts w:hint="eastAsia" w:ascii="宋体" w:hAnsi="宋体"/>
          <w:color w:val="auto"/>
          <w:sz w:val="32"/>
          <w:szCs w:val="24"/>
          <w:highlight w:val="white"/>
          <w:lang w:val="en-US" w:eastAsia="zh-CN"/>
        </w:rPr>
        <w:t>100</w:t>
      </w:r>
      <w:r>
        <w:rPr>
          <w:rFonts w:hint="eastAsia" w:ascii="宋体" w:hAnsi="宋体"/>
          <w:color w:val="auto"/>
          <w:sz w:val="32"/>
          <w:szCs w:val="24"/>
          <w:highlight w:val="white"/>
          <w:lang w:val="zh-CN"/>
        </w:rPr>
        <w:t>%。本单位2020年部门决算为新报单位，新报因素是新增单位，没有与上年对比情况。</w:t>
      </w:r>
      <w:r>
        <w:rPr>
          <w:rFonts w:hint="eastAsia" w:ascii="宋体" w:hAnsi="宋体"/>
          <w:color w:val="000000"/>
          <w:sz w:val="32"/>
          <w:szCs w:val="24"/>
          <w:highlight w:val="white"/>
          <w:lang w:val="zh-CN"/>
        </w:rPr>
        <w:t>主要原因是本单位今年才纳入市级财政预算管理。</w:t>
      </w:r>
    </w:p>
    <w:p>
      <w:pPr>
        <w:pStyle w:val="18"/>
        <w:rPr>
          <w:rFonts w:hAnsi="黑体"/>
          <w:b/>
          <w:sz w:val="32"/>
          <w:szCs w:val="32"/>
        </w:rPr>
      </w:pPr>
      <w:r>
        <w:rPr>
          <w:rFonts w:hint="eastAsia" w:hAnsi="黑体"/>
          <w:b/>
          <w:sz w:val="32"/>
          <w:szCs w:val="32"/>
        </w:rPr>
        <w:t>二、收入决算情况说明</w:t>
      </w:r>
    </w:p>
    <w:p>
      <w:pPr>
        <w:keepNext/>
        <w:keepLines/>
        <w:ind w:firstLine="641"/>
        <w:rPr>
          <w:rFonts w:hint="eastAsia" w:ascii="宋体" w:hAnsi="宋体"/>
          <w:color w:val="auto"/>
          <w:sz w:val="32"/>
          <w:szCs w:val="24"/>
          <w:highlight w:val="white"/>
          <w:lang w:val="en-US"/>
        </w:rPr>
      </w:pPr>
      <w:r>
        <w:rPr>
          <w:rFonts w:hint="eastAsia" w:ascii="宋体" w:hAnsi="宋体"/>
          <w:color w:val="auto"/>
          <w:sz w:val="32"/>
          <w:szCs w:val="24"/>
          <w:highlight w:val="white"/>
          <w:lang w:val="en-US"/>
        </w:rPr>
        <w:t>本年收入合计4,553.4万元，其中：一般公共预算财政拨款收入1546.8万元，占33.97%；其他收入3006.6万元，占66.03%。</w:t>
      </w:r>
    </w:p>
    <w:p>
      <w:pPr>
        <w:pStyle w:val="18"/>
        <w:rPr>
          <w:rFonts w:hAnsi="黑体"/>
          <w:b/>
          <w:sz w:val="32"/>
          <w:szCs w:val="32"/>
        </w:rPr>
      </w:pPr>
      <w:r>
        <w:rPr>
          <w:rFonts w:hint="eastAsia" w:hAnsi="黑体"/>
          <w:b/>
          <w:sz w:val="32"/>
          <w:szCs w:val="32"/>
        </w:rPr>
        <w:t>三、支出决算情况说明</w:t>
      </w:r>
    </w:p>
    <w:p>
      <w:pPr>
        <w:keepNext/>
        <w:keepLines/>
        <w:ind w:firstLine="640"/>
        <w:rPr>
          <w:rFonts w:hint="eastAsia" w:ascii="宋体" w:hAnsi="宋体"/>
          <w:color w:val="auto"/>
          <w:sz w:val="32"/>
          <w:szCs w:val="24"/>
          <w:highlight w:val="white"/>
          <w:lang w:val="en-US"/>
        </w:rPr>
      </w:pPr>
      <w:r>
        <w:rPr>
          <w:rFonts w:hint="eastAsia" w:ascii="宋体" w:hAnsi="宋体"/>
          <w:color w:val="auto"/>
          <w:sz w:val="32"/>
          <w:szCs w:val="24"/>
          <w:highlight w:val="white"/>
          <w:lang w:val="en-US"/>
        </w:rPr>
        <w:t>本年支出合计6,761.82万元，其中：基本支出</w:t>
      </w:r>
      <w:r>
        <w:rPr>
          <w:rFonts w:hint="eastAsia" w:ascii="宋体" w:hAnsi="宋体"/>
          <w:color w:val="auto"/>
          <w:sz w:val="32"/>
          <w:szCs w:val="24"/>
          <w:highlight w:val="white"/>
          <w:lang w:val="zh-CN"/>
        </w:rPr>
        <w:t>1,071.09万元，</w:t>
      </w:r>
      <w:r>
        <w:rPr>
          <w:rFonts w:hint="eastAsia" w:ascii="宋体" w:hAnsi="宋体"/>
          <w:color w:val="auto"/>
          <w:sz w:val="32"/>
          <w:szCs w:val="24"/>
          <w:highlight w:val="white"/>
          <w:lang w:val="en-US"/>
        </w:rPr>
        <w:t>占15.84%；项目支出5690.73万元，占84.16%；</w:t>
      </w:r>
      <w:r>
        <w:rPr>
          <w:rFonts w:hint="eastAsia" w:ascii="宋体" w:hAnsi="宋体"/>
          <w:color w:val="auto"/>
          <w:sz w:val="32"/>
          <w:szCs w:val="24"/>
          <w:highlight w:val="white"/>
          <w:lang w:val="zh-CN"/>
        </w:rPr>
        <w:t>本单位2020年部门决算为新报单位，新报因素是新增单位，没有与上年对比情况。</w:t>
      </w:r>
    </w:p>
    <w:p>
      <w:pPr>
        <w:pStyle w:val="18"/>
        <w:rPr>
          <w:rFonts w:hAnsi="黑体"/>
          <w:b/>
          <w:sz w:val="32"/>
          <w:szCs w:val="32"/>
        </w:rPr>
      </w:pPr>
      <w:r>
        <w:rPr>
          <w:rFonts w:hint="eastAsia" w:hAnsi="黑体"/>
          <w:b/>
          <w:sz w:val="32"/>
          <w:szCs w:val="32"/>
        </w:rPr>
        <w:t>四、财政拨款收入支出决算总体情况说明</w:t>
      </w:r>
    </w:p>
    <w:p>
      <w:pPr>
        <w:keepNext/>
        <w:keepLines/>
        <w:ind w:firstLine="640"/>
        <w:rPr>
          <w:rFonts w:hint="eastAsia" w:ascii="宋体" w:hAnsi="宋体"/>
          <w:color w:val="000000"/>
          <w:sz w:val="32"/>
          <w:szCs w:val="24"/>
          <w:highlight w:val="white"/>
          <w:lang w:val="zh-CN"/>
        </w:rPr>
      </w:pPr>
      <w:r>
        <w:rPr>
          <w:rFonts w:hint="eastAsia" w:asciiTheme="minorEastAsia" w:hAnsiTheme="minorEastAsia" w:eastAsiaTheme="minorEastAsia"/>
          <w:sz w:val="32"/>
          <w:szCs w:val="32"/>
        </w:rPr>
        <w:t xml:space="preserve"> </w:t>
      </w:r>
      <w:r>
        <w:rPr>
          <w:rFonts w:hint="eastAsia" w:ascii="宋体" w:hAnsi="宋体"/>
          <w:color w:val="auto"/>
          <w:sz w:val="32"/>
          <w:szCs w:val="24"/>
          <w:highlight w:val="white"/>
          <w:lang w:val="en-US"/>
        </w:rPr>
        <w:t>2020年度财政拨款收、支总计1546.8万元，</w:t>
      </w:r>
      <w:r>
        <w:rPr>
          <w:rFonts w:hint="eastAsia" w:ascii="宋体" w:hAnsi="宋体"/>
          <w:color w:val="auto"/>
          <w:sz w:val="32"/>
          <w:szCs w:val="24"/>
          <w:highlight w:val="white"/>
          <w:lang w:val="zh-CN"/>
        </w:rPr>
        <w:t>与2019年相比，</w:t>
      </w:r>
      <w:r>
        <w:rPr>
          <w:rFonts w:hint="eastAsia" w:ascii="宋体" w:hAnsi="宋体"/>
          <w:color w:val="auto"/>
          <w:sz w:val="32"/>
          <w:szCs w:val="24"/>
          <w:highlight w:val="white"/>
          <w:lang w:val="en-US"/>
        </w:rPr>
        <w:t>财政拨款收、支总计各</w:t>
      </w:r>
      <w:r>
        <w:rPr>
          <w:rFonts w:hint="eastAsia" w:ascii="宋体" w:hAnsi="宋体"/>
          <w:color w:val="auto"/>
          <w:sz w:val="32"/>
          <w:szCs w:val="24"/>
          <w:highlight w:val="white"/>
          <w:lang w:val="en-US" w:eastAsia="zh-CN"/>
        </w:rPr>
        <w:t>增加1546.8</w:t>
      </w:r>
      <w:r>
        <w:rPr>
          <w:rFonts w:hint="eastAsia" w:ascii="宋体" w:hAnsi="宋体"/>
          <w:color w:val="auto"/>
          <w:sz w:val="32"/>
          <w:szCs w:val="24"/>
          <w:highlight w:val="white"/>
          <w:lang w:val="en-US"/>
        </w:rPr>
        <w:t>万元，</w:t>
      </w:r>
      <w:r>
        <w:rPr>
          <w:rFonts w:hint="eastAsia" w:ascii="宋体" w:hAnsi="宋体"/>
          <w:color w:val="auto"/>
          <w:sz w:val="32"/>
          <w:szCs w:val="24"/>
          <w:highlight w:val="white"/>
          <w:lang w:val="en-US" w:eastAsia="zh-CN"/>
        </w:rPr>
        <w:t>增长100</w:t>
      </w:r>
      <w:r>
        <w:rPr>
          <w:rFonts w:hint="eastAsia" w:ascii="宋体" w:hAnsi="宋体"/>
          <w:color w:val="auto"/>
          <w:sz w:val="32"/>
          <w:szCs w:val="24"/>
          <w:highlight w:val="white"/>
          <w:lang w:val="en-US"/>
        </w:rPr>
        <w:t>%。</w:t>
      </w:r>
      <w:r>
        <w:rPr>
          <w:rFonts w:hint="eastAsia" w:ascii="宋体" w:hAnsi="宋体"/>
          <w:color w:val="000000"/>
          <w:sz w:val="32"/>
          <w:szCs w:val="24"/>
          <w:highlight w:val="white"/>
          <w:lang w:val="zh-CN"/>
        </w:rPr>
        <w:t>本单位今年才纳入市级财政预算管理。</w:t>
      </w:r>
    </w:p>
    <w:p>
      <w:pPr>
        <w:pStyle w:val="18"/>
        <w:rPr>
          <w:rFonts w:hAnsi="黑体"/>
          <w:b/>
          <w:sz w:val="32"/>
          <w:szCs w:val="32"/>
        </w:rPr>
      </w:pPr>
      <w:r>
        <w:rPr>
          <w:rFonts w:hint="eastAsia" w:hAnsi="黑体"/>
          <w:b/>
          <w:sz w:val="32"/>
          <w:szCs w:val="32"/>
        </w:rPr>
        <w:t>五、一般公共预算财政拨款支出决算情况说明</w:t>
      </w:r>
    </w:p>
    <w:p>
      <w:pPr>
        <w:pStyle w:val="18"/>
        <w:ind w:firstLine="634"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keepNext/>
        <w:keepLines/>
        <w:ind w:firstLine="640"/>
        <w:rPr>
          <w:rFonts w:hint="eastAsia" w:ascii="宋体" w:hAnsi="宋体"/>
          <w:color w:val="000000"/>
          <w:sz w:val="32"/>
          <w:szCs w:val="24"/>
          <w:highlight w:val="white"/>
          <w:lang w:val="zh-CN"/>
        </w:rPr>
      </w:pPr>
      <w:r>
        <w:rPr>
          <w:rFonts w:hint="eastAsia" w:ascii="宋体" w:hAnsi="宋体"/>
          <w:color w:val="auto"/>
          <w:sz w:val="32"/>
          <w:szCs w:val="24"/>
          <w:highlight w:val="white"/>
          <w:lang w:val="en-US"/>
        </w:rPr>
        <w:t>2020年度财政拨款支出1497.38万元，占本年支出合计的22.14%。与2019年度相比，财政拨款支出</w:t>
      </w:r>
      <w:r>
        <w:rPr>
          <w:rFonts w:hint="eastAsia" w:ascii="宋体" w:hAnsi="宋体"/>
          <w:color w:val="auto"/>
          <w:sz w:val="32"/>
          <w:szCs w:val="24"/>
          <w:highlight w:val="white"/>
          <w:lang w:val="en-US" w:eastAsia="zh-CN"/>
        </w:rPr>
        <w:t>增加1497.38</w:t>
      </w:r>
      <w:r>
        <w:rPr>
          <w:rFonts w:hint="eastAsia" w:ascii="宋体" w:hAnsi="宋体"/>
          <w:color w:val="auto"/>
          <w:sz w:val="32"/>
          <w:szCs w:val="24"/>
          <w:highlight w:val="white"/>
          <w:lang w:val="en-US"/>
        </w:rPr>
        <w:t>万元，</w:t>
      </w:r>
      <w:r>
        <w:rPr>
          <w:rFonts w:hint="eastAsia" w:ascii="宋体" w:hAnsi="宋体"/>
          <w:color w:val="auto"/>
          <w:sz w:val="32"/>
          <w:szCs w:val="24"/>
          <w:highlight w:val="white"/>
          <w:lang w:val="en-US" w:eastAsia="zh-CN"/>
        </w:rPr>
        <w:t>增长100</w:t>
      </w:r>
      <w:r>
        <w:rPr>
          <w:rFonts w:hint="eastAsia" w:ascii="宋体" w:hAnsi="宋体"/>
          <w:color w:val="auto"/>
          <w:sz w:val="32"/>
          <w:szCs w:val="24"/>
          <w:highlight w:val="white"/>
          <w:lang w:val="en-US"/>
        </w:rPr>
        <w:t>%,</w:t>
      </w:r>
      <w:r>
        <w:rPr>
          <w:rFonts w:hint="eastAsia" w:ascii="宋体" w:hAnsi="宋体"/>
          <w:color w:val="auto"/>
          <w:sz w:val="32"/>
          <w:szCs w:val="24"/>
          <w:highlight w:val="white"/>
          <w:lang w:val="zh-CN"/>
        </w:rPr>
        <w:t>本单位2020年部门决算为新报单位，新报因素是新增单位，没有与上年对比情况。</w:t>
      </w:r>
      <w:r>
        <w:rPr>
          <w:rFonts w:hint="eastAsia" w:ascii="宋体" w:hAnsi="宋体"/>
          <w:color w:val="000000"/>
          <w:sz w:val="32"/>
          <w:szCs w:val="24"/>
          <w:highlight w:val="white"/>
          <w:lang w:val="en-US"/>
        </w:rPr>
        <w:t>主要原因是</w:t>
      </w:r>
      <w:r>
        <w:rPr>
          <w:rFonts w:hint="eastAsia" w:ascii="宋体" w:hAnsi="宋体"/>
          <w:color w:val="000000"/>
          <w:sz w:val="32"/>
          <w:szCs w:val="24"/>
          <w:highlight w:val="white"/>
          <w:lang w:val="zh-CN"/>
        </w:rPr>
        <w:t>本单位今年才纳入市级财政预算管理。</w:t>
      </w:r>
    </w:p>
    <w:p>
      <w:pPr>
        <w:pStyle w:val="18"/>
        <w:ind w:firstLine="476"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keepNext/>
        <w:keepLines/>
        <w:ind w:firstLine="641"/>
        <w:rPr>
          <w:rFonts w:hint="eastAsia" w:ascii="宋体" w:hAnsi="宋体"/>
          <w:color w:val="auto"/>
          <w:sz w:val="32"/>
          <w:szCs w:val="24"/>
          <w:highlight w:val="white"/>
          <w:lang w:val="en-US"/>
        </w:rPr>
      </w:pPr>
      <w:r>
        <w:rPr>
          <w:rFonts w:hint="eastAsia" w:ascii="宋体" w:hAnsi="宋体"/>
          <w:color w:val="000000"/>
          <w:kern w:val="0"/>
          <w:sz w:val="32"/>
          <w:szCs w:val="24"/>
          <w:highlight w:val="white"/>
          <w:lang w:val="en-US"/>
        </w:rPr>
        <w:t>2020年度财政拨款支出1497.38万元，主要用于以下方面：社会保障和就业（类）支出60.53万元，占4.04%；卫生健康（类）支出28.01万元，占1.87%；节能环保（类）支出1408.84万元，占94.09%；</w:t>
      </w:r>
    </w:p>
    <w:p>
      <w:pPr>
        <w:pStyle w:val="18"/>
        <w:numPr>
          <w:ilvl w:val="0"/>
          <w:numId w:val="2"/>
        </w:numPr>
        <w:ind w:firstLine="793" w:firstLineChars="250"/>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财政拨款支出决算具体情况</w:t>
      </w:r>
    </w:p>
    <w:p>
      <w:pPr>
        <w:pStyle w:val="18"/>
        <w:numPr>
          <w:ilvl w:val="0"/>
          <w:numId w:val="0"/>
        </w:numPr>
        <w:ind w:firstLine="634" w:firstLineChars="200"/>
        <w:rPr>
          <w:rFonts w:hint="eastAsia" w:ascii="宋体" w:hAnsi="宋体" w:eastAsiaTheme="minorEastAsia" w:cstheme="minorBidi"/>
          <w:color w:val="000000"/>
          <w:kern w:val="0"/>
          <w:sz w:val="32"/>
          <w:szCs w:val="24"/>
          <w:highlight w:val="white"/>
          <w:lang w:val="zh-CN" w:eastAsia="zh-CN" w:bidi="ar-SA"/>
        </w:rPr>
      </w:pPr>
      <w:r>
        <w:rPr>
          <w:rFonts w:hint="eastAsia" w:ascii="宋体" w:hAnsi="宋体" w:eastAsiaTheme="minorEastAsia" w:cstheme="minorBidi"/>
          <w:color w:val="000000"/>
          <w:kern w:val="0"/>
          <w:sz w:val="32"/>
          <w:szCs w:val="24"/>
          <w:highlight w:val="white"/>
          <w:lang w:val="zh-CN" w:eastAsia="zh-CN" w:bidi="ar-SA"/>
        </w:rPr>
        <w:t>2020年度财政拨款支出年初预算为1,698.12万元，支出决算为1,497.38万元，完成年初预算的</w:t>
      </w:r>
      <w:r>
        <w:rPr>
          <w:rFonts w:hint="eastAsia" w:ascii="宋体" w:hAnsi="宋体" w:eastAsiaTheme="minorEastAsia" w:cstheme="minorBidi"/>
          <w:color w:val="000000"/>
          <w:kern w:val="0"/>
          <w:sz w:val="32"/>
          <w:szCs w:val="24"/>
          <w:highlight w:val="white"/>
          <w:lang w:val="en-US" w:eastAsia="zh-CN" w:bidi="ar-SA"/>
        </w:rPr>
        <w:t>88.18</w:t>
      </w:r>
      <w:r>
        <w:rPr>
          <w:rFonts w:hint="eastAsia" w:ascii="宋体" w:hAnsi="宋体" w:eastAsiaTheme="minorEastAsia" w:cstheme="minorBidi"/>
          <w:color w:val="000000"/>
          <w:kern w:val="0"/>
          <w:sz w:val="32"/>
          <w:szCs w:val="24"/>
          <w:highlight w:val="white"/>
          <w:lang w:val="zh-CN" w:eastAsia="zh-CN" w:bidi="ar-SA"/>
        </w:rPr>
        <w:t>%。其中：</w:t>
      </w:r>
    </w:p>
    <w:p>
      <w:pPr>
        <w:pStyle w:val="18"/>
        <w:numPr>
          <w:ilvl w:val="0"/>
          <w:numId w:val="0"/>
        </w:numPr>
        <w:ind w:firstLine="634" w:firstLineChars="200"/>
        <w:rPr>
          <w:rFonts w:hint="eastAsia" w:ascii="宋体" w:hAnsi="宋体" w:eastAsiaTheme="minorEastAsia" w:cstheme="minorBidi"/>
          <w:color w:val="000000"/>
          <w:kern w:val="0"/>
          <w:sz w:val="32"/>
          <w:szCs w:val="24"/>
          <w:highlight w:val="white"/>
          <w:lang w:val="en-US" w:eastAsia="zh-CN" w:bidi="ar-SA"/>
        </w:rPr>
      </w:pPr>
      <w:r>
        <w:rPr>
          <w:rFonts w:hint="eastAsia" w:ascii="宋体" w:hAnsi="宋体" w:eastAsiaTheme="minorEastAsia" w:cstheme="minorBidi"/>
          <w:color w:val="000000"/>
          <w:kern w:val="0"/>
          <w:sz w:val="32"/>
          <w:szCs w:val="24"/>
          <w:highlight w:val="white"/>
          <w:lang w:val="en-US" w:eastAsia="zh-CN" w:bidi="ar-SA"/>
        </w:rPr>
        <w:t xml:space="preserve">社会保障和就业支出（类）行政事业单位养老支出（款）机关事业单位基本养老保险缴费支出（项）。年初预算为61万元，支出决算为60.53万元，完成年初预算的99.23%。 决算数小于预算数的主要原因是严格按照预算执行，将支出控制在预算内。 </w:t>
      </w:r>
    </w:p>
    <w:p>
      <w:pPr>
        <w:pStyle w:val="18"/>
        <w:numPr>
          <w:ilvl w:val="0"/>
          <w:numId w:val="0"/>
        </w:numPr>
        <w:ind w:firstLine="634" w:firstLineChars="200"/>
        <w:rPr>
          <w:rFonts w:hint="eastAsia" w:ascii="宋体" w:hAnsi="宋体" w:eastAsiaTheme="minorEastAsia" w:cstheme="minorBidi"/>
          <w:color w:val="000000"/>
          <w:kern w:val="0"/>
          <w:sz w:val="32"/>
          <w:szCs w:val="24"/>
          <w:highlight w:val="white"/>
          <w:lang w:val="en-US" w:eastAsia="zh-CN" w:bidi="ar-SA"/>
        </w:rPr>
      </w:pPr>
      <w:r>
        <w:rPr>
          <w:rFonts w:hint="eastAsia" w:ascii="宋体" w:hAnsi="宋体" w:eastAsiaTheme="minorEastAsia" w:cstheme="minorBidi"/>
          <w:color w:val="000000"/>
          <w:kern w:val="0"/>
          <w:sz w:val="32"/>
          <w:szCs w:val="24"/>
          <w:highlight w:val="white"/>
          <w:lang w:val="en-US" w:eastAsia="zh-CN" w:bidi="ar-SA"/>
        </w:rPr>
        <w:t xml:space="preserve">卫生健康支出（类）行政事业单位医疗（款）行政单位医疗（项）。年初预算为29.12万元，支出决算为28.01万元，完成年初预算的96.19%。 决算数小于预算数的主要原因是严格按照预算执行，将支出控制在预算内。 </w:t>
      </w:r>
    </w:p>
    <w:p>
      <w:pPr>
        <w:pStyle w:val="18"/>
        <w:numPr>
          <w:ilvl w:val="0"/>
          <w:numId w:val="0"/>
        </w:numPr>
        <w:ind w:firstLine="634" w:firstLineChars="200"/>
        <w:rPr>
          <w:rFonts w:hint="eastAsia" w:ascii="宋体" w:hAnsi="宋体" w:eastAsiaTheme="minorEastAsia" w:cstheme="minorBidi"/>
          <w:color w:val="000000"/>
          <w:kern w:val="0"/>
          <w:sz w:val="32"/>
          <w:szCs w:val="24"/>
          <w:highlight w:val="white"/>
          <w:lang w:val="en-US" w:eastAsia="zh-CN" w:bidi="ar-SA"/>
        </w:rPr>
      </w:pPr>
      <w:r>
        <w:rPr>
          <w:rFonts w:hint="eastAsia" w:ascii="宋体" w:hAnsi="宋体" w:eastAsiaTheme="minorEastAsia" w:cstheme="minorBidi"/>
          <w:color w:val="000000"/>
          <w:kern w:val="0"/>
          <w:sz w:val="32"/>
          <w:szCs w:val="24"/>
          <w:highlight w:val="white"/>
          <w:lang w:val="en-US" w:eastAsia="zh-CN" w:bidi="ar-SA"/>
        </w:rPr>
        <w:t xml:space="preserve">节能环保支出（类）环境保护管理事务（款）行政运行（项）。年初预算为750万元，支出决算为745.55万元，完成年初预算的99.41%。 决算数小于预算数的主要原因是严格按照预算执行，将支出控制在预算内。 </w:t>
      </w:r>
    </w:p>
    <w:p>
      <w:pPr>
        <w:pStyle w:val="18"/>
        <w:numPr>
          <w:ilvl w:val="0"/>
          <w:numId w:val="0"/>
        </w:numPr>
        <w:ind w:firstLine="634" w:firstLineChars="200"/>
        <w:rPr>
          <w:rFonts w:hint="eastAsia" w:ascii="宋体" w:hAnsi="宋体" w:eastAsiaTheme="minorEastAsia" w:cstheme="minorBidi"/>
          <w:color w:val="000000"/>
          <w:kern w:val="0"/>
          <w:sz w:val="32"/>
          <w:szCs w:val="24"/>
          <w:highlight w:val="white"/>
          <w:lang w:val="en-US" w:eastAsia="zh-CN" w:bidi="ar-SA"/>
        </w:rPr>
      </w:pPr>
      <w:r>
        <w:rPr>
          <w:rFonts w:hint="eastAsia" w:ascii="宋体" w:hAnsi="宋体" w:eastAsiaTheme="minorEastAsia" w:cstheme="minorBidi"/>
          <w:color w:val="000000"/>
          <w:kern w:val="0"/>
          <w:sz w:val="32"/>
          <w:szCs w:val="24"/>
          <w:highlight w:val="white"/>
          <w:lang w:val="en-US" w:eastAsia="zh-CN" w:bidi="ar-SA"/>
        </w:rPr>
        <w:t xml:space="preserve">节能环保支出（类）环境保护管理事务（款）一般行政管理事务（项）。年初预算为168万元，支出决算为162.82万元，完成年初预算的96.92%。 决算数小于预算数的主要原因是严格按照预算执行，将支出控制在预算内。 </w:t>
      </w:r>
    </w:p>
    <w:p>
      <w:pPr>
        <w:pStyle w:val="18"/>
        <w:numPr>
          <w:ilvl w:val="0"/>
          <w:numId w:val="0"/>
        </w:numPr>
        <w:ind w:firstLine="634" w:firstLineChars="200"/>
        <w:rPr>
          <w:rFonts w:hint="eastAsia" w:ascii="宋体" w:hAnsi="宋体" w:eastAsiaTheme="minorEastAsia" w:cstheme="minorBidi"/>
          <w:color w:val="000000"/>
          <w:kern w:val="0"/>
          <w:sz w:val="32"/>
          <w:szCs w:val="24"/>
          <w:highlight w:val="white"/>
          <w:lang w:val="en-US" w:eastAsia="zh-CN" w:bidi="ar-SA"/>
        </w:rPr>
      </w:pPr>
      <w:r>
        <w:rPr>
          <w:rFonts w:hint="eastAsia" w:ascii="宋体" w:hAnsi="宋体" w:eastAsiaTheme="minorEastAsia" w:cstheme="minorBidi"/>
          <w:color w:val="000000"/>
          <w:kern w:val="0"/>
          <w:sz w:val="32"/>
          <w:szCs w:val="24"/>
          <w:highlight w:val="white"/>
          <w:lang w:val="en-US" w:eastAsia="zh-CN" w:bidi="ar-SA"/>
        </w:rPr>
        <w:t xml:space="preserve">节能环保支出（类）环境保护管理事务（款）其他环境保护管理事务支出（项）。年初预算为40万元，支出决算为33万元，完成年初预算的82.5%。 决算数小于预算数的主要原因是严格按照预算执行，将支出控制在预算内。 </w:t>
      </w:r>
    </w:p>
    <w:p>
      <w:pPr>
        <w:pStyle w:val="18"/>
        <w:numPr>
          <w:ilvl w:val="0"/>
          <w:numId w:val="0"/>
        </w:numPr>
        <w:ind w:firstLine="634" w:firstLineChars="200"/>
        <w:rPr>
          <w:rFonts w:hint="eastAsia" w:ascii="宋体" w:hAnsi="宋体" w:eastAsiaTheme="minorEastAsia" w:cstheme="minorBidi"/>
          <w:color w:val="000000"/>
          <w:kern w:val="0"/>
          <w:sz w:val="32"/>
          <w:szCs w:val="24"/>
          <w:highlight w:val="white"/>
          <w:lang w:val="zh-CN" w:eastAsia="zh-CN" w:bidi="ar-SA"/>
        </w:rPr>
      </w:pPr>
      <w:r>
        <w:rPr>
          <w:rFonts w:hint="eastAsia" w:ascii="宋体" w:hAnsi="宋体" w:eastAsiaTheme="minorEastAsia" w:cstheme="minorBidi"/>
          <w:color w:val="000000"/>
          <w:kern w:val="0"/>
          <w:sz w:val="32"/>
          <w:szCs w:val="24"/>
          <w:highlight w:val="white"/>
          <w:lang w:val="en-US" w:eastAsia="zh-CN" w:bidi="ar-SA"/>
        </w:rPr>
        <w:t xml:space="preserve">节能环保支出（类）污染防治（款）其他污染防治支出（项）。年初预算为300万元，支出决算为217.47万元，完成年初预算的72.49%。 决算数小于预算数的主要原因是严格按照预算执行，将支出控制在预算内。 </w:t>
      </w:r>
    </w:p>
    <w:p>
      <w:pPr>
        <w:keepNext/>
        <w:keepLines/>
        <w:suppressLineNumbers/>
        <w:ind w:firstLine="400"/>
        <w:jc w:val="left"/>
        <w:rPr>
          <w:rFonts w:hint="eastAsia" w:ascii="宋体" w:hAnsi="宋体"/>
          <w:color w:val="000000"/>
          <w:sz w:val="32"/>
          <w:szCs w:val="24"/>
          <w:highlight w:val="white"/>
          <w:lang w:val="zh-CN"/>
        </w:rPr>
      </w:pPr>
      <w:r>
        <w:rPr>
          <w:rFonts w:hint="eastAsia" w:ascii="宋体" w:hAnsi="宋体"/>
          <w:color w:val="000000"/>
          <w:kern w:val="0"/>
          <w:sz w:val="32"/>
          <w:szCs w:val="24"/>
          <w:highlight w:val="white"/>
          <w:lang w:val="en-US"/>
        </w:rPr>
        <w:t xml:space="preserve">   节能环保支出（类）其他节能环保支出（款）其他节能环保支出（项）。年初预算为350万元，支出决算为250万元，完成年初预算的71.43%。 决算数小于预算数的主要原因是</w:t>
      </w:r>
      <w:r>
        <w:rPr>
          <w:rFonts w:hint="eastAsia" w:ascii="宋体" w:hAnsi="宋体"/>
          <w:color w:val="000000"/>
          <w:kern w:val="0"/>
          <w:sz w:val="32"/>
          <w:szCs w:val="24"/>
          <w:highlight w:val="white"/>
          <w:lang w:val="en-US" w:eastAsia="zh-CN"/>
        </w:rPr>
        <w:t>严格按照预算执行，将支出控制在预算内。</w:t>
      </w:r>
      <w:r>
        <w:rPr>
          <w:rFonts w:hint="eastAsia" w:ascii="宋体" w:hAnsi="宋体"/>
          <w:color w:val="000000"/>
          <w:kern w:val="0"/>
          <w:sz w:val="32"/>
          <w:szCs w:val="24"/>
          <w:highlight w:val="white"/>
          <w:lang w:val="en-US"/>
        </w:rPr>
        <w:t xml:space="preserve"> </w:t>
      </w:r>
    </w:p>
    <w:p>
      <w:pPr>
        <w:pStyle w:val="18"/>
        <w:rPr>
          <w:rFonts w:hAnsi="黑体"/>
          <w:b/>
          <w:sz w:val="32"/>
          <w:szCs w:val="32"/>
        </w:rPr>
      </w:pPr>
      <w:r>
        <w:rPr>
          <w:rFonts w:hint="eastAsia" w:hAnsi="黑体"/>
          <w:b/>
          <w:sz w:val="32"/>
          <w:szCs w:val="32"/>
        </w:rPr>
        <w:t>六、一般公共预算财政拨款基本支出决算情况说明</w:t>
      </w:r>
    </w:p>
    <w:p>
      <w:pPr>
        <w:ind w:firstLine="634" w:firstLineChars="200"/>
        <w:jc w:val="left"/>
        <w:rPr>
          <w:rFonts w:hint="eastAsia" w:ascii="宋体" w:hAnsi="宋体"/>
          <w:color w:val="auto"/>
          <w:sz w:val="32"/>
          <w:szCs w:val="24"/>
          <w:highlight w:val="white"/>
          <w:lang w:val="zh-CN"/>
        </w:rPr>
      </w:pPr>
      <w:r>
        <w:rPr>
          <w:rFonts w:hint="eastAsia" w:ascii="宋体" w:hAnsi="宋体"/>
          <w:color w:val="auto"/>
          <w:sz w:val="32"/>
          <w:szCs w:val="24"/>
          <w:highlight w:val="white"/>
          <w:lang w:val="zh-CN"/>
        </w:rPr>
        <w:t>2020年度</w:t>
      </w:r>
      <w:r>
        <w:rPr>
          <w:rFonts w:hint="eastAsia" w:ascii="宋体" w:hAnsi="宋体"/>
          <w:color w:val="auto"/>
          <w:kern w:val="0"/>
          <w:sz w:val="32"/>
          <w:szCs w:val="24"/>
          <w:highlight w:val="white"/>
          <w:lang w:val="en-US"/>
        </w:rPr>
        <w:t>财政拨款基本支出867.09万元，其中:人员经费671.1万元，</w:t>
      </w:r>
      <w:r>
        <w:rPr>
          <w:rFonts w:hint="eastAsia" w:ascii="宋体" w:hAnsi="宋体"/>
          <w:color w:val="000000"/>
          <w:kern w:val="0"/>
          <w:sz w:val="32"/>
          <w:szCs w:val="24"/>
          <w:highlight w:val="white"/>
          <w:lang w:val="en-US"/>
        </w:rPr>
        <w:t>占基本支出的77.4%，</w:t>
      </w:r>
      <w:r>
        <w:rPr>
          <w:rFonts w:hint="eastAsia" w:ascii="宋体" w:hAnsi="宋体"/>
          <w:color w:val="auto"/>
          <w:kern w:val="0"/>
          <w:sz w:val="32"/>
          <w:szCs w:val="24"/>
          <w:highlight w:val="white"/>
          <w:lang w:val="en-US"/>
        </w:rPr>
        <w:t>主要包括基本工资、津贴补贴、</w:t>
      </w:r>
      <w:r>
        <w:rPr>
          <w:rFonts w:hint="eastAsia" w:ascii="宋体" w:hAnsi="宋体"/>
          <w:color w:val="auto"/>
          <w:kern w:val="0"/>
          <w:sz w:val="32"/>
          <w:szCs w:val="24"/>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宋体" w:hAnsi="宋体"/>
          <w:color w:val="auto"/>
          <w:kern w:val="0"/>
          <w:sz w:val="32"/>
          <w:szCs w:val="24"/>
          <w:highlight w:val="white"/>
          <w:lang w:val="en-US"/>
        </w:rPr>
        <w:t>公用经费195.99万元，</w:t>
      </w:r>
      <w:r>
        <w:rPr>
          <w:rFonts w:hint="eastAsia" w:ascii="宋体" w:hAnsi="宋体"/>
          <w:color w:val="000000"/>
          <w:kern w:val="0"/>
          <w:sz w:val="32"/>
          <w:szCs w:val="24"/>
          <w:highlight w:val="white"/>
          <w:lang w:val="en-US"/>
        </w:rPr>
        <w:t>占基本支出的22.6%，</w:t>
      </w:r>
      <w:r>
        <w:rPr>
          <w:rFonts w:hint="eastAsia" w:ascii="宋体" w:hAnsi="宋体"/>
          <w:color w:val="auto"/>
          <w:kern w:val="0"/>
          <w:sz w:val="32"/>
          <w:szCs w:val="24"/>
          <w:highlight w:val="white"/>
          <w:lang w:val="en-US"/>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18"/>
        <w:rPr>
          <w:rFonts w:hAnsi="黑体"/>
          <w:b/>
          <w:sz w:val="32"/>
          <w:szCs w:val="32"/>
        </w:rPr>
      </w:pPr>
      <w:r>
        <w:rPr>
          <w:rFonts w:hint="eastAsia" w:hAnsi="黑体"/>
          <w:b/>
          <w:sz w:val="32"/>
          <w:szCs w:val="32"/>
        </w:rPr>
        <w:t>七、一般公共预算财政拨款三公经费支出决算情况说明</w:t>
      </w:r>
    </w:p>
    <w:p>
      <w:pPr>
        <w:pStyle w:val="18"/>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8"/>
        <w:ind w:firstLine="634" w:firstLineChars="200"/>
        <w:rPr>
          <w:rFonts w:hint="eastAsia" w:ascii="宋体" w:hAnsi="宋体" w:eastAsiaTheme="minorEastAsia" w:cstheme="minorBidi"/>
          <w:color w:val="auto"/>
          <w:kern w:val="0"/>
          <w:sz w:val="32"/>
          <w:szCs w:val="24"/>
          <w:highlight w:val="white"/>
          <w:lang w:val="zh-CN" w:eastAsia="zh-CN" w:bidi="ar-SA"/>
        </w:rPr>
      </w:pPr>
      <w:r>
        <w:rPr>
          <w:rFonts w:hint="eastAsia" w:ascii="宋体" w:hAnsi="宋体" w:eastAsiaTheme="minorEastAsia" w:cstheme="minorBidi"/>
          <w:color w:val="auto"/>
          <w:kern w:val="0"/>
          <w:sz w:val="32"/>
          <w:szCs w:val="24"/>
          <w:highlight w:val="white"/>
          <w:lang w:val="en-US" w:eastAsia="zh-CN" w:bidi="ar-SA"/>
        </w:rPr>
        <w:t>2020年度“三公”经费财政拨款支出预算为16.5万元，支出决算为15.59万元,</w:t>
      </w:r>
      <w:r>
        <w:rPr>
          <w:rFonts w:hint="eastAsia" w:ascii="宋体" w:hAnsi="宋体" w:eastAsiaTheme="minorEastAsia" w:cstheme="minorBidi"/>
          <w:color w:val="auto"/>
          <w:kern w:val="0"/>
          <w:sz w:val="32"/>
          <w:szCs w:val="24"/>
          <w:highlight w:val="white"/>
          <w:lang w:val="zh-CN" w:eastAsia="zh-CN" w:bidi="ar-SA"/>
        </w:rPr>
        <w:t>完成预算的94.48%，与上年相比增加</w:t>
      </w:r>
      <w:r>
        <w:rPr>
          <w:rFonts w:hint="eastAsia" w:ascii="宋体" w:hAnsi="宋体" w:eastAsiaTheme="minorEastAsia" w:cstheme="minorBidi"/>
          <w:color w:val="auto"/>
          <w:kern w:val="0"/>
          <w:sz w:val="32"/>
          <w:szCs w:val="24"/>
          <w:highlight w:val="white"/>
          <w:lang w:val="en-US" w:eastAsia="zh-CN" w:bidi="ar-SA"/>
        </w:rPr>
        <w:t>15.59</w:t>
      </w:r>
      <w:r>
        <w:rPr>
          <w:rFonts w:hint="eastAsia" w:ascii="宋体" w:hAnsi="宋体" w:eastAsiaTheme="minorEastAsia" w:cstheme="minorBidi"/>
          <w:color w:val="auto"/>
          <w:kern w:val="0"/>
          <w:sz w:val="32"/>
          <w:szCs w:val="24"/>
          <w:highlight w:val="white"/>
          <w:lang w:val="zh-CN" w:eastAsia="zh-CN" w:bidi="ar-SA"/>
        </w:rPr>
        <w:t>万元，增长</w:t>
      </w:r>
      <w:r>
        <w:rPr>
          <w:rFonts w:hint="eastAsia" w:ascii="宋体" w:hAnsi="宋体" w:eastAsiaTheme="minorEastAsia" w:cstheme="minorBidi"/>
          <w:color w:val="auto"/>
          <w:kern w:val="0"/>
          <w:sz w:val="32"/>
          <w:szCs w:val="24"/>
          <w:highlight w:val="white"/>
          <w:lang w:val="en-US" w:eastAsia="zh-CN" w:bidi="ar-SA"/>
        </w:rPr>
        <w:t>100</w:t>
      </w:r>
      <w:r>
        <w:rPr>
          <w:rFonts w:hint="eastAsia" w:ascii="宋体" w:hAnsi="宋体" w:eastAsiaTheme="minorEastAsia" w:cstheme="minorBidi"/>
          <w:color w:val="auto"/>
          <w:kern w:val="0"/>
          <w:sz w:val="32"/>
          <w:szCs w:val="24"/>
          <w:highlight w:val="white"/>
          <w:lang w:val="zh-CN" w:eastAsia="zh-CN" w:bidi="ar-SA"/>
        </w:rPr>
        <w:t>%,增长的主要原因是为新报单位。本单位2020年部门决算为新报单位，新报因素是新增单位，没有与上年对比情况。</w:t>
      </w:r>
    </w:p>
    <w:p>
      <w:pPr>
        <w:pStyle w:val="18"/>
        <w:rPr>
          <w:rFonts w:hint="eastAsia" w:ascii="宋体" w:hAnsi="宋体" w:eastAsiaTheme="minorEastAsia" w:cstheme="minorBidi"/>
          <w:color w:val="auto"/>
          <w:kern w:val="0"/>
          <w:sz w:val="32"/>
          <w:szCs w:val="24"/>
          <w:highlight w:val="white"/>
          <w:lang w:val="zh-CN" w:eastAsia="zh-CN" w:bidi="ar-SA"/>
        </w:rPr>
      </w:pPr>
      <w:r>
        <w:rPr>
          <w:rFonts w:hint="eastAsia" w:ascii="宋体" w:hAnsi="宋体" w:eastAsiaTheme="minorEastAsia" w:cstheme="minorBidi"/>
          <w:color w:val="auto"/>
          <w:kern w:val="0"/>
          <w:sz w:val="32"/>
          <w:szCs w:val="24"/>
          <w:highlight w:val="white"/>
          <w:lang w:val="zh-CN" w:eastAsia="zh-CN" w:bidi="ar-SA"/>
        </w:rPr>
        <w:t>其中：</w:t>
      </w:r>
    </w:p>
    <w:p>
      <w:pPr>
        <w:pStyle w:val="18"/>
        <w:ind w:firstLine="634" w:firstLineChars="200"/>
        <w:rPr>
          <w:rFonts w:hint="eastAsia" w:ascii="宋体" w:hAnsi="宋体" w:eastAsiaTheme="minorEastAsia" w:cstheme="minorBidi"/>
          <w:color w:val="auto"/>
          <w:kern w:val="0"/>
          <w:sz w:val="32"/>
          <w:szCs w:val="24"/>
          <w:highlight w:val="white"/>
          <w:lang w:val="zh-CN" w:eastAsia="zh-CN" w:bidi="ar-SA"/>
        </w:rPr>
      </w:pPr>
      <w:r>
        <w:rPr>
          <w:rFonts w:hint="eastAsia" w:ascii="宋体" w:hAnsi="宋体" w:eastAsiaTheme="minorEastAsia" w:cstheme="minorBidi"/>
          <w:color w:val="auto"/>
          <w:kern w:val="0"/>
          <w:sz w:val="32"/>
          <w:szCs w:val="24"/>
          <w:highlight w:val="white"/>
          <w:lang w:val="zh-CN" w:eastAsia="zh-CN" w:bidi="ar-SA"/>
        </w:rPr>
        <w:t>无因公出国（境）费支出预算与决算；本单位2020年部门决算为新报单位，新报因素是新增单位，没有与上年对比情况。</w:t>
      </w:r>
    </w:p>
    <w:p>
      <w:pPr>
        <w:pStyle w:val="18"/>
        <w:ind w:firstLine="634" w:firstLineChars="200"/>
        <w:rPr>
          <w:rFonts w:hint="eastAsia" w:ascii="宋体" w:hAnsi="宋体" w:eastAsiaTheme="minorEastAsia" w:cstheme="minorBidi"/>
          <w:color w:val="auto"/>
          <w:kern w:val="2"/>
          <w:sz w:val="32"/>
          <w:szCs w:val="24"/>
          <w:highlight w:val="white"/>
          <w:lang w:val="zh-CN" w:eastAsia="zh-CN" w:bidi="ar-SA"/>
        </w:rPr>
      </w:pPr>
      <w:r>
        <w:rPr>
          <w:rFonts w:hint="eastAsia" w:ascii="宋体" w:hAnsi="宋体" w:eastAsiaTheme="minorEastAsia" w:cstheme="minorBidi"/>
          <w:color w:val="auto"/>
          <w:kern w:val="2"/>
          <w:sz w:val="32"/>
          <w:szCs w:val="24"/>
          <w:highlight w:val="white"/>
          <w:lang w:val="zh-CN" w:eastAsia="zh-CN" w:bidi="ar-SA"/>
        </w:rPr>
        <w:t>公务用车购置费</w:t>
      </w:r>
      <w:r>
        <w:rPr>
          <w:rFonts w:hint="eastAsia" w:ascii="宋体" w:hAnsi="宋体" w:eastAsiaTheme="minorEastAsia" w:cstheme="minorBidi"/>
          <w:color w:val="auto"/>
          <w:kern w:val="2"/>
          <w:sz w:val="32"/>
          <w:szCs w:val="24"/>
          <w:highlight w:val="white"/>
          <w:lang w:val="en-US" w:eastAsia="zh-CN" w:bidi="ar-SA"/>
        </w:rPr>
        <w:t>0</w:t>
      </w:r>
      <w:r>
        <w:rPr>
          <w:rFonts w:hint="eastAsia" w:ascii="宋体" w:hAnsi="宋体" w:eastAsiaTheme="minorEastAsia" w:cstheme="minorBidi"/>
          <w:color w:val="auto"/>
          <w:kern w:val="2"/>
          <w:sz w:val="32"/>
          <w:szCs w:val="24"/>
          <w:highlight w:val="white"/>
          <w:lang w:val="zh-CN" w:eastAsia="zh-CN" w:bidi="ar-SA"/>
        </w:rPr>
        <w:t>万元，当年没有购置公务用车。运行维护费支出预算为7万元，支出决算为6.58万元,完成预算的94%,决算数小于预算数的主要原因是认真贯彻落实中央“八项规定”精神和厉行节约要求，从严控制“三公”经费开支，全年实际支出比预算有所节约。与上年相比增加</w:t>
      </w:r>
      <w:r>
        <w:rPr>
          <w:rFonts w:hint="eastAsia" w:ascii="宋体" w:hAnsi="宋体" w:eastAsiaTheme="minorEastAsia" w:cstheme="minorBidi"/>
          <w:color w:val="auto"/>
          <w:kern w:val="2"/>
          <w:sz w:val="32"/>
          <w:szCs w:val="24"/>
          <w:highlight w:val="white"/>
          <w:lang w:val="en-US" w:eastAsia="zh-CN" w:bidi="ar-SA"/>
        </w:rPr>
        <w:t>6.58</w:t>
      </w:r>
      <w:r>
        <w:rPr>
          <w:rFonts w:hint="eastAsia" w:ascii="宋体" w:hAnsi="宋体" w:eastAsiaTheme="minorEastAsia" w:cstheme="minorBidi"/>
          <w:color w:val="auto"/>
          <w:kern w:val="2"/>
          <w:sz w:val="32"/>
          <w:szCs w:val="24"/>
          <w:highlight w:val="white"/>
          <w:lang w:val="zh-CN" w:eastAsia="zh-CN" w:bidi="ar-SA"/>
        </w:rPr>
        <w:t>万元，增长</w:t>
      </w:r>
      <w:r>
        <w:rPr>
          <w:rFonts w:hint="eastAsia" w:ascii="宋体" w:hAnsi="宋体" w:eastAsiaTheme="minorEastAsia" w:cstheme="minorBidi"/>
          <w:color w:val="auto"/>
          <w:kern w:val="2"/>
          <w:sz w:val="32"/>
          <w:szCs w:val="24"/>
          <w:highlight w:val="white"/>
          <w:lang w:val="en-US" w:eastAsia="zh-CN" w:bidi="ar-SA"/>
        </w:rPr>
        <w:t>100</w:t>
      </w:r>
      <w:r>
        <w:rPr>
          <w:rFonts w:hint="eastAsia" w:ascii="宋体" w:hAnsi="宋体" w:eastAsiaTheme="minorEastAsia" w:cstheme="minorBidi"/>
          <w:color w:val="auto"/>
          <w:kern w:val="2"/>
          <w:sz w:val="32"/>
          <w:szCs w:val="24"/>
          <w:highlight w:val="white"/>
          <w:lang w:val="zh-CN" w:eastAsia="zh-CN" w:bidi="ar-SA"/>
        </w:rPr>
        <w:t xml:space="preserve">%,增长主要原因是为新报单位，新报因素是新增单位，没有与上年对比情况。本单位2020年部门决算为新报单位，新报因素是新增单位，没有与上年对比情况。 </w:t>
      </w:r>
    </w:p>
    <w:p>
      <w:pPr>
        <w:pStyle w:val="18"/>
        <w:ind w:firstLine="634" w:firstLineChars="200"/>
        <w:rPr>
          <w:rFonts w:hint="eastAsia" w:ascii="宋体" w:hAnsi="宋体" w:eastAsiaTheme="minorEastAsia" w:cstheme="minorBidi"/>
          <w:color w:val="auto"/>
          <w:kern w:val="2"/>
          <w:sz w:val="32"/>
          <w:szCs w:val="24"/>
          <w:highlight w:val="white"/>
          <w:lang w:val="zh-CN" w:eastAsia="zh-CN" w:bidi="ar-SA"/>
        </w:rPr>
      </w:pPr>
      <w:r>
        <w:rPr>
          <w:rFonts w:hint="eastAsia" w:ascii="宋体" w:hAnsi="宋体" w:eastAsiaTheme="minorEastAsia" w:cstheme="minorBidi"/>
          <w:color w:val="auto"/>
          <w:kern w:val="2"/>
          <w:sz w:val="32"/>
          <w:szCs w:val="24"/>
          <w:highlight w:val="white"/>
          <w:lang w:val="zh-CN" w:eastAsia="zh-CN" w:bidi="ar-SA"/>
        </w:rPr>
        <w:t>公务接待费支出预算为9.5万元，支出决算为9.01万元,完成预算的94.84%,决算数小于预算数的主要原因是是认真贯彻落实中央“八项规定”精神和厉行节约要求，从严控制“三公”经费开支，全年实际支出比预算有所节约。与上年相比增加</w:t>
      </w:r>
      <w:r>
        <w:rPr>
          <w:rFonts w:hint="eastAsia" w:ascii="宋体" w:hAnsi="宋体" w:eastAsiaTheme="minorEastAsia" w:cstheme="minorBidi"/>
          <w:color w:val="auto"/>
          <w:kern w:val="2"/>
          <w:sz w:val="32"/>
          <w:szCs w:val="24"/>
          <w:highlight w:val="white"/>
          <w:lang w:val="en-US" w:eastAsia="zh-CN" w:bidi="ar-SA"/>
        </w:rPr>
        <w:t>9.01</w:t>
      </w:r>
      <w:r>
        <w:rPr>
          <w:rFonts w:hint="eastAsia" w:ascii="宋体" w:hAnsi="宋体" w:eastAsiaTheme="minorEastAsia" w:cstheme="minorBidi"/>
          <w:color w:val="auto"/>
          <w:kern w:val="2"/>
          <w:sz w:val="32"/>
          <w:szCs w:val="24"/>
          <w:highlight w:val="white"/>
          <w:lang w:val="zh-CN" w:eastAsia="zh-CN" w:bidi="ar-SA"/>
        </w:rPr>
        <w:t>万元，增长</w:t>
      </w:r>
      <w:r>
        <w:rPr>
          <w:rFonts w:hint="eastAsia" w:ascii="宋体" w:hAnsi="宋体" w:eastAsiaTheme="minorEastAsia" w:cstheme="minorBidi"/>
          <w:color w:val="auto"/>
          <w:kern w:val="2"/>
          <w:sz w:val="32"/>
          <w:szCs w:val="24"/>
          <w:highlight w:val="white"/>
          <w:lang w:val="en-US" w:eastAsia="zh-CN" w:bidi="ar-SA"/>
        </w:rPr>
        <w:t>100</w:t>
      </w:r>
      <w:r>
        <w:rPr>
          <w:rFonts w:hint="eastAsia" w:ascii="宋体" w:hAnsi="宋体" w:eastAsiaTheme="minorEastAsia" w:cstheme="minorBidi"/>
          <w:color w:val="auto"/>
          <w:kern w:val="2"/>
          <w:sz w:val="32"/>
          <w:szCs w:val="24"/>
          <w:highlight w:val="white"/>
          <w:lang w:val="zh-CN" w:eastAsia="zh-CN" w:bidi="ar-SA"/>
        </w:rPr>
        <w:t>%,增长主要原因是为新报单位，新报因素是新增单位，没有与上年对比情况。本单位2020年部门决算为新报单位，新报因素是新增单位，没有与上年对比情况。</w:t>
      </w:r>
    </w:p>
    <w:p>
      <w:pPr>
        <w:pStyle w:val="18"/>
        <w:numPr>
          <w:ilvl w:val="0"/>
          <w:numId w:val="3"/>
        </w:numPr>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“三公”经费财政拨款支出决算具体情况说明</w:t>
      </w:r>
    </w:p>
    <w:p>
      <w:pPr>
        <w:pStyle w:val="18"/>
        <w:ind w:firstLine="634" w:firstLineChars="200"/>
        <w:rPr>
          <w:rFonts w:hint="eastAsia" w:ascii="宋体" w:hAnsi="宋体" w:eastAsiaTheme="minorEastAsia" w:cstheme="minorBidi"/>
          <w:color w:val="auto"/>
          <w:kern w:val="0"/>
          <w:sz w:val="32"/>
          <w:szCs w:val="24"/>
          <w:highlight w:val="white"/>
          <w:lang w:val="zh-CN" w:eastAsia="zh-CN" w:bidi="ar-SA"/>
        </w:rPr>
      </w:pPr>
      <w:r>
        <w:rPr>
          <w:rFonts w:hint="eastAsia" w:ascii="宋体" w:hAnsi="宋体" w:eastAsiaTheme="minorEastAsia" w:cstheme="minorBidi"/>
          <w:color w:val="auto"/>
          <w:kern w:val="0"/>
          <w:sz w:val="32"/>
          <w:szCs w:val="24"/>
          <w:highlight w:val="white"/>
          <w:lang w:val="zh-CN" w:eastAsia="zh-CN" w:bidi="ar-SA"/>
        </w:rPr>
        <w:t>2020年度“三公”经费财政拨款支出决算中，因公出国（境）费支出决算0万元；</w:t>
      </w:r>
      <w:r>
        <w:rPr>
          <w:rFonts w:hint="eastAsia" w:ascii="宋体" w:hAnsi="宋体" w:eastAsiaTheme="minorEastAsia" w:cstheme="minorBidi"/>
          <w:color w:val="auto"/>
          <w:kern w:val="2"/>
          <w:sz w:val="32"/>
          <w:szCs w:val="24"/>
          <w:highlight w:val="white"/>
          <w:lang w:val="zh-CN" w:eastAsia="zh-CN" w:bidi="ar-SA"/>
        </w:rPr>
        <w:t>公务用车购置费</w:t>
      </w:r>
      <w:r>
        <w:rPr>
          <w:rFonts w:hint="eastAsia" w:ascii="宋体" w:hAnsi="宋体" w:eastAsiaTheme="minorEastAsia" w:cstheme="minorBidi"/>
          <w:color w:val="auto"/>
          <w:kern w:val="2"/>
          <w:sz w:val="32"/>
          <w:szCs w:val="24"/>
          <w:highlight w:val="white"/>
          <w:lang w:val="en-US" w:eastAsia="zh-CN" w:bidi="ar-SA"/>
        </w:rPr>
        <w:t>0</w:t>
      </w:r>
      <w:r>
        <w:rPr>
          <w:rFonts w:hint="eastAsia" w:ascii="宋体" w:hAnsi="宋体" w:eastAsiaTheme="minorEastAsia" w:cstheme="minorBidi"/>
          <w:color w:val="auto"/>
          <w:kern w:val="2"/>
          <w:sz w:val="32"/>
          <w:szCs w:val="24"/>
          <w:highlight w:val="white"/>
          <w:lang w:val="zh-CN" w:eastAsia="zh-CN" w:bidi="ar-SA"/>
        </w:rPr>
        <w:t>万元，当年没有购置公务用车，</w:t>
      </w:r>
      <w:r>
        <w:rPr>
          <w:rFonts w:hint="eastAsia" w:ascii="宋体" w:hAnsi="宋体" w:eastAsiaTheme="minorEastAsia" w:cstheme="minorBidi"/>
          <w:color w:val="auto"/>
          <w:kern w:val="0"/>
          <w:sz w:val="32"/>
          <w:szCs w:val="24"/>
          <w:highlight w:val="white"/>
          <w:lang w:val="zh-CN" w:eastAsia="zh-CN" w:bidi="ar-SA"/>
        </w:rPr>
        <w:t>运行维护费支出决算6.58万元，占42.21%；公务接待费支出决算9.01万元，占57.79%。其中：</w:t>
      </w:r>
    </w:p>
    <w:p>
      <w:pPr>
        <w:pStyle w:val="18"/>
        <w:ind w:firstLine="634" w:firstLineChars="200"/>
        <w:rPr>
          <w:rFonts w:hint="eastAsia" w:ascii="宋体" w:hAnsi="宋体" w:eastAsiaTheme="minorEastAsia" w:cstheme="minorBidi"/>
          <w:color w:val="auto"/>
          <w:kern w:val="0"/>
          <w:sz w:val="32"/>
          <w:szCs w:val="24"/>
          <w:highlight w:val="white"/>
          <w:lang w:val="zh-CN" w:eastAsia="zh-CN" w:bidi="ar-SA"/>
        </w:rPr>
      </w:pPr>
      <w:r>
        <w:rPr>
          <w:rFonts w:hint="eastAsia" w:ascii="宋体" w:hAnsi="宋体" w:eastAsiaTheme="minorEastAsia" w:cstheme="minorBidi"/>
          <w:color w:val="auto"/>
          <w:kern w:val="0"/>
          <w:sz w:val="32"/>
          <w:szCs w:val="24"/>
          <w:highlight w:val="white"/>
          <w:lang w:val="en-US" w:eastAsia="zh-CN" w:bidi="ar-SA"/>
        </w:rPr>
        <w:t>1、</w:t>
      </w:r>
      <w:r>
        <w:rPr>
          <w:rFonts w:hint="eastAsia" w:ascii="宋体" w:hAnsi="宋体" w:eastAsiaTheme="minorEastAsia" w:cstheme="minorBidi"/>
          <w:color w:val="auto"/>
          <w:kern w:val="0"/>
          <w:sz w:val="32"/>
          <w:szCs w:val="24"/>
          <w:highlight w:val="white"/>
          <w:lang w:val="zh-CN" w:eastAsia="zh-CN" w:bidi="ar-SA"/>
        </w:rPr>
        <w:t>因公出国（境）费支出决算0万元。</w:t>
      </w:r>
    </w:p>
    <w:p>
      <w:pPr>
        <w:pStyle w:val="18"/>
        <w:ind w:firstLine="634" w:firstLineChars="200"/>
        <w:rPr>
          <w:rFonts w:hint="eastAsia" w:ascii="宋体" w:hAnsi="宋体" w:eastAsiaTheme="minorEastAsia" w:cstheme="minorBidi"/>
          <w:color w:val="auto"/>
          <w:kern w:val="0"/>
          <w:sz w:val="32"/>
          <w:szCs w:val="24"/>
          <w:highlight w:val="white"/>
          <w:lang w:val="zh-CN" w:eastAsia="zh-CN" w:bidi="ar-SA"/>
        </w:rPr>
      </w:pPr>
      <w:r>
        <w:rPr>
          <w:rFonts w:hint="eastAsia" w:ascii="宋体" w:hAnsi="宋体" w:eastAsiaTheme="minorEastAsia" w:cstheme="minorBidi"/>
          <w:color w:val="auto"/>
          <w:kern w:val="0"/>
          <w:sz w:val="32"/>
          <w:szCs w:val="24"/>
          <w:highlight w:val="white"/>
          <w:lang w:val="en-US" w:eastAsia="zh-CN" w:bidi="ar-SA"/>
        </w:rPr>
        <w:t>2、</w:t>
      </w:r>
      <w:r>
        <w:rPr>
          <w:rFonts w:hint="eastAsia" w:ascii="宋体" w:hAnsi="宋体" w:eastAsiaTheme="minorEastAsia" w:cstheme="minorBidi"/>
          <w:color w:val="auto"/>
          <w:kern w:val="2"/>
          <w:sz w:val="32"/>
          <w:szCs w:val="24"/>
          <w:highlight w:val="white"/>
          <w:lang w:val="zh-CN" w:eastAsia="zh-CN" w:bidi="ar-SA"/>
        </w:rPr>
        <w:t>公务用车购置费</w:t>
      </w:r>
      <w:r>
        <w:rPr>
          <w:rFonts w:hint="eastAsia" w:ascii="宋体" w:hAnsi="宋体" w:eastAsiaTheme="minorEastAsia" w:cstheme="minorBidi"/>
          <w:color w:val="auto"/>
          <w:kern w:val="2"/>
          <w:sz w:val="32"/>
          <w:szCs w:val="24"/>
          <w:highlight w:val="white"/>
          <w:lang w:val="en-US" w:eastAsia="zh-CN" w:bidi="ar-SA"/>
        </w:rPr>
        <w:t>0</w:t>
      </w:r>
      <w:r>
        <w:rPr>
          <w:rFonts w:hint="eastAsia" w:ascii="宋体" w:hAnsi="宋体" w:eastAsiaTheme="minorEastAsia" w:cstheme="minorBidi"/>
          <w:color w:val="auto"/>
          <w:kern w:val="2"/>
          <w:sz w:val="32"/>
          <w:szCs w:val="24"/>
          <w:highlight w:val="white"/>
          <w:lang w:val="zh-CN" w:eastAsia="zh-CN" w:bidi="ar-SA"/>
        </w:rPr>
        <w:t>万元，当年没有购置公务用车，</w:t>
      </w:r>
      <w:bookmarkStart w:id="3" w:name="_GoBack"/>
      <w:bookmarkEnd w:id="3"/>
      <w:r>
        <w:rPr>
          <w:rFonts w:hint="eastAsia" w:ascii="宋体" w:hAnsi="宋体" w:eastAsiaTheme="minorEastAsia" w:cstheme="minorBidi"/>
          <w:color w:val="auto"/>
          <w:kern w:val="0"/>
          <w:sz w:val="32"/>
          <w:szCs w:val="24"/>
          <w:highlight w:val="white"/>
          <w:lang w:val="zh-CN" w:eastAsia="zh-CN" w:bidi="ar-SA"/>
        </w:rPr>
        <w:t>运行费支出决算为6.58万元，其中：公务用车运行支出6.58万元。主要是按规定保留的公务用车的燃料费、维修费、过桥过路费、保险费、安全奖励费用等支出。截至2020年12月31日，机关单位开支财政拨款的公务用车保有量为1辆。</w:t>
      </w:r>
    </w:p>
    <w:p>
      <w:pPr>
        <w:pStyle w:val="18"/>
        <w:ind w:firstLine="634" w:firstLineChars="200"/>
        <w:rPr>
          <w:rFonts w:asciiTheme="minorEastAsia" w:hAnsiTheme="minorEastAsia" w:eastAsiaTheme="minorEastAsia"/>
          <w:sz w:val="32"/>
          <w:szCs w:val="32"/>
        </w:rPr>
      </w:pPr>
      <w:r>
        <w:rPr>
          <w:rFonts w:hint="eastAsia" w:ascii="宋体" w:hAnsi="宋体" w:eastAsiaTheme="minorEastAsia" w:cstheme="minorBidi"/>
          <w:color w:val="auto"/>
          <w:kern w:val="0"/>
          <w:sz w:val="32"/>
          <w:szCs w:val="24"/>
          <w:highlight w:val="white"/>
          <w:lang w:val="en-US" w:eastAsia="zh-CN" w:bidi="ar-SA"/>
        </w:rPr>
        <w:t>3、</w:t>
      </w:r>
      <w:r>
        <w:rPr>
          <w:rFonts w:hint="eastAsia" w:ascii="宋体" w:hAnsi="宋体" w:eastAsiaTheme="minorEastAsia" w:cstheme="minorBidi"/>
          <w:color w:val="auto"/>
          <w:kern w:val="0"/>
          <w:sz w:val="32"/>
          <w:szCs w:val="24"/>
          <w:highlight w:val="white"/>
          <w:lang w:val="zh-CN" w:eastAsia="zh-CN" w:bidi="ar-SA"/>
        </w:rPr>
        <w:t>公务接待费支出决算为9.01万元，其中：其他国内公务接待支出9.01万元。主要用于</w:t>
      </w:r>
      <w:r>
        <w:rPr>
          <w:rFonts w:hint="eastAsia" w:ascii="宋体" w:hAnsi="宋体" w:eastAsiaTheme="minorEastAsia" w:cstheme="minorBidi"/>
          <w:color w:val="auto"/>
          <w:kern w:val="0"/>
          <w:sz w:val="32"/>
          <w:szCs w:val="24"/>
          <w:highlight w:val="white"/>
          <w:lang w:val="en-US" w:eastAsia="zh-CN" w:bidi="ar-SA"/>
        </w:rPr>
        <w:t>上级专项资金检查、空气自动监测站监控检查、监察现场执法检查、现场核查、人事考核等</w:t>
      </w:r>
      <w:r>
        <w:rPr>
          <w:rFonts w:hint="eastAsia" w:ascii="宋体" w:hAnsi="宋体" w:eastAsiaTheme="minorEastAsia" w:cstheme="minorBidi"/>
          <w:color w:val="auto"/>
          <w:kern w:val="0"/>
          <w:sz w:val="32"/>
          <w:szCs w:val="24"/>
          <w:highlight w:val="white"/>
          <w:lang w:val="zh-CN" w:eastAsia="zh-CN" w:bidi="ar-SA"/>
        </w:rPr>
        <w:t>发生的接待支出。岳阳市生态环境局华容分局2020年共接待国内公务接待批次</w:t>
      </w:r>
      <w:r>
        <w:rPr>
          <w:rFonts w:hint="eastAsia" w:ascii="宋体" w:hAnsi="宋体" w:eastAsiaTheme="minorEastAsia" w:cstheme="minorBidi"/>
          <w:color w:val="auto"/>
          <w:kern w:val="0"/>
          <w:sz w:val="32"/>
          <w:szCs w:val="24"/>
          <w:highlight w:val="white"/>
          <w:lang w:val="en-US" w:eastAsia="zh-CN" w:bidi="ar-SA"/>
        </w:rPr>
        <w:t>83</w:t>
      </w:r>
      <w:r>
        <w:rPr>
          <w:rFonts w:hint="eastAsia" w:ascii="宋体" w:hAnsi="宋体" w:eastAsiaTheme="minorEastAsia" w:cstheme="minorBidi"/>
          <w:color w:val="auto"/>
          <w:kern w:val="0"/>
          <w:sz w:val="32"/>
          <w:szCs w:val="24"/>
          <w:highlight w:val="white"/>
          <w:lang w:val="zh-CN" w:eastAsia="zh-CN" w:bidi="ar-SA"/>
        </w:rPr>
        <w:t>个、接待人次</w:t>
      </w:r>
      <w:r>
        <w:rPr>
          <w:rFonts w:hint="eastAsia" w:ascii="宋体" w:hAnsi="宋体" w:eastAsiaTheme="minorEastAsia" w:cstheme="minorBidi"/>
          <w:color w:val="auto"/>
          <w:kern w:val="0"/>
          <w:sz w:val="32"/>
          <w:szCs w:val="24"/>
          <w:highlight w:val="white"/>
          <w:lang w:val="en-US" w:eastAsia="zh-CN" w:bidi="ar-SA"/>
        </w:rPr>
        <w:t>902</w:t>
      </w:r>
      <w:r>
        <w:rPr>
          <w:rFonts w:hint="eastAsia" w:ascii="宋体" w:hAnsi="宋体" w:eastAsiaTheme="minorEastAsia" w:cstheme="minorBidi"/>
          <w:color w:val="auto"/>
          <w:kern w:val="0"/>
          <w:sz w:val="32"/>
          <w:szCs w:val="24"/>
          <w:highlight w:val="white"/>
          <w:lang w:val="zh-CN" w:eastAsia="zh-CN" w:bidi="ar-SA"/>
        </w:rPr>
        <w:t>人次（不包括陪同人员）。</w:t>
      </w:r>
    </w:p>
    <w:p>
      <w:pPr>
        <w:keepNext/>
        <w:keepLines/>
        <w:rPr>
          <w:rFonts w:hAnsi="黑体"/>
          <w:b/>
          <w:sz w:val="32"/>
          <w:szCs w:val="32"/>
        </w:rPr>
      </w:pPr>
      <w:r>
        <w:rPr>
          <w:rFonts w:hint="eastAsia" w:hAnsi="黑体"/>
          <w:b/>
          <w:sz w:val="32"/>
          <w:szCs w:val="32"/>
        </w:rPr>
        <w:t>八、政府性基金预算收入支出决算情况</w:t>
      </w:r>
    </w:p>
    <w:p>
      <w:pPr>
        <w:keepNext/>
        <w:keepLines/>
        <w:ind w:firstLine="634" w:firstLineChars="200"/>
        <w:rPr>
          <w:rFonts w:hint="eastAsia" w:ascii="宋体" w:hAnsi="宋体"/>
          <w:color w:val="auto"/>
          <w:kern w:val="0"/>
          <w:sz w:val="32"/>
          <w:szCs w:val="24"/>
          <w:highlight w:val="white"/>
          <w:lang w:val="en-US"/>
        </w:rPr>
      </w:pPr>
      <w:r>
        <w:rPr>
          <w:rFonts w:hint="eastAsia" w:ascii="宋体" w:hAnsi="宋体"/>
          <w:color w:val="auto"/>
          <w:kern w:val="0"/>
          <w:sz w:val="32"/>
          <w:szCs w:val="24"/>
          <w:highlight w:val="white"/>
          <w:lang w:val="en-US"/>
        </w:rPr>
        <w:t>2020年本单位没有使用政府性基金预算财政拨款安排的收支。</w:t>
      </w:r>
    </w:p>
    <w:p>
      <w:pPr>
        <w:pStyle w:val="18"/>
        <w:numPr>
          <w:ilvl w:val="0"/>
          <w:numId w:val="4"/>
        </w:numPr>
        <w:rPr>
          <w:rFonts w:hint="eastAsia" w:hAnsi="黑体"/>
          <w:b/>
          <w:sz w:val="32"/>
          <w:szCs w:val="32"/>
        </w:rPr>
      </w:pPr>
      <w:r>
        <w:rPr>
          <w:rFonts w:hint="eastAsia" w:hAnsi="黑体"/>
          <w:b/>
          <w:sz w:val="32"/>
          <w:szCs w:val="32"/>
        </w:rPr>
        <w:t>国有资本经营预算财政拨款支出决算情况</w:t>
      </w:r>
    </w:p>
    <w:p>
      <w:pPr>
        <w:pStyle w:val="18"/>
        <w:numPr>
          <w:ilvl w:val="0"/>
          <w:numId w:val="0"/>
        </w:numPr>
        <w:ind w:firstLine="634" w:firstLineChars="200"/>
        <w:rPr>
          <w:rFonts w:hint="eastAsia" w:asciiTheme="minorEastAsia" w:hAnsiTheme="minorEastAsia" w:eastAsiaTheme="minorEastAsia"/>
          <w:sz w:val="32"/>
          <w:szCs w:val="32"/>
          <w:lang w:val="en-US"/>
        </w:rPr>
      </w:pPr>
      <w:r>
        <w:rPr>
          <w:rFonts w:hint="eastAsia" w:asciiTheme="minorEastAsia" w:hAnsiTheme="minorEastAsia" w:eastAsiaTheme="minorEastAsia"/>
          <w:sz w:val="32"/>
          <w:szCs w:val="32"/>
          <w:lang w:val="en-US"/>
        </w:rPr>
        <w:t>2020年本单位没有使用国有资本经营预算财政</w:t>
      </w:r>
      <w:r>
        <w:rPr>
          <w:rFonts w:hint="eastAsia" w:asciiTheme="minorEastAsia" w:hAnsiTheme="minorEastAsia" w:eastAsiaTheme="minorEastAsia"/>
          <w:sz w:val="32"/>
          <w:szCs w:val="32"/>
        </w:rPr>
        <w:t>拨款</w:t>
      </w:r>
      <w:r>
        <w:rPr>
          <w:rFonts w:hint="eastAsia" w:asciiTheme="minorEastAsia" w:hAnsiTheme="minorEastAsia" w:eastAsiaTheme="minorEastAsia"/>
          <w:sz w:val="32"/>
          <w:szCs w:val="32"/>
          <w:lang w:val="en-US"/>
        </w:rPr>
        <w:t>安排的收支。</w:t>
      </w:r>
    </w:p>
    <w:p>
      <w:pPr>
        <w:pStyle w:val="18"/>
        <w:rPr>
          <w:rFonts w:hAnsi="黑体"/>
          <w:b/>
          <w:sz w:val="32"/>
          <w:szCs w:val="32"/>
        </w:rPr>
      </w:pPr>
      <w:r>
        <w:rPr>
          <w:rFonts w:hint="eastAsia" w:hAnsi="黑体"/>
          <w:b/>
          <w:sz w:val="32"/>
          <w:szCs w:val="32"/>
        </w:rPr>
        <w:t>十、关于机关运行经费支出说明</w:t>
      </w:r>
    </w:p>
    <w:p>
      <w:pPr>
        <w:keepNext/>
        <w:keepLines/>
        <w:ind w:firstLine="640"/>
        <w:rPr>
          <w:rFonts w:hint="eastAsia" w:ascii="宋体" w:hAnsi="宋体"/>
          <w:color w:val="FF0000"/>
          <w:kern w:val="0"/>
          <w:sz w:val="32"/>
          <w:szCs w:val="24"/>
          <w:highlight w:val="white"/>
          <w:lang w:val="en-US" w:eastAsia="zh-CN"/>
        </w:rPr>
      </w:pPr>
      <w:r>
        <w:rPr>
          <w:rFonts w:hint="eastAsia" w:asciiTheme="minorEastAsia" w:hAnsiTheme="minorEastAsia" w:eastAsiaTheme="minorEastAsia"/>
          <w:sz w:val="32"/>
          <w:szCs w:val="32"/>
        </w:rPr>
        <w:t xml:space="preserve"> </w:t>
      </w:r>
      <w:r>
        <w:rPr>
          <w:rFonts w:hint="eastAsia" w:ascii="宋体" w:hAnsi="宋体"/>
          <w:color w:val="auto"/>
          <w:sz w:val="32"/>
          <w:szCs w:val="24"/>
          <w:highlight w:val="white"/>
          <w:lang w:val="en-US"/>
        </w:rPr>
        <w:t>岳阳市生态环境局华容分局2020年机关运行经费支出195.99万元。比年初预算数增加73.24万元。增长59.67%，主要原因是：</w:t>
      </w:r>
      <w:r>
        <w:rPr>
          <w:rFonts w:hint="eastAsia" w:ascii="宋体" w:hAnsi="宋体"/>
          <w:color w:val="auto"/>
          <w:sz w:val="32"/>
          <w:szCs w:val="24"/>
          <w:highlight w:val="white"/>
          <w:lang w:val="en-US" w:eastAsia="zh-CN"/>
        </w:rPr>
        <w:t>因各项工作增加需要，项目业务费增加导致机关运行经费支出增加。</w:t>
      </w:r>
    </w:p>
    <w:p>
      <w:pPr>
        <w:pStyle w:val="18"/>
        <w:rPr>
          <w:rFonts w:hAnsi="黑体"/>
          <w:b/>
          <w:sz w:val="32"/>
          <w:szCs w:val="32"/>
        </w:rPr>
      </w:pPr>
      <w:r>
        <w:rPr>
          <w:rFonts w:hint="eastAsia" w:hAnsi="黑体"/>
          <w:b/>
          <w:sz w:val="32"/>
          <w:szCs w:val="32"/>
        </w:rPr>
        <w:t>十一、一般性支出情况</w:t>
      </w:r>
    </w:p>
    <w:p>
      <w:pPr>
        <w:pStyle w:val="18"/>
        <w:ind w:firstLine="634" w:firstLineChars="200"/>
        <w:rPr>
          <w:rFonts w:hint="eastAsia" w:ascii="宋体" w:hAnsi="宋体"/>
          <w:color w:val="auto"/>
          <w:sz w:val="32"/>
          <w:szCs w:val="24"/>
          <w:highlight w:val="white"/>
          <w:lang w:val="en-US"/>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万元；开支培训费</w:t>
      </w:r>
      <w:r>
        <w:rPr>
          <w:rFonts w:hint="eastAsia" w:asciiTheme="minorEastAsia" w:hAnsiTheme="minorEastAsia" w:eastAsiaTheme="minorEastAsia"/>
          <w:sz w:val="32"/>
          <w:szCs w:val="32"/>
          <w:lang w:val="en-US" w:eastAsia="zh-CN"/>
        </w:rPr>
        <w:t>0.19</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val="en-US" w:eastAsia="zh-CN"/>
        </w:rPr>
        <w:t>生态保护执法、污染源普查、县域生态考核等</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val="en-US" w:eastAsia="zh-CN"/>
        </w:rPr>
        <w:t>住宿、差旅等</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没有</w:t>
      </w:r>
      <w:r>
        <w:rPr>
          <w:rFonts w:hint="eastAsia" w:asciiTheme="minorEastAsia" w:hAnsiTheme="minorEastAsia" w:eastAsiaTheme="minorEastAsia"/>
          <w:sz w:val="32"/>
          <w:szCs w:val="32"/>
        </w:rPr>
        <w:t>举办节庆、晚会、论坛、赛事活动</w:t>
      </w:r>
      <w:r>
        <w:rPr>
          <w:rFonts w:hint="eastAsia" w:asciiTheme="minorEastAsia" w:hAnsiTheme="minorEastAsia" w:eastAsiaTheme="minorEastAsia"/>
          <w:sz w:val="32"/>
          <w:szCs w:val="32"/>
          <w:lang w:eastAsia="zh-CN"/>
        </w:rPr>
        <w:t>。</w:t>
      </w:r>
    </w:p>
    <w:p>
      <w:pPr>
        <w:pStyle w:val="18"/>
        <w:rPr>
          <w:rFonts w:hAnsi="黑体"/>
          <w:b/>
          <w:sz w:val="32"/>
          <w:szCs w:val="32"/>
        </w:rPr>
      </w:pPr>
      <w:r>
        <w:rPr>
          <w:rFonts w:hint="eastAsia" w:hAnsi="黑体"/>
          <w:b/>
          <w:sz w:val="32"/>
          <w:szCs w:val="32"/>
        </w:rPr>
        <w:t>十二、关于政府采购支出说明</w:t>
      </w:r>
    </w:p>
    <w:p>
      <w:pPr>
        <w:keepNext/>
        <w:keepLines/>
        <w:ind w:firstLine="640"/>
        <w:rPr>
          <w:rFonts w:hint="eastAsia" w:ascii="宋体" w:hAnsi="宋体"/>
          <w:color w:val="auto"/>
          <w:kern w:val="0"/>
          <w:sz w:val="32"/>
          <w:szCs w:val="24"/>
          <w:highlight w:val="white"/>
          <w:lang w:val="en-US"/>
        </w:rPr>
      </w:pPr>
      <w:r>
        <w:rPr>
          <w:rFonts w:hint="eastAsia" w:ascii="宋体" w:hAnsi="宋体"/>
          <w:color w:val="auto"/>
          <w:sz w:val="32"/>
          <w:szCs w:val="24"/>
          <w:highlight w:val="white"/>
          <w:lang w:val="en-US"/>
        </w:rPr>
        <w:t xml:space="preserve">岳阳市生态环境局华容分局2020年度政府采购支出总额133.78万元，其中：政府采购服务支出133.78万元； 授予中小企业合同金额133.78万元，占政府采购支出总额的100%， 其中：授予小微企业合同金额133.78万元，占政府采购支出总额的100%。 </w:t>
      </w:r>
    </w:p>
    <w:p>
      <w:pPr>
        <w:pStyle w:val="18"/>
        <w:rPr>
          <w:rFonts w:hAnsi="黑体"/>
          <w:b/>
          <w:sz w:val="32"/>
          <w:szCs w:val="32"/>
        </w:rPr>
      </w:pPr>
      <w:r>
        <w:rPr>
          <w:rFonts w:hint="eastAsia" w:hAnsi="黑体"/>
          <w:b/>
          <w:sz w:val="32"/>
          <w:szCs w:val="32"/>
        </w:rPr>
        <w:t>十三、关于国有资产占用情况说明</w:t>
      </w:r>
    </w:p>
    <w:p>
      <w:pPr>
        <w:pStyle w:val="18"/>
        <w:ind w:firstLine="634" w:firstLineChars="200"/>
        <w:rPr>
          <w:rFonts w:hint="eastAsia" w:ascii="宋体" w:hAnsi="宋体" w:eastAsiaTheme="minorEastAsia" w:cstheme="minorBidi"/>
          <w:color w:val="auto"/>
          <w:kern w:val="2"/>
          <w:sz w:val="32"/>
          <w:szCs w:val="24"/>
          <w:highlight w:val="white"/>
          <w:lang w:val="en-US" w:eastAsia="zh-CN" w:bidi="ar-SA"/>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辆，其中</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特种专业技术用车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w:t>
      </w:r>
      <w:r>
        <w:rPr>
          <w:rFonts w:hint="eastAsia" w:ascii="宋体" w:hAnsi="宋体" w:eastAsiaTheme="minorEastAsia" w:cstheme="minorBidi"/>
          <w:color w:val="auto"/>
          <w:kern w:val="2"/>
          <w:sz w:val="32"/>
          <w:szCs w:val="24"/>
          <w:highlight w:val="white"/>
          <w:lang w:val="en-US" w:eastAsia="zh-CN" w:bidi="ar-SA"/>
        </w:rPr>
        <w:t>年末无单价50万元以上通用设备，年末无单价100万元以上通用设备。</w:t>
      </w:r>
    </w:p>
    <w:p>
      <w:pPr>
        <w:pStyle w:val="18"/>
        <w:rPr>
          <w:rFonts w:hAnsi="黑体"/>
          <w:b/>
          <w:sz w:val="32"/>
          <w:szCs w:val="32"/>
        </w:rPr>
      </w:pPr>
      <w:r>
        <w:rPr>
          <w:rFonts w:hint="eastAsia" w:hAnsi="黑体"/>
          <w:b/>
          <w:sz w:val="32"/>
          <w:szCs w:val="32"/>
        </w:rPr>
        <w:t>十四、关于2020年度预算绩效情况的说明</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年，按照财政绩效管理要求开展了1-11月绩效跟踪评价，提交了20</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年度绩效评价报告。我局重抓污染治理、加强执法监管，全面完成大气污染防治、水污染防治行动计划、土壤污染防治、节能减排</w:t>
      </w:r>
      <w:r>
        <w:rPr>
          <w:rFonts w:hint="eastAsia" w:asciiTheme="minorEastAsia" w:hAnsiTheme="minorEastAsia" w:eastAsiaTheme="minorEastAsia"/>
          <w:sz w:val="32"/>
          <w:szCs w:val="32"/>
          <w:lang w:val="en-US" w:eastAsia="zh-CN"/>
        </w:rPr>
        <w:t>等</w:t>
      </w:r>
      <w:r>
        <w:rPr>
          <w:rFonts w:hint="eastAsia" w:asciiTheme="minorEastAsia" w:hAnsiTheme="minorEastAsia" w:eastAsiaTheme="minorEastAsia"/>
          <w:sz w:val="32"/>
          <w:szCs w:val="32"/>
        </w:rPr>
        <w:t>目标任务，社会、环境效益提升显著，具体成绩有：</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2020年农村生活污水处理率目标值是60%，完成率是74%；优良以上空气质量达标率目标值为85%，实际达标率是 95.9%；Ⅲ类或优于Ⅲ类水质达标率为91.7%，同比增长5.6个百分比。全县森林覆盖率达到22.15%，农村卫生厕所普及率达到95%，生活垃圾分类减量覆盖率达到90%，无害化处理率达到100%。全县各乡镇和相关部门按照省、市、县的统一部署和要求，对标对表，共同发力，保持定力，压茬推进突出环境问题整治，73项污染防治攻坚“夏季攻势”问题全部完成了销号，47个“洞庭清波”问题整治基本完成。</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（一）夯实基础，全力以赴推进碧水保卫战。推动了长江经济带生态优先绿色发展，打造了最美长江岸线华容段，认真推进了长江经济带生态环境问题整治、洞庭湖（华容河）治理。</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1.强力推进长江排渍口整治。县境内长江13个排渍（污）口整治，经国家生态环境部全面排查后，调整为43个（包括二级排渍口）。已完成了4个(塔市闸、长江闸、芝湖闸、万家垸闸）；启动了3个（顺星闸、青泥闸、送水闸）；对余下的36个正在按照“排查、溯源、监测、整改”的要求，进行摸底和信息采集，完成了排渍（污）口的水样采样和监测,正在进行分类整治。</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强力推进华容河的整治。2020年，华容河六门闸水质如下：1、3、5、7、9、10月份为Ⅲ类；2、4、6月份为Ⅳ类；8、11、12月份为Ⅱ类。一是持续推进沿河企业整治。对28家重点企业，尤其是14家涉水企业进行地毯式排查，发现问题立即整治。9月30日前，全面完成了工业园区问题整治，实现工业园区污水管网全覆盖，工业污水集中收集处理、达标排放，在线监控稳定运行。二是加快推进乡镇污水处理设施建设。第一期7个、第二期6个乡镇污水厂已全部建成，运行良好，实现了乡镇污水处理设施全覆盖。三是加快推进护城港综合治理。完成了护城港治理的清淤、管道疏通、生物治理和补水泵站建设生态修复。四是加快推进沿河垃圾清理及养殖退养工作。全面清除河段、河堤上的垃圾、漂浮物。拆除沿河养殖场、网箱、迷魂阵，防止反弹。五是加快推进垃圾处理设施建设。虎尾山垃圾场已完成封场治理工程；鼎山垃圾填埋场已全面完成工程建设任务。六是扎实推进“河（湖）长制”工作。压实县乡河长巡河责任和乡镇主体责任，加强河湖清“四乱”等工作推进力度。七是强力推进工程性治理措施。华容河调弦闸生态补水及清淤工程，已经启动；投资1000万元完成了桥东污水处理厂（石伏村）配套管网建设及黑臭水体治理项目。八是推进华容河联合治理。市、县两级领导带领我县相关负责人与荆州市、石首市进行了对接，共同推进了华容河治理。</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3.强力推进东湖整治。县政府把东湖水系作为重点整治对象，成立了东湖水系水环境整治指挥部，制定了详细的整治清单，正在采取工程措施治理、禁止投肥养殖、减量施用化肥、严抓畜禽退养等综合措施。一是16个集中式处理农村生活污水设施（禹山镇罗家嘴村、华兴村、南竹村和插旗镇的插旗村等）已建成,运行正常，效果很好；二是启动禹山大乘港治理，已争取专项资金1100万元，已启动建设，正在打造一条入湖口整治的示范工程；三是农业面源污染综合整治，强力推进了畜禽退养、减肥、控药、东湖周边精养鱼池退出等。</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4.强力推进其他重点问题整治。16处“千吨万人”问题，已完成整改并销号。农村生活污水和黑臭水体治理，完成了15个村的农村生活污水处理，并已销号。对操军西灌渠黑臭水体进行治理，正在施工。工业园水环境方面，洪山头工业园区限批已解除；工业集中区规划环评正在调整；华一水库在年底退出省级饮用水备用水源名录。欧美黑杨清退，已完成清理任务。</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二）巩固成效，竭尽全力推进蓝天保卫战。“双随机”（检查人员随机、检查对象随机）检查企业148家次，立案5起。同时责令企业对环保设施进行整改，确保大气污染物达标排放。强化了固体废物和危险废物管控，开展危险废物申报登记和管理计划备案，已备案危险废物企业15家、医疗单位32家、汽修单位7家，共计54家（不包括学校危化品19家和一般固体废物企业13家）。我县“蓝天保卫战”共计13项问题，已按规定时间完成了集中整治和销号，进入了常态化管理。继续做好了控排、控车、控烧、控尘、控煤、控油等“六控”工作：一是生态环境、工信部门对重点行业的企业严格执行排放限值的标准要求，完成年排放量100吨以上的包装印刷、工业涂装、家具制造等重点行业VOCS污染治理；完成了高污染燃料禁燃区和高排放非道路移动机械禁止使用区的划分工作；完成了天方夜谭家具公司、首创公司、岳通管业、涂宝防水材料、湘笙和、合创吹瓶加工厂等6家企业的污染治理升级改造工作；完善了环境空气质量监测网络，督促工业园区完成了小微站建设。二是打好了柴油货车污染治理攻坚战，完成了非道路移动机械等级编码工作，交警和相关部门进行了多次联合执法。三是下力气控制秸杆焚烧。县委、县政府主要领导，分管县级领导亲自部署、亲自督办；县生态委办公室、县农村工作办公室多次向各乡镇、相关部门下达了督办函，强力推进了秸秆禁烧工作；加大了宣传和巡查力度，健全了秸秆禁烧巡查监管机制，成立了县、乡两级巡查小组，每天对县域范围内秸秆焚烧现象进行督导巡查，一天一通报；以乡镇为单位成立了机动扑火队，发现焚烧火点及时扑灭，并对当事人给予了500-1000元的处罚，有效控制了秸秆焚烧现象的发生。四是加强了扬尘监管。住建部门加强了对施工场地监管，采取日常巡查与明察暗访相结合的方式对建筑工地开展了施工扬尘整治，下发整改通知24份，整改问题28个；县交通运输与公安部门开展联合执法检查，共开展集中整治18次，出动执法人员126次，出动执法车辆30台，查处货运车辆违法行为27起，行政处罚13.6万元；城管部门加大了对渣土运输扬尘的监管，查扣严重违规车辆22台，处罚22人次，罚款1万多元。五是城区禁止新建35蒸吨/小时及以下燃煤锅炉，其他地方禁止新建10蒸吨/小时及以下的燃煤锅炉；加强了餐饮业油烟整治，城管局牵头，对城区34家规模餐饮行业进行了油烟治理。六是商务粮食部门牵头，完成了加油站、储油库、油罐车油气回收治理工作。对自建油罐、流动油罐车、非法加油、无计量标准、价格随意等严重扰乱成品油市场秩序的行为，加大了打击力度，维护了成品油市场经营秩序。</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三)稳固效果，不遗余力推进“洞庭清波”整治。县委、县政府对“洞庭清波”专项整治高度重视，县委、县政府主要领导，纪监委主要领导，分管县级领导进行了多次调度和部署，县生态委下发了整治方案和问题清单，全县乡镇和相关部门单位结合实际，强力推进了整改，取得了良好的效果。</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1.重点抓好省纪委挂牌督办问题整治，确保水质“稳定向好”。2019年10月，华容河水质问题列入了省纪委挂牌督办问题。华容河六门闸监测断面也为国控断面，倍受国家、省、市高度关注。根据水质功能分区和省、市要求，华容河全线必须执行地表水Ⅲ类水质标准，近年来，我县投入了10多亿、实施了“十大组合拳”持续推进了华容河整治，并取得一定的成效，华容河水质逐渐向好。</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突出抓好省纪委下发清单问题整治，确保所有问题“逐一歼灭”。涉及到我县的主要3个个性问题和2个共性问题：一是麻浬泗社区惠民食品有限公司生猪屠宰场污水污染外环境问题，已完成整改已销号。二是朱家湖机埠黑臭水体治理不到位问题，已完成整改已销号。三是注滋口镇污水处理管网建设还有待完善问题，已完成整改和销号。四是洞庭湖全面禁止捕鱼后，钓鱼应不应该管控以及如何规范的问题。经巡查发现，在团洲大堤外挖泥沟内，有私搭两处垂钓渔排进行垂钓，我们对该两处垂钓渔排进行了拆除和销毁，并严格禁止渔船载客。五是已经建成的乡镇污水处理厂运营资金来源问题。目前我县还是采取政府出钱购买服务的形式保障乡镇污水处理厂的正常运行，正在完善乡镇污水处理收费机制，确保设施正常、稳定、有效运行，持续发挥其生态和社会效益。</w:t>
      </w:r>
    </w:p>
    <w:p>
      <w:pPr>
        <w:pStyle w:val="18"/>
        <w:ind w:firstLine="634"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3.全面抓好市纪委“洞庭清波”专项整治，确保47个问题“决胜清零”。2020年，市“洞庭清波”专项整治工作联席会议办公室通过梳理中央、省环保督察交办问题，汇总整理出问题涉及华容有47项。针对问题清单，县委、县政府高度重视，统筹兼顾、明确责任，动员和组织各级各单位、社会各方面齐抓共管，形成整改合力，全力推进了问题整改。县纪委监委积极部署、认真督促相关乡镇和部门落实“洞庭清波”行动落实落地，有力推动了生态环保工作。</w:t>
      </w:r>
    </w:p>
    <w:p>
      <w:pPr>
        <w:pStyle w:val="18"/>
        <w:ind w:firstLine="634" w:firstLineChars="200"/>
        <w:rPr>
          <w:rFonts w:hint="eastAsia" w:asciiTheme="minorEastAsia" w:hAnsiTheme="minorEastAsia" w:eastAsiaTheme="minorEastAsia"/>
          <w:sz w:val="32"/>
          <w:szCs w:val="32"/>
        </w:rPr>
      </w:pPr>
    </w:p>
    <w:p>
      <w:pPr>
        <w:pStyle w:val="18"/>
        <w:ind w:firstLine="634" w:firstLineChars="200"/>
        <w:rPr>
          <w:rFonts w:hint="eastAsia" w:asciiTheme="minorEastAsia" w:hAnsiTheme="minorEastAsia" w:eastAsiaTheme="minorEastAsia"/>
          <w:sz w:val="32"/>
          <w:szCs w:val="32"/>
        </w:rPr>
      </w:pPr>
    </w:p>
    <w:p>
      <w:pPr>
        <w:pStyle w:val="18"/>
        <w:ind w:firstLine="634" w:firstLineChars="200"/>
        <w:rPr>
          <w:rFonts w:hint="eastAsia" w:asciiTheme="minorEastAsia" w:hAnsiTheme="minorEastAsia" w:eastAsiaTheme="minorEastAsia"/>
          <w:sz w:val="32"/>
          <w:szCs w:val="32"/>
        </w:rPr>
      </w:pPr>
    </w:p>
    <w:p>
      <w:pPr>
        <w:pStyle w:val="18"/>
        <w:ind w:firstLine="634" w:firstLineChars="200"/>
        <w:rPr>
          <w:rFonts w:hint="eastAsia" w:asciiTheme="minorEastAsia" w:hAnsiTheme="minorEastAsia" w:eastAsiaTheme="minorEastAsia"/>
          <w:sz w:val="32"/>
          <w:szCs w:val="32"/>
        </w:rPr>
      </w:pPr>
    </w:p>
    <w:p>
      <w:pPr>
        <w:pStyle w:val="18"/>
        <w:ind w:firstLine="634" w:firstLineChars="200"/>
        <w:rPr>
          <w:rFonts w:hint="eastAsia" w:asciiTheme="minorEastAsia" w:hAnsiTheme="minorEastAsia" w:eastAsiaTheme="minorEastAsia"/>
          <w:sz w:val="32"/>
          <w:szCs w:val="32"/>
        </w:rPr>
      </w:pPr>
    </w:p>
    <w:p>
      <w:pPr>
        <w:pStyle w:val="18"/>
        <w:ind w:firstLine="634" w:firstLineChars="200"/>
        <w:rPr>
          <w:rFonts w:hint="eastAsia" w:asciiTheme="minorEastAsia" w:hAnsiTheme="minorEastAsia" w:eastAsiaTheme="minorEastAsia"/>
          <w:sz w:val="32"/>
          <w:szCs w:val="32"/>
        </w:rPr>
      </w:pPr>
    </w:p>
    <w:p>
      <w:pPr>
        <w:pStyle w:val="18"/>
        <w:ind w:firstLine="634" w:firstLineChars="200"/>
        <w:rPr>
          <w:rFonts w:hint="eastAsia" w:asciiTheme="minorEastAsia" w:hAnsiTheme="minorEastAsia" w:eastAsiaTheme="minorEastAsia"/>
          <w:sz w:val="32"/>
          <w:szCs w:val="32"/>
        </w:rPr>
      </w:pPr>
    </w:p>
    <w:p>
      <w:pPr>
        <w:pStyle w:val="18"/>
        <w:jc w:val="center"/>
        <w:rPr>
          <w:sz w:val="72"/>
          <w:szCs w:val="72"/>
        </w:rPr>
      </w:pPr>
    </w:p>
    <w:p>
      <w:pPr>
        <w:pStyle w:val="18"/>
        <w:ind w:firstLine="2868" w:firstLineChars="400"/>
        <w:jc w:val="both"/>
        <w:rPr>
          <w:rFonts w:hint="eastAsia"/>
          <w:sz w:val="72"/>
          <w:szCs w:val="72"/>
        </w:rPr>
      </w:pPr>
    </w:p>
    <w:p>
      <w:pPr>
        <w:pStyle w:val="18"/>
        <w:ind w:firstLine="2868" w:firstLineChars="400"/>
        <w:jc w:val="both"/>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ind w:firstLine="634"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cs="黑体" w:asciiTheme="minorEastAsia" w:hAnsiTheme="minorEastAsia"/>
          <w:color w:val="000000"/>
          <w:kern w:val="0"/>
          <w:sz w:val="32"/>
          <w:szCs w:val="32"/>
        </w:rPr>
        <w:t>……</w:t>
      </w:r>
    </w:p>
    <w:p>
      <w:pPr>
        <w:ind w:firstLine="634"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w:t>
      </w:r>
      <w:r>
        <w:rPr>
          <w:rFonts w:cs="黑体" w:asciiTheme="minorEastAsia" w:hAnsiTheme="minorEastAsia"/>
          <w:color w:val="000000"/>
          <w:kern w:val="0"/>
          <w:sz w:val="32"/>
          <w:szCs w:val="32"/>
        </w:rPr>
        <w:t>……</w:t>
      </w:r>
    </w:p>
    <w:p>
      <w:pPr>
        <w:ind w:firstLine="634"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w:t>
      </w:r>
      <w:r>
        <w:rPr>
          <w:rFonts w:cs="黑体" w:asciiTheme="minorEastAsia" w:hAnsiTheme="minorEastAsia"/>
          <w:color w:val="000000"/>
          <w:kern w:val="0"/>
          <w:sz w:val="32"/>
          <w:szCs w:val="32"/>
        </w:rPr>
        <w:t>……</w:t>
      </w:r>
    </w:p>
    <w:p>
      <w:pPr>
        <w:pStyle w:val="18"/>
        <w:jc w:val="center"/>
        <w:rPr>
          <w:rFonts w:asciiTheme="minorEastAsia" w:hAnsiTheme="minorEastAsia"/>
          <w:sz w:val="32"/>
          <w:szCs w:val="32"/>
        </w:rPr>
      </w:pPr>
      <w:r>
        <w:rPr>
          <w:rFonts w:asciiTheme="minorEastAsia" w:hAnsiTheme="minorEastAsia"/>
          <w:sz w:val="32"/>
          <w:szCs w:val="32"/>
        </w:rPr>
        <w:t>………</w:t>
      </w:r>
    </w:p>
    <w:p>
      <w:pPr>
        <w:widowControl/>
        <w:jc w:val="left"/>
        <w:rPr>
          <w:rFonts w:eastAsia="黑体" w:cs="黑体" w:asciiTheme="minorEastAsia" w:hAnsiTheme="minorEastAsia"/>
          <w:color w:val="000000"/>
          <w:kern w:val="0"/>
          <w:sz w:val="28"/>
          <w:szCs w:val="32"/>
        </w:rPr>
      </w:pPr>
      <w:r>
        <w:rPr>
          <w:rFonts w:hint="eastAsia" w:asciiTheme="minorEastAsia" w:hAnsiTheme="minorEastAsia"/>
          <w:sz w:val="28"/>
          <w:szCs w:val="32"/>
        </w:rPr>
        <w:t>（名词解释应包含本部门专有名词，如省财政厅应有对“财政事务”科目的解释）</w:t>
      </w:r>
    </w:p>
    <w:p>
      <w:pPr>
        <w:pStyle w:val="18"/>
        <w:jc w:val="center"/>
        <w:rPr>
          <w:sz w:val="72"/>
          <w:szCs w:val="72"/>
        </w:rPr>
      </w:pPr>
    </w:p>
    <w:p>
      <w:pPr>
        <w:pStyle w:val="18"/>
        <w:jc w:val="center"/>
        <w:rPr>
          <w:sz w:val="72"/>
          <w:szCs w:val="72"/>
        </w:rPr>
      </w:pPr>
    </w:p>
    <w:p>
      <w:pPr>
        <w:pStyle w:val="18"/>
        <w:jc w:val="center"/>
        <w:rPr>
          <w:sz w:val="72"/>
          <w:szCs w:val="72"/>
        </w:rPr>
      </w:pPr>
    </w:p>
    <w:p>
      <w:pPr>
        <w:pStyle w:val="18"/>
        <w:jc w:val="center"/>
        <w:rPr>
          <w:sz w:val="72"/>
          <w:szCs w:val="72"/>
        </w:rPr>
      </w:pPr>
    </w:p>
    <w:p>
      <w:pPr>
        <w:pStyle w:val="18"/>
        <w:jc w:val="center"/>
        <w:rPr>
          <w:sz w:val="72"/>
          <w:szCs w:val="72"/>
        </w:rPr>
      </w:pPr>
    </w:p>
    <w:p>
      <w:pPr>
        <w:pStyle w:val="18"/>
        <w:ind w:firstLine="2868" w:firstLineChars="400"/>
        <w:jc w:val="both"/>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spacing w:line="800" w:lineRule="exact"/>
        <w:ind w:firstLine="1371" w:firstLineChars="300"/>
        <w:jc w:val="both"/>
        <w:rPr>
          <w:rFonts w:hint="eastAsia" w:eastAsia="方正小标宋简体"/>
          <w:bCs/>
          <w:sz w:val="46"/>
          <w:szCs w:val="46"/>
        </w:rPr>
      </w:pPr>
      <w:r>
        <w:rPr>
          <w:rFonts w:hint="eastAsia" w:eastAsia="方正小标宋简体"/>
          <w:bCs/>
          <w:sz w:val="46"/>
          <w:szCs w:val="46"/>
        </w:rPr>
        <w:t>岳阳市20</w:t>
      </w:r>
      <w:r>
        <w:rPr>
          <w:rFonts w:hint="eastAsia" w:eastAsia="方正小标宋简体"/>
          <w:bCs/>
          <w:sz w:val="46"/>
          <w:szCs w:val="46"/>
          <w:u w:val="single"/>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岳阳市生态环境局华容分局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9031201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7</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Borders>
            <w:top w:val="none" w:sz="0" w:space="0"/>
            <w:left w:val="none" w:sz="0" w:space="0"/>
            <w:bottom w:val="none" w:sz="0" w:space="0"/>
            <w:right w:val="none" w:sz="0" w:space="0"/>
          </w:pgBorders>
          <w:pgNumType w:start="1"/>
          <w:cols w:space="720" w:num="1"/>
          <w:docGrid w:type="linesAndChars" w:linePitch="602" w:charSpace="-782"/>
        </w:sectPr>
      </w:pPr>
      <w:r>
        <w:rPr>
          <w:rFonts w:hint="eastAsia" w:eastAsia="仿宋_GB2312"/>
          <w:sz w:val="32"/>
        </w:rPr>
        <w:t>岳阳市财政</w:t>
      </w:r>
      <w:r>
        <w:rPr>
          <w:rFonts w:hint="eastAsia" w:eastAsia="仿宋_GB2312"/>
          <w:sz w:val="32"/>
          <w:szCs w:val="32"/>
        </w:rPr>
        <w:t>局（制）</w:t>
      </w:r>
    </w:p>
    <w:tbl>
      <w:tblPr>
        <w:tblStyle w:val="8"/>
        <w:tblW w:w="98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338"/>
        <w:gridCol w:w="141"/>
        <w:gridCol w:w="422"/>
        <w:gridCol w:w="1057"/>
        <w:gridCol w:w="547"/>
        <w:gridCol w:w="139"/>
        <w:gridCol w:w="316"/>
        <w:gridCol w:w="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85"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周娟</w:t>
            </w:r>
          </w:p>
        </w:tc>
        <w:tc>
          <w:tcPr>
            <w:tcW w:w="147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9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13974084999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w:t>
            </w:r>
          </w:p>
        </w:tc>
        <w:tc>
          <w:tcPr>
            <w:tcW w:w="147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9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2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231" w:type="dxa"/>
            <w:gridSpan w:val="14"/>
            <w:noWrap w:val="0"/>
            <w:vAlign w:val="center"/>
          </w:tcPr>
          <w:p>
            <w:pPr>
              <w:widowControl/>
              <w:jc w:val="both"/>
              <w:rPr>
                <w:rFonts w:hint="eastAsia" w:ascii="Times New Roman" w:hAnsi="Times New Roman" w:eastAsia="仿宋_GB2312" w:cs="Times New Roman"/>
                <w:kern w:val="0"/>
                <w:sz w:val="24"/>
                <w:lang w:eastAsia="zh-CN"/>
              </w:rPr>
            </w:pPr>
            <w:r>
              <w:rPr>
                <w:rFonts w:hint="eastAsia" w:ascii="Times New Roman" w:hAnsi="Times New Roman" w:eastAsia="仿宋_GB2312" w:cs="Times New Roman"/>
                <w:kern w:val="0"/>
                <w:sz w:val="24"/>
              </w:rPr>
              <w:t>贯彻执行国家、省和市有关生态环境的法律法规和政策，根据职责和授权拟订生态环境保护规范性文件并监督实施。负责生态环境保护方面的制度建设</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协调和监督管理辖区内生态环境保护工作</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监督管理减排目标的落实</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环境污染防治的监督管理</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指导协调和监督生态保护修复工作</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辐射环境安全的监督管理</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生态环境准入的监督管理</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生态环境监测工作</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承担生态环境保护综合执法工作</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组织开展生态环境科技工作</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会同有关部门管理生态环境保护有关资金项目</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组织开展和指导生态环境宣传教育工作</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完成市生态环境局交办的其他任务，协助华容县委、县政府开展生态环境保护工作，指导辖区内乡镇（街道）的生态环境保护工作。</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231" w:type="dxa"/>
            <w:gridSpan w:val="14"/>
            <w:noWrap w:val="0"/>
            <w:vAlign w:val="center"/>
          </w:tcPr>
          <w:p>
            <w:pPr>
              <w:widowControl/>
              <w:jc w:val="both"/>
              <w:rPr>
                <w:rFonts w:hint="eastAsia" w:ascii="Times New Roman" w:hAnsi="Times New Roman" w:eastAsia="仿宋_GB2312" w:cs="Times New Roman"/>
                <w:kern w:val="0"/>
                <w:sz w:val="24"/>
              </w:rPr>
            </w:pPr>
            <w:r>
              <w:rPr>
                <w:rFonts w:hint="eastAsia"/>
              </w:rPr>
              <w:t>1</w:t>
            </w:r>
            <w:r>
              <w:rPr>
                <w:rFonts w:hint="eastAsia" w:ascii="Times New Roman" w:hAnsi="Times New Roman" w:eastAsia="仿宋_GB2312" w:cs="Times New Roman"/>
                <w:kern w:val="0"/>
                <w:sz w:val="24"/>
                <w:lang w:val="en-US" w:eastAsia="zh-CN"/>
              </w:rPr>
              <w:t>、</w:t>
            </w:r>
            <w:r>
              <w:rPr>
                <w:rFonts w:hint="eastAsia" w:ascii="Times New Roman" w:hAnsi="Times New Roman" w:eastAsia="仿宋_GB2312" w:cs="Times New Roman"/>
                <w:kern w:val="0"/>
                <w:sz w:val="24"/>
              </w:rPr>
              <w:t>抓好突出生态环境问题整改</w:t>
            </w:r>
            <w:r>
              <w:rPr>
                <w:rFonts w:hint="eastAsia" w:ascii="Times New Roman" w:hAnsi="Times New Roman" w:eastAsia="仿宋_GB2312" w:cs="Times New Roman"/>
                <w:kern w:val="0"/>
                <w:sz w:val="24"/>
              </w:rPr>
              <w:br w:type="textWrapping"/>
            </w:r>
            <w:r>
              <w:rPr>
                <w:rFonts w:hint="eastAsia" w:ascii="Times New Roman" w:hAnsi="Times New Roman" w:eastAsia="仿宋_GB2312" w:cs="Times New Roman"/>
                <w:kern w:val="0"/>
                <w:sz w:val="24"/>
              </w:rPr>
              <w:t>2</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打好蓝天碧水净土保卫战</w:t>
            </w:r>
            <w:r>
              <w:rPr>
                <w:rFonts w:hint="eastAsia" w:ascii="Times New Roman" w:hAnsi="Times New Roman" w:eastAsia="仿宋_GB2312" w:cs="Times New Roman"/>
                <w:kern w:val="0"/>
                <w:sz w:val="24"/>
              </w:rPr>
              <w:br w:type="textWrapping"/>
            </w:r>
            <w:r>
              <w:rPr>
                <w:rFonts w:hint="eastAsia" w:ascii="Times New Roman" w:hAnsi="Times New Roman" w:eastAsia="仿宋_GB2312" w:cs="Times New Roman"/>
                <w:kern w:val="0"/>
                <w:sz w:val="24"/>
              </w:rPr>
              <w:t>3</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深化农村人居环境整治</w:t>
            </w:r>
          </w:p>
          <w:p>
            <w:pPr>
              <w:widowControl/>
              <w:jc w:val="both"/>
              <w:rPr>
                <w:rFonts w:hint="eastAsia"/>
              </w:rPr>
            </w:pPr>
            <w:r>
              <w:rPr>
                <w:rFonts w:hint="eastAsia" w:ascii="Times New Roman" w:hAnsi="Times New Roman" w:eastAsia="仿宋_GB2312" w:cs="Times New Roman"/>
                <w:kern w:val="0"/>
                <w:sz w:val="24"/>
              </w:rPr>
              <w:t>4、提升生态环境治理效能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231" w:type="dxa"/>
            <w:gridSpan w:val="1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2020年农村生活污水处理率目标值是60%，完成率是74%；优良以上空气质量达标率目标值为85%，实际达标率是 95.9%</w:t>
            </w:r>
            <w:r>
              <w:rPr>
                <w:rFonts w:hint="eastAsia" w:ascii="仿宋_GB2312" w:hAnsi="仿宋_GB2312" w:eastAsia="仿宋_GB2312" w:cs="仿宋_GB2312"/>
                <w:color w:val="000000"/>
                <w:sz w:val="24"/>
              </w:rPr>
              <w:t>；Ⅲ类或优于Ⅲ类水质达标率目标值</w:t>
            </w:r>
            <w:r>
              <w:rPr>
                <w:rFonts w:hint="eastAsia" w:ascii="仿宋_GB2312" w:hAnsi="仿宋_GB2312" w:eastAsia="仿宋_GB2312" w:cs="仿宋_GB2312"/>
                <w:color w:val="000000"/>
                <w:sz w:val="24"/>
                <w:lang w:val="en-US" w:eastAsia="zh-CN"/>
              </w:rPr>
              <w:t>为95%，实际达标率为91%，实现程度为95.8%</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全县</w:t>
            </w:r>
            <w:r>
              <w:rPr>
                <w:rFonts w:hint="eastAsia" w:ascii="仿宋_GB2312" w:hAnsi="仿宋_GB2312" w:eastAsia="仿宋_GB2312" w:cs="仿宋_GB2312"/>
                <w:color w:val="000000"/>
                <w:sz w:val="24"/>
                <w:lang w:val="en-US" w:eastAsia="zh-CN"/>
              </w:rPr>
              <w:t>森林覆盖率达到22.15%，农村卫生厕所普及率达到95%，生活垃圾分类减量覆盖率达到90%，无害化处理率达到100%。</w:t>
            </w:r>
            <w:r>
              <w:rPr>
                <w:rFonts w:hint="eastAsia" w:ascii="仿宋_GB2312" w:hAnsi="仿宋_GB2312" w:eastAsia="仿宋_GB2312" w:cs="仿宋_GB2312"/>
                <w:color w:val="000000"/>
                <w:sz w:val="24"/>
              </w:rPr>
              <w:t>全县各乡镇和相关部门按照省、市、县的统一部署和要求，对表对标，共同发力，</w:t>
            </w:r>
            <w:r>
              <w:rPr>
                <w:rFonts w:hint="eastAsia" w:ascii="仿宋_GB2312" w:hAnsi="仿宋_GB2312" w:eastAsia="仿宋_GB2312" w:cs="仿宋_GB2312"/>
                <w:color w:val="000000"/>
                <w:sz w:val="24"/>
                <w:lang w:eastAsia="zh-CN"/>
              </w:rPr>
              <w:t>保持定力，</w:t>
            </w:r>
            <w:r>
              <w:rPr>
                <w:rFonts w:hint="eastAsia" w:ascii="仿宋_GB2312" w:hAnsi="仿宋_GB2312" w:eastAsia="仿宋_GB2312" w:cs="仿宋_GB2312"/>
                <w:color w:val="000000"/>
                <w:sz w:val="24"/>
              </w:rPr>
              <w:t>压茬推进突出环境问题整治</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73项污染防治攻坚</w:t>
            </w:r>
            <w:r>
              <w:rPr>
                <w:rFonts w:hint="eastAsia" w:ascii="仿宋_GB2312" w:hAnsi="仿宋_GB2312" w:eastAsia="仿宋_GB2312" w:cs="仿宋_GB2312"/>
                <w:color w:val="000000"/>
                <w:sz w:val="24"/>
              </w:rPr>
              <w:t>“夏季攻势”</w:t>
            </w:r>
            <w:r>
              <w:rPr>
                <w:rFonts w:hint="eastAsia" w:ascii="仿宋_GB2312" w:hAnsi="仿宋_GB2312" w:eastAsia="仿宋_GB2312" w:cs="仿宋_GB2312"/>
                <w:color w:val="000000"/>
                <w:sz w:val="24"/>
                <w:lang w:eastAsia="zh-CN"/>
              </w:rPr>
              <w:t>问题全部完成了销号，</w:t>
            </w:r>
            <w:r>
              <w:rPr>
                <w:rFonts w:hint="eastAsia" w:ascii="仿宋_GB2312" w:hAnsi="仿宋_GB2312" w:eastAsia="仿宋_GB2312" w:cs="仿宋_GB2312"/>
                <w:color w:val="000000"/>
                <w:sz w:val="24"/>
                <w:lang w:val="en-US" w:eastAsia="zh-CN"/>
              </w:rPr>
              <w:t>47个</w:t>
            </w:r>
            <w:r>
              <w:rPr>
                <w:rFonts w:hint="eastAsia" w:ascii="仿宋_GB2312" w:hAnsi="仿宋_GB2312" w:eastAsia="仿宋_GB2312" w:cs="仿宋_GB2312"/>
                <w:color w:val="000000"/>
                <w:sz w:val="24"/>
              </w:rPr>
              <w:t>“洞庭清波”</w:t>
            </w:r>
            <w:r>
              <w:rPr>
                <w:rFonts w:hint="eastAsia" w:ascii="仿宋_GB2312" w:hAnsi="仿宋_GB2312" w:eastAsia="仿宋_GB2312" w:cs="仿宋_GB2312"/>
                <w:color w:val="000000"/>
                <w:sz w:val="24"/>
                <w:lang w:eastAsia="zh-CN"/>
              </w:rPr>
              <w:t>问题整治基本完成。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85"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85"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auto"/>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105"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216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16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6811.24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2257.84</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1546.8</w:t>
            </w:r>
          </w:p>
        </w:tc>
        <w:tc>
          <w:tcPr>
            <w:tcW w:w="1338"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16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65"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6811.24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2257.84</w:t>
            </w: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1546.8</w:t>
            </w:r>
          </w:p>
        </w:tc>
        <w:tc>
          <w:tcPr>
            <w:tcW w:w="1338" w:type="dxa"/>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16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16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3006.6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38"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16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6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38"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16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6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85"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auto"/>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393"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712"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418" w:type="dxa"/>
            <w:gridSpan w:val="3"/>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620" w:type="dxa"/>
            <w:gridSpan w:val="3"/>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1002"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710"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620" w:type="dxa"/>
            <w:gridSpan w:val="3"/>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02"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10"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6761.82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1071.09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671.1</w:t>
            </w:r>
          </w:p>
        </w:tc>
        <w:tc>
          <w:tcPr>
            <w:tcW w:w="1338"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399.99</w:t>
            </w:r>
          </w:p>
        </w:tc>
        <w:tc>
          <w:tcPr>
            <w:tcW w:w="162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5690.73</w:t>
            </w:r>
          </w:p>
        </w:tc>
        <w:tc>
          <w:tcPr>
            <w:tcW w:w="1002"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-2208.43</w:t>
            </w:r>
          </w:p>
        </w:tc>
        <w:tc>
          <w:tcPr>
            <w:tcW w:w="71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6761.82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1071.09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671.1</w:t>
            </w:r>
          </w:p>
        </w:tc>
        <w:tc>
          <w:tcPr>
            <w:tcW w:w="1338"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399.99</w:t>
            </w:r>
          </w:p>
        </w:tc>
        <w:tc>
          <w:tcPr>
            <w:tcW w:w="162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5690.73</w:t>
            </w:r>
          </w:p>
        </w:tc>
        <w:tc>
          <w:tcPr>
            <w:tcW w:w="1002"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-2208.43</w:t>
            </w:r>
          </w:p>
        </w:tc>
        <w:tc>
          <w:tcPr>
            <w:tcW w:w="710"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02"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1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2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02"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1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105"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333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6.58</w:t>
            </w: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333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15.6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9.02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6.58</w:t>
            </w: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333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3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3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3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26"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6"/>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1026"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1229.07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1229.07</w:t>
            </w: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1229.07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1229.07</w:t>
            </w: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2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85"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670"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widowControl/>
              <w:jc w:val="both"/>
              <w:rPr>
                <w:rFonts w:hint="eastAsia"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1、</w:t>
            </w:r>
            <w:r>
              <w:rPr>
                <w:rFonts w:hint="eastAsia" w:ascii="Times New Roman" w:hAnsi="Times New Roman" w:eastAsia="仿宋_GB2312" w:cs="Times New Roman"/>
                <w:kern w:val="0"/>
                <w:sz w:val="24"/>
              </w:rPr>
              <w:t>抓好突出生态环境问题整改</w:t>
            </w:r>
            <w:r>
              <w:rPr>
                <w:rFonts w:ascii="Times New Roman" w:hAnsi="Times New Roman" w:eastAsia="仿宋_GB2312" w:cs="Times New Roman"/>
                <w:kern w:val="0"/>
                <w:sz w:val="24"/>
              </w:rPr>
              <w:br w:type="textWrapping"/>
            </w:r>
            <w:r>
              <w:rPr>
                <w:rFonts w:ascii="Times New Roman" w:hAnsi="Times New Roman" w:eastAsia="仿宋_GB2312" w:cs="Times New Roman"/>
                <w:kern w:val="0"/>
                <w:sz w:val="24"/>
              </w:rPr>
              <w:t>2</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打好蓝天碧水净土保卫战</w:t>
            </w:r>
            <w:r>
              <w:rPr>
                <w:rFonts w:ascii="Times New Roman" w:hAnsi="Times New Roman" w:eastAsia="仿宋_GB2312" w:cs="Times New Roman"/>
                <w:kern w:val="0"/>
                <w:sz w:val="24"/>
              </w:rPr>
              <w:br w:type="textWrapping"/>
            </w:r>
            <w:r>
              <w:rPr>
                <w:rFonts w:ascii="Times New Roman" w:hAnsi="Times New Roman" w:eastAsia="仿宋_GB2312" w:cs="Times New Roman"/>
                <w:kern w:val="0"/>
                <w:sz w:val="24"/>
              </w:rPr>
              <w:t>3</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rPr>
              <w:t>深化农村人居环境整治</w:t>
            </w:r>
          </w:p>
          <w:p>
            <w:pPr>
              <w:widowControl/>
              <w:jc w:val="both"/>
              <w:rPr>
                <w:rFonts w:hint="eastAsia" w:ascii="Times New Roman" w:hAnsi="Times New Roman" w:eastAsia="仿宋_GB2312"/>
                <w:kern w:val="0"/>
                <w:sz w:val="24"/>
                <w:szCs w:val="24"/>
                <w:lang w:val="en-US" w:eastAsia="zh-CN" w:bidi="ar-SA"/>
              </w:rPr>
            </w:pPr>
            <w:r>
              <w:rPr>
                <w:rFonts w:hint="eastAsia" w:ascii="Times New Roman" w:hAnsi="Times New Roman" w:eastAsia="仿宋_GB2312" w:cs="Times New Roman"/>
                <w:kern w:val="0"/>
                <w:sz w:val="24"/>
              </w:rPr>
              <w:t>4、提升生态环境治理效能</w:t>
            </w:r>
          </w:p>
        </w:tc>
        <w:tc>
          <w:tcPr>
            <w:tcW w:w="4670" w:type="dxa"/>
            <w:gridSpan w:val="8"/>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农村生活污水处理率目标值是60%，完成率是74%；优良以上空气质量达标率目标值为85%，实际达标率是 95.9%</w:t>
            </w:r>
            <w:r>
              <w:rPr>
                <w:rFonts w:hint="eastAsia" w:ascii="仿宋_GB2312" w:hAnsi="仿宋_GB2312" w:eastAsia="仿宋_GB2312" w:cs="仿宋_GB2312"/>
                <w:color w:val="000000"/>
                <w:sz w:val="24"/>
              </w:rPr>
              <w:t>；Ⅲ类或优于Ⅲ类水质达标率目标值</w:t>
            </w:r>
            <w:r>
              <w:rPr>
                <w:rFonts w:hint="eastAsia" w:ascii="仿宋_GB2312" w:hAnsi="仿宋_GB2312" w:eastAsia="仿宋_GB2312" w:cs="仿宋_GB2312"/>
                <w:color w:val="000000"/>
                <w:sz w:val="24"/>
                <w:lang w:val="en-US" w:eastAsia="zh-CN"/>
              </w:rPr>
              <w:t>为95%，实际达标率为91%，实现程度为95.8%</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全县</w:t>
            </w:r>
            <w:r>
              <w:rPr>
                <w:rFonts w:hint="eastAsia" w:ascii="仿宋_GB2312" w:hAnsi="仿宋_GB2312" w:eastAsia="仿宋_GB2312" w:cs="仿宋_GB2312"/>
                <w:color w:val="000000"/>
                <w:sz w:val="24"/>
                <w:lang w:val="en-US" w:eastAsia="zh-CN"/>
              </w:rPr>
              <w:t>森林覆盖率达到22.15%，农村卫生厕所普及率达到95%，生活垃圾分类减量覆盖率达到90%，无害化处理率达到100%。</w:t>
            </w:r>
            <w:r>
              <w:rPr>
                <w:rFonts w:hint="eastAsia" w:ascii="仿宋_GB2312" w:hAnsi="仿宋_GB2312" w:eastAsia="仿宋_GB2312" w:cs="仿宋_GB2312"/>
                <w:color w:val="000000"/>
                <w:sz w:val="24"/>
              </w:rPr>
              <w:t>全县各乡镇和相关部门按照省、市、县的统一部署和要求，对表对标，共同发力，</w:t>
            </w:r>
            <w:r>
              <w:rPr>
                <w:rFonts w:hint="eastAsia" w:ascii="仿宋_GB2312" w:hAnsi="仿宋_GB2312" w:eastAsia="仿宋_GB2312" w:cs="仿宋_GB2312"/>
                <w:color w:val="000000"/>
                <w:sz w:val="24"/>
                <w:lang w:eastAsia="zh-CN"/>
              </w:rPr>
              <w:t>保持定力，</w:t>
            </w:r>
            <w:r>
              <w:rPr>
                <w:rFonts w:hint="eastAsia" w:ascii="仿宋_GB2312" w:hAnsi="仿宋_GB2312" w:eastAsia="仿宋_GB2312" w:cs="仿宋_GB2312"/>
                <w:color w:val="000000"/>
                <w:sz w:val="24"/>
              </w:rPr>
              <w:t>压茬推进突出环境问题整治</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73项污染防治攻坚</w:t>
            </w:r>
            <w:r>
              <w:rPr>
                <w:rFonts w:hint="eastAsia" w:ascii="仿宋_GB2312" w:hAnsi="仿宋_GB2312" w:eastAsia="仿宋_GB2312" w:cs="仿宋_GB2312"/>
                <w:color w:val="000000"/>
                <w:sz w:val="24"/>
              </w:rPr>
              <w:t>“夏季攻势”</w:t>
            </w:r>
            <w:r>
              <w:rPr>
                <w:rFonts w:hint="eastAsia" w:ascii="仿宋_GB2312" w:hAnsi="仿宋_GB2312" w:eastAsia="仿宋_GB2312" w:cs="仿宋_GB2312"/>
                <w:color w:val="000000"/>
                <w:sz w:val="24"/>
                <w:lang w:eastAsia="zh-CN"/>
              </w:rPr>
              <w:t>问题全部完成了销号，</w:t>
            </w:r>
            <w:r>
              <w:rPr>
                <w:rFonts w:hint="eastAsia" w:ascii="仿宋_GB2312" w:hAnsi="仿宋_GB2312" w:eastAsia="仿宋_GB2312" w:cs="仿宋_GB2312"/>
                <w:color w:val="000000"/>
                <w:sz w:val="24"/>
                <w:lang w:val="en-US" w:eastAsia="zh-CN"/>
              </w:rPr>
              <w:t>47个</w:t>
            </w:r>
            <w:r>
              <w:rPr>
                <w:rFonts w:hint="eastAsia" w:ascii="仿宋_GB2312" w:hAnsi="仿宋_GB2312" w:eastAsia="仿宋_GB2312" w:cs="仿宋_GB2312"/>
                <w:color w:val="000000"/>
                <w:sz w:val="24"/>
              </w:rPr>
              <w:t>“洞庭清波”</w:t>
            </w:r>
            <w:r>
              <w:rPr>
                <w:rFonts w:hint="eastAsia" w:ascii="仿宋_GB2312" w:hAnsi="仿宋_GB2312" w:eastAsia="仿宋_GB2312" w:cs="仿宋_GB2312"/>
                <w:color w:val="000000"/>
                <w:sz w:val="24"/>
                <w:lang w:eastAsia="zh-CN"/>
              </w:rPr>
              <w:t>问题整治基本完成。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769"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（部门工作实绩，包含上级部门和市委市政府布置的重点工作、实事任务等，根据部门实际进行调整细化）</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kern w:val="0"/>
                <w:sz w:val="24"/>
              </w:rPr>
              <w:t>质量控制</w:t>
            </w:r>
          </w:p>
        </w:tc>
        <w:tc>
          <w:tcPr>
            <w:tcW w:w="2769" w:type="dxa"/>
            <w:gridSpan w:val="5"/>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农村生活污水处理率目标值是60%，优良以上空气质量达标率目标值为85%，</w:t>
            </w:r>
            <w:r>
              <w:rPr>
                <w:rFonts w:hint="eastAsia" w:ascii="仿宋_GB2312" w:hAnsi="仿宋_GB2312" w:eastAsia="仿宋_GB2312" w:cs="仿宋_GB2312"/>
                <w:color w:val="000000"/>
                <w:sz w:val="24"/>
              </w:rPr>
              <w:t>Ⅲ类或优于Ⅲ类水质达标率目标值</w:t>
            </w:r>
            <w:r>
              <w:rPr>
                <w:rFonts w:hint="eastAsia" w:ascii="仿宋_GB2312" w:hAnsi="仿宋_GB2312" w:eastAsia="仿宋_GB2312" w:cs="仿宋_GB2312"/>
                <w:color w:val="000000"/>
                <w:sz w:val="24"/>
                <w:lang w:val="en-US" w:eastAsia="zh-CN"/>
              </w:rPr>
              <w:t>为95%，</w:t>
            </w:r>
            <w:r>
              <w:rPr>
                <w:rFonts w:hint="eastAsia" w:ascii="仿宋_GB2312" w:hAnsi="仿宋_GB2312" w:eastAsia="仿宋_GB2312" w:cs="仿宋_GB2312"/>
                <w:color w:val="000000"/>
                <w:sz w:val="24"/>
                <w:lang w:eastAsia="zh-CN"/>
              </w:rPr>
              <w:t>全县</w:t>
            </w:r>
            <w:r>
              <w:rPr>
                <w:rFonts w:hint="eastAsia" w:ascii="仿宋_GB2312" w:hAnsi="仿宋_GB2312" w:eastAsia="仿宋_GB2312" w:cs="仿宋_GB2312"/>
                <w:color w:val="000000"/>
                <w:sz w:val="24"/>
                <w:lang w:val="en-US" w:eastAsia="zh-CN"/>
              </w:rPr>
              <w:t>森林覆盖率达到22.15%，农村卫生厕所普及率达到95%，生活垃圾分类减量覆盖率达到90%，无害化处理率达到100%。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widowControl/>
              <w:jc w:val="left"/>
              <w:rPr>
                <w:rFonts w:hint="eastAsia" w:ascii="Times New Roman" w:hAnsi="Times New Roman" w:eastAsia="仿宋_GB2312"/>
                <w:kern w:val="0"/>
                <w:sz w:val="24"/>
                <w:szCs w:val="24"/>
                <w:lang w:val="en-US" w:eastAsia="zh-CN" w:bidi="ar-SA"/>
              </w:rPr>
            </w:pPr>
            <w:r>
              <w:rPr>
                <w:rFonts w:hint="eastAsia" w:eastAsia="仿宋_GB2312"/>
                <w:kern w:val="0"/>
                <w:sz w:val="24"/>
              </w:rPr>
              <w:t>稳步推进环境监测业务</w:t>
            </w:r>
            <w:r>
              <w:rPr>
                <w:rFonts w:hint="eastAsia" w:eastAsia="仿宋_GB2312"/>
                <w:kern w:val="0"/>
                <w:sz w:val="24"/>
                <w:lang w:eastAsia="zh-CN"/>
              </w:rPr>
              <w:t>，</w:t>
            </w:r>
            <w:r>
              <w:rPr>
                <w:rFonts w:hint="eastAsia" w:eastAsia="仿宋_GB2312"/>
                <w:kern w:val="0"/>
                <w:sz w:val="24"/>
              </w:rPr>
              <w:t>强力开展“各项专项行动</w:t>
            </w:r>
            <w:r>
              <w:rPr>
                <w:rFonts w:hint="eastAsia" w:eastAsia="仿宋_GB2312"/>
                <w:kern w:val="0"/>
                <w:sz w:val="24"/>
                <w:lang w:eastAsia="zh-CN"/>
              </w:rPr>
              <w:t>”，</w:t>
            </w:r>
            <w:r>
              <w:rPr>
                <w:rFonts w:hint="eastAsia" w:eastAsia="仿宋_GB2312"/>
                <w:kern w:val="0"/>
                <w:sz w:val="24"/>
              </w:rPr>
              <w:t xml:space="preserve">积极回应群众关切      </w:t>
            </w:r>
          </w:p>
        </w:tc>
        <w:tc>
          <w:tcPr>
            <w:tcW w:w="2769" w:type="dxa"/>
            <w:gridSpan w:val="5"/>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农村生活污水处理率完成率是74%；优良以上空气质量达标率是 95.9%</w:t>
            </w:r>
            <w:r>
              <w:rPr>
                <w:rFonts w:hint="eastAsia" w:ascii="仿宋_GB2312" w:hAnsi="仿宋_GB2312" w:eastAsia="仿宋_GB2312" w:cs="仿宋_GB2312"/>
                <w:color w:val="000000"/>
                <w:sz w:val="24"/>
              </w:rPr>
              <w:t>；Ⅲ类或优于Ⅲ类水质</w:t>
            </w:r>
            <w:r>
              <w:rPr>
                <w:rFonts w:hint="eastAsia" w:ascii="仿宋_GB2312" w:hAnsi="仿宋_GB2312" w:eastAsia="仿宋_GB2312" w:cs="仿宋_GB2312"/>
                <w:color w:val="000000"/>
                <w:sz w:val="24"/>
                <w:lang w:val="en-US" w:eastAsia="zh-CN"/>
              </w:rPr>
              <w:t>达标率为91%，实现程度为95.8%</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全县</w:t>
            </w:r>
            <w:r>
              <w:rPr>
                <w:rFonts w:hint="eastAsia" w:ascii="仿宋_GB2312" w:hAnsi="仿宋_GB2312" w:eastAsia="仿宋_GB2312" w:cs="仿宋_GB2312"/>
                <w:color w:val="000000"/>
                <w:sz w:val="24"/>
                <w:lang w:val="en-US" w:eastAsia="zh-CN"/>
              </w:rPr>
              <w:t>森林覆盖率达到22.15%，农村卫生厕所普及率达到95%，生活垃圾分类减量覆盖率达到90%，无害化处理率达到100%。73项污染防治攻坚</w:t>
            </w:r>
            <w:r>
              <w:rPr>
                <w:rFonts w:hint="eastAsia" w:ascii="仿宋_GB2312" w:hAnsi="仿宋_GB2312" w:eastAsia="仿宋_GB2312" w:cs="仿宋_GB2312"/>
                <w:color w:val="000000"/>
                <w:sz w:val="24"/>
              </w:rPr>
              <w:t>“夏季攻势”</w:t>
            </w:r>
            <w:r>
              <w:rPr>
                <w:rFonts w:hint="eastAsia" w:ascii="仿宋_GB2312" w:hAnsi="仿宋_GB2312" w:eastAsia="仿宋_GB2312" w:cs="仿宋_GB2312"/>
                <w:color w:val="000000"/>
                <w:sz w:val="24"/>
                <w:lang w:eastAsia="zh-CN"/>
              </w:rPr>
              <w:t>问题全部完成了销号，</w:t>
            </w:r>
            <w:r>
              <w:rPr>
                <w:rFonts w:hint="eastAsia" w:ascii="仿宋_GB2312" w:hAnsi="仿宋_GB2312" w:eastAsia="仿宋_GB2312" w:cs="仿宋_GB2312"/>
                <w:color w:val="000000"/>
                <w:sz w:val="24"/>
                <w:lang w:val="en-US" w:eastAsia="zh-CN"/>
              </w:rPr>
              <w:t>47个</w:t>
            </w:r>
            <w:r>
              <w:rPr>
                <w:rFonts w:hint="eastAsia" w:ascii="仿宋_GB2312" w:hAnsi="仿宋_GB2312" w:eastAsia="仿宋_GB2312" w:cs="仿宋_GB2312"/>
                <w:color w:val="000000"/>
                <w:sz w:val="24"/>
              </w:rPr>
              <w:t>“洞庭清波”</w:t>
            </w:r>
            <w:r>
              <w:rPr>
                <w:rFonts w:hint="eastAsia" w:ascii="仿宋_GB2312" w:hAnsi="仿宋_GB2312" w:eastAsia="仿宋_GB2312" w:cs="仿宋_GB2312"/>
                <w:color w:val="000000"/>
                <w:sz w:val="24"/>
                <w:lang w:eastAsia="zh-CN"/>
              </w:rPr>
              <w:t>问题整治基本完成。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kern w:val="0"/>
                <w:sz w:val="24"/>
              </w:rPr>
              <w:t>水、大气、土壤污染防治目标任务</w:t>
            </w:r>
          </w:p>
        </w:tc>
        <w:tc>
          <w:tcPr>
            <w:tcW w:w="2769" w:type="dxa"/>
            <w:gridSpan w:val="5"/>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2020年底完成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kern w:val="0"/>
                <w:sz w:val="24"/>
              </w:rPr>
              <w:t>支出控制在预算内</w:t>
            </w:r>
          </w:p>
        </w:tc>
        <w:tc>
          <w:tcPr>
            <w:tcW w:w="2769"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Times New Roman" w:hAnsi="Times New Roman" w:eastAsia="仿宋_GB2312" w:cs="Times New Roman"/>
                <w:kern w:val="0"/>
                <w:sz w:val="24"/>
                <w:lang w:eastAsia="zh-CN"/>
              </w:rPr>
              <w:t>工作经费和专项治理经费按要求控制在预算内</w:t>
            </w:r>
            <w:r>
              <w:rPr>
                <w:rFonts w:hint="eastAsia" w:eastAsia="仿宋_GB2312" w:cs="Times New Roman"/>
                <w:kern w:val="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kern w:val="0"/>
                <w:sz w:val="24"/>
              </w:rPr>
              <w:t>服务经济发展</w:t>
            </w:r>
          </w:p>
        </w:tc>
        <w:tc>
          <w:tcPr>
            <w:tcW w:w="2769"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eastAsia="仿宋_GB2312"/>
                <w:kern w:val="0"/>
                <w:sz w:val="24"/>
              </w:rPr>
              <w:t>改善居民生产、生活环境，提升幸福生活指数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Times New Roman" w:hAnsi="Times New Roman" w:eastAsia="仿宋_GB2312" w:cs="Times New Roman"/>
                <w:kern w:val="0"/>
                <w:sz w:val="24"/>
              </w:rPr>
            </w:pPr>
            <w:r>
              <w:rPr>
                <w:rFonts w:hint="eastAsia" w:ascii="Times New Roman" w:hAnsi="Times New Roman" w:eastAsia="仿宋_GB2312" w:cs="Times New Roman"/>
                <w:kern w:val="0"/>
                <w:sz w:val="24"/>
              </w:rPr>
              <w:t>经济效益</w:t>
            </w:r>
          </w:p>
        </w:tc>
        <w:tc>
          <w:tcPr>
            <w:tcW w:w="2709" w:type="dxa"/>
            <w:gridSpan w:val="4"/>
            <w:noWrap w:val="0"/>
            <w:vAlign w:val="center"/>
          </w:tcPr>
          <w:p>
            <w:pPr>
              <w:autoSpaceDN w:val="0"/>
              <w:spacing w:line="320" w:lineRule="exact"/>
              <w:jc w:val="left"/>
              <w:textAlignment w:val="center"/>
              <w:rPr>
                <w:rFonts w:hint="eastAsia" w:ascii="Times New Roman" w:hAnsi="Times New Roman" w:eastAsia="仿宋_GB2312" w:cs="Times New Roman"/>
                <w:kern w:val="0"/>
                <w:sz w:val="24"/>
              </w:rPr>
            </w:pPr>
            <w:r>
              <w:rPr>
                <w:rFonts w:hint="eastAsia" w:ascii="Times New Roman" w:hAnsi="Times New Roman" w:eastAsia="仿宋_GB2312" w:cs="Times New Roman"/>
                <w:kern w:val="0"/>
                <w:sz w:val="24"/>
              </w:rPr>
              <w:t>实现节能减排</w:t>
            </w:r>
          </w:p>
        </w:tc>
        <w:tc>
          <w:tcPr>
            <w:tcW w:w="2769" w:type="dxa"/>
            <w:gridSpan w:val="5"/>
            <w:noWrap w:val="0"/>
            <w:vAlign w:val="center"/>
          </w:tcPr>
          <w:p>
            <w:pPr>
              <w:widowControl/>
              <w:jc w:val="left"/>
              <w:rPr>
                <w:rFonts w:hint="eastAsia" w:ascii="Times New Roman" w:hAnsi="Times New Roman" w:eastAsia="仿宋_GB2312"/>
                <w:kern w:val="0"/>
                <w:sz w:val="24"/>
                <w:szCs w:val="24"/>
                <w:lang w:val="en-US" w:eastAsia="zh-CN" w:bidi="ar-SA"/>
              </w:rPr>
            </w:pPr>
            <w:r>
              <w:rPr>
                <w:rFonts w:hint="eastAsia" w:ascii="Times New Roman" w:hAnsi="Times New Roman" w:eastAsia="仿宋_GB2312" w:cs="Times New Roman"/>
                <w:kern w:val="0"/>
                <w:sz w:val="24"/>
                <w:lang w:eastAsia="zh-CN"/>
              </w:rPr>
              <w:t>大气主要污染物二氧化硫、氮氧化物排放总量</w:t>
            </w:r>
            <w:r>
              <w:rPr>
                <w:rFonts w:hint="eastAsia" w:eastAsia="仿宋_GB2312" w:cs="Times New Roman"/>
                <w:kern w:val="0"/>
                <w:sz w:val="24"/>
                <w:lang w:val="en-US" w:eastAsia="zh-CN"/>
              </w:rPr>
              <w:t>减排</w:t>
            </w:r>
            <w:r>
              <w:rPr>
                <w:rFonts w:hint="eastAsia" w:ascii="Times New Roman" w:hAnsi="Times New Roman" w:eastAsia="仿宋_GB2312" w:cs="Times New Roman"/>
                <w:kern w:val="0"/>
                <w:sz w:val="24"/>
                <w:lang w:eastAsia="zh-CN"/>
              </w:rPr>
              <w:t>2</w:t>
            </w:r>
            <w:r>
              <w:rPr>
                <w:rFonts w:hint="eastAsia" w:ascii="Times New Roman" w:hAnsi="Times New Roman" w:eastAsia="仿宋_GB2312" w:cs="Times New Roman"/>
                <w:kern w:val="0"/>
                <w:sz w:val="24"/>
                <w:lang w:val="en-US" w:eastAsia="zh-CN"/>
              </w:rPr>
              <w:t>%</w:t>
            </w:r>
            <w:r>
              <w:rPr>
                <w:rFonts w:hint="eastAsia" w:ascii="Times New Roman" w:hAnsi="Times New Roman" w:eastAsia="仿宋_GB2312" w:cs="Times New Roman"/>
                <w:kern w:val="0"/>
                <w:sz w:val="24"/>
                <w:lang w:eastAsia="zh-CN"/>
              </w:rPr>
              <w:t>以</w:t>
            </w:r>
            <w:r>
              <w:rPr>
                <w:rFonts w:hint="eastAsia" w:ascii="Times New Roman" w:hAnsi="Times New Roman" w:eastAsia="仿宋_GB2312" w:cs="Times New Roman"/>
                <w:kern w:val="0"/>
                <w:sz w:val="24"/>
              </w:rPr>
              <w:t>上</w:t>
            </w:r>
            <w:r>
              <w:rPr>
                <w:rFonts w:hint="eastAsia" w:ascii="Times New Roman" w:hAnsi="Times New Roman" w:eastAsia="仿宋_GB2312" w:cs="Times New Roman"/>
                <w:kern w:val="0"/>
                <w:sz w:val="24"/>
                <w:lang w:eastAsia="zh-CN"/>
              </w:rPr>
              <w:t>，水指标减排3%</w:t>
            </w:r>
            <w:r>
              <w:rPr>
                <w:rFonts w:hint="eastAsia" w:eastAsia="仿宋_GB2312" w:cs="Times New Roman"/>
                <w:kern w:val="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kern w:val="0"/>
                <w:sz w:val="24"/>
              </w:rPr>
              <w:t>为全县环境污染提供准确的数据和依据，有效地预防和控制了环境污染</w:t>
            </w:r>
          </w:p>
        </w:tc>
        <w:tc>
          <w:tcPr>
            <w:tcW w:w="2769"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eastAsia="仿宋_GB2312"/>
                <w:kern w:val="0"/>
                <w:sz w:val="24"/>
              </w:rPr>
              <w:t>改善我县水环境质量，推进华容河综合整治和东湖治理，加强农村环境质量整治，改善大气环境质量</w:t>
            </w:r>
            <w:r>
              <w:rPr>
                <w:rFonts w:hint="eastAsia" w:eastAsia="仿宋_GB2312"/>
                <w:kern w:val="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kern w:val="0"/>
                <w:sz w:val="24"/>
              </w:rPr>
              <w:t>服务对象满意</w:t>
            </w:r>
          </w:p>
        </w:tc>
        <w:tc>
          <w:tcPr>
            <w:tcW w:w="2769" w:type="dxa"/>
            <w:gridSpan w:val="5"/>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eastAsia="仿宋_GB2312"/>
                <w:kern w:val="0"/>
                <w:sz w:val="24"/>
                <w:lang w:val="en-US" w:eastAsia="zh-CN"/>
              </w:rPr>
              <w:t>满意度95%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95" w:type="dxa"/>
            <w:gridSpan w:val="11"/>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95"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85"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9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胡奇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副局长</w:t>
            </w:r>
          </w:p>
        </w:tc>
        <w:tc>
          <w:tcPr>
            <w:tcW w:w="1479"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岳阳市生态环境局华容分局</w:t>
            </w:r>
          </w:p>
        </w:tc>
        <w:tc>
          <w:tcPr>
            <w:tcW w:w="319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白海波</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副局长</w:t>
            </w:r>
          </w:p>
        </w:tc>
        <w:tc>
          <w:tcPr>
            <w:tcW w:w="147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岳阳市生态环境局华容分局</w:t>
            </w:r>
          </w:p>
        </w:tc>
        <w:tc>
          <w:tcPr>
            <w:tcW w:w="319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周娟</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规划财务股长</w:t>
            </w:r>
          </w:p>
        </w:tc>
        <w:tc>
          <w:tcPr>
            <w:tcW w:w="147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岳阳市生态环境局华容分局</w:t>
            </w:r>
          </w:p>
        </w:tc>
        <w:tc>
          <w:tcPr>
            <w:tcW w:w="319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9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38" w:hRule="atLeast"/>
          <w:jc w:val="center"/>
        </w:trPr>
        <w:tc>
          <w:tcPr>
            <w:tcW w:w="9885"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spacing w:line="440" w:lineRule="exact"/>
              <w:rPr>
                <w:rFonts w:hint="eastAsia" w:eastAsia="仿宋_GB2312"/>
                <w:sz w:val="24"/>
              </w:rPr>
            </w:pPr>
            <w:r>
              <w:rPr>
                <w:rFonts w:hint="eastAsia" w:ascii="仿宋_GB2312" w:hAnsi="仿宋_GB2312" w:eastAsia="仿宋_GB2312" w:cs="仿宋_GB2312"/>
                <w:color w:val="000000"/>
                <w:sz w:val="32"/>
                <w:szCs w:val="32"/>
              </w:rPr>
              <w:t>按年初目标，如期超质量完成任务。</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85"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spacing w:line="440" w:lineRule="exact"/>
              <w:rPr>
                <w:rFonts w:hint="eastAsia" w:eastAsia="仿宋_GB2312"/>
                <w:sz w:val="24"/>
              </w:rPr>
            </w:pPr>
            <w:r>
              <w:rPr>
                <w:rFonts w:hint="eastAsia" w:ascii="仿宋_GB2312" w:hAnsi="仿宋_GB2312" w:eastAsia="仿宋_GB2312" w:cs="仿宋_GB2312"/>
                <w:color w:val="000000"/>
                <w:sz w:val="32"/>
                <w:szCs w:val="32"/>
              </w:rPr>
              <w:t>如期超质量完成任务</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 xml:space="preserve">月 </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85" w:type="dxa"/>
            <w:gridSpan w:val="16"/>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周娟</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13974084999</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center"/>
          </w:tcPr>
          <w:p>
            <w:pPr>
              <w:jc w:val="both"/>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jc w:val="both"/>
              <w:rPr>
                <w:rFonts w:hint="eastAsia" w:eastAsia="仿宋_GB2312"/>
                <w:sz w:val="32"/>
                <w:szCs w:val="32"/>
              </w:rPr>
            </w:pPr>
          </w:p>
          <w:p>
            <w:pPr>
              <w:spacing w:line="560" w:lineRule="exact"/>
              <w:ind w:firstLine="560" w:firstLineChars="200"/>
              <w:jc w:val="both"/>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机构设置：</w:t>
            </w:r>
            <w:r>
              <w:rPr>
                <w:rFonts w:hint="eastAsia" w:ascii="仿宋" w:hAnsi="仿宋" w:eastAsia="仿宋" w:cs="仿宋"/>
                <w:sz w:val="30"/>
                <w:szCs w:val="30"/>
              </w:rPr>
              <w:t>我局属于参照公务员管理的事业单位，</w:t>
            </w:r>
            <w:r>
              <w:rPr>
                <w:rFonts w:hint="eastAsia" w:ascii="仿宋" w:hAnsi="仿宋" w:eastAsia="仿宋" w:cs="仿宋"/>
                <w:sz w:val="30"/>
                <w:szCs w:val="30"/>
                <w:lang w:eastAsia="zh-CN"/>
              </w:rPr>
              <w:t>现有编制数</w:t>
            </w:r>
            <w:r>
              <w:rPr>
                <w:rFonts w:hint="eastAsia" w:ascii="仿宋" w:hAnsi="仿宋" w:eastAsia="仿宋" w:cs="仿宋"/>
                <w:sz w:val="30"/>
                <w:szCs w:val="30"/>
                <w:lang w:val="en-US" w:eastAsia="zh-CN"/>
              </w:rPr>
              <w:t>62人，其中行政编制13人，参公编制36人，事业编制13人。现有在职在编人员62人，退休人员22人。</w:t>
            </w:r>
            <w:r>
              <w:rPr>
                <w:rFonts w:hint="eastAsia" w:ascii="仿宋" w:hAnsi="仿宋" w:eastAsia="仿宋" w:cs="仿宋"/>
                <w:sz w:val="30"/>
                <w:szCs w:val="30"/>
              </w:rPr>
              <w:t>内设办公室</w:t>
            </w:r>
            <w:r>
              <w:rPr>
                <w:rFonts w:hint="eastAsia" w:ascii="仿宋" w:hAnsi="仿宋" w:eastAsia="仿宋" w:cs="仿宋"/>
                <w:sz w:val="30"/>
                <w:szCs w:val="30"/>
                <w:lang w:eastAsia="zh-CN"/>
              </w:rPr>
              <w:t>、</w:t>
            </w:r>
            <w:r>
              <w:rPr>
                <w:rFonts w:hint="eastAsia" w:ascii="仿宋" w:hAnsi="仿宋" w:eastAsia="仿宋" w:cs="仿宋"/>
                <w:sz w:val="30"/>
                <w:szCs w:val="30"/>
              </w:rPr>
              <w:t>生态环境监督股</w:t>
            </w:r>
            <w:r>
              <w:rPr>
                <w:rFonts w:hint="eastAsia" w:ascii="仿宋" w:hAnsi="仿宋" w:eastAsia="仿宋" w:cs="仿宋"/>
                <w:sz w:val="30"/>
                <w:szCs w:val="30"/>
                <w:lang w:eastAsia="zh-CN"/>
              </w:rPr>
              <w:t>、</w:t>
            </w:r>
            <w:r>
              <w:rPr>
                <w:rFonts w:hint="eastAsia" w:ascii="仿宋" w:hAnsi="仿宋" w:eastAsia="仿宋" w:cs="仿宋"/>
                <w:sz w:val="30"/>
                <w:szCs w:val="30"/>
              </w:rPr>
              <w:t>法制宣教股</w:t>
            </w:r>
            <w:r>
              <w:rPr>
                <w:rFonts w:hint="eastAsia" w:ascii="仿宋" w:hAnsi="仿宋" w:eastAsia="仿宋" w:cs="仿宋"/>
                <w:sz w:val="30"/>
                <w:szCs w:val="30"/>
                <w:lang w:eastAsia="zh-CN"/>
              </w:rPr>
              <w:t>、</w:t>
            </w:r>
            <w:r>
              <w:rPr>
                <w:rFonts w:hint="eastAsia" w:ascii="仿宋" w:hAnsi="仿宋" w:eastAsia="仿宋" w:cs="仿宋"/>
                <w:sz w:val="30"/>
                <w:szCs w:val="30"/>
              </w:rPr>
              <w:t>土壤生态股</w:t>
            </w:r>
            <w:r>
              <w:rPr>
                <w:rFonts w:hint="eastAsia" w:ascii="仿宋" w:hAnsi="仿宋" w:eastAsia="仿宋" w:cs="仿宋"/>
                <w:sz w:val="30"/>
                <w:szCs w:val="30"/>
                <w:lang w:eastAsia="zh-CN"/>
              </w:rPr>
              <w:t>、</w:t>
            </w:r>
            <w:r>
              <w:rPr>
                <w:rFonts w:hint="eastAsia" w:ascii="仿宋" w:hAnsi="仿宋" w:eastAsia="仿宋" w:cs="仿宋"/>
                <w:sz w:val="30"/>
                <w:szCs w:val="30"/>
              </w:rPr>
              <w:t>水生态环境股</w:t>
            </w:r>
            <w:r>
              <w:rPr>
                <w:rFonts w:hint="eastAsia" w:ascii="仿宋" w:hAnsi="仿宋" w:eastAsia="仿宋" w:cs="仿宋"/>
                <w:sz w:val="30"/>
                <w:szCs w:val="30"/>
                <w:lang w:eastAsia="zh-CN"/>
              </w:rPr>
              <w:t>、</w:t>
            </w:r>
            <w:r>
              <w:rPr>
                <w:rFonts w:hint="eastAsia" w:ascii="仿宋" w:hAnsi="仿宋" w:eastAsia="仿宋" w:cs="仿宋"/>
                <w:sz w:val="30"/>
                <w:szCs w:val="30"/>
              </w:rPr>
              <w:t>大气环境与应对气候变化股</w:t>
            </w:r>
            <w:r>
              <w:rPr>
                <w:rFonts w:hint="eastAsia" w:ascii="仿宋" w:hAnsi="仿宋" w:eastAsia="仿宋" w:cs="仿宋"/>
                <w:sz w:val="30"/>
                <w:szCs w:val="30"/>
                <w:lang w:eastAsia="zh-CN"/>
              </w:rPr>
              <w:t>、</w:t>
            </w:r>
            <w:r>
              <w:rPr>
                <w:rFonts w:hint="eastAsia" w:ascii="仿宋" w:hAnsi="仿宋" w:eastAsia="仿宋" w:cs="仿宋"/>
                <w:sz w:val="30"/>
                <w:szCs w:val="30"/>
              </w:rPr>
              <w:t>固体废物股</w:t>
            </w:r>
            <w:r>
              <w:rPr>
                <w:rFonts w:hint="eastAsia" w:ascii="仿宋" w:hAnsi="仿宋" w:eastAsia="仿宋" w:cs="仿宋"/>
                <w:sz w:val="30"/>
                <w:szCs w:val="30"/>
                <w:lang w:eastAsia="zh-CN"/>
              </w:rPr>
              <w:t>、</w:t>
            </w:r>
            <w:r>
              <w:rPr>
                <w:rFonts w:hint="eastAsia" w:ascii="仿宋" w:hAnsi="仿宋" w:eastAsia="仿宋" w:cs="仿宋"/>
                <w:sz w:val="30"/>
                <w:szCs w:val="30"/>
              </w:rPr>
              <w:t>行政审批股</w:t>
            </w:r>
            <w:r>
              <w:rPr>
                <w:rFonts w:hint="eastAsia" w:ascii="仿宋" w:hAnsi="仿宋" w:eastAsia="仿宋" w:cs="仿宋"/>
                <w:sz w:val="30"/>
                <w:szCs w:val="30"/>
                <w:lang w:eastAsia="zh-CN"/>
              </w:rPr>
              <w:t>、</w:t>
            </w:r>
            <w:r>
              <w:rPr>
                <w:rFonts w:hint="eastAsia" w:ascii="仿宋" w:hAnsi="仿宋" w:eastAsia="仿宋" w:cs="仿宋"/>
                <w:sz w:val="30"/>
                <w:szCs w:val="30"/>
              </w:rPr>
              <w:t>规划与财务股</w:t>
            </w:r>
            <w:r>
              <w:rPr>
                <w:rFonts w:hint="eastAsia" w:ascii="仿宋" w:hAnsi="仿宋" w:eastAsia="仿宋" w:cs="仿宋"/>
                <w:sz w:val="30"/>
                <w:szCs w:val="30"/>
                <w:lang w:eastAsia="zh-CN"/>
              </w:rPr>
              <w:t>、</w:t>
            </w:r>
            <w:r>
              <w:rPr>
                <w:rFonts w:hint="eastAsia" w:ascii="仿宋" w:hAnsi="仿宋" w:eastAsia="仿宋" w:cs="仿宋"/>
                <w:sz w:val="30"/>
                <w:szCs w:val="30"/>
              </w:rPr>
              <w:t>人事股。</w:t>
            </w:r>
            <w:r>
              <w:rPr>
                <w:rFonts w:hint="eastAsia" w:ascii="仿宋" w:hAnsi="仿宋" w:eastAsia="仿宋" w:cs="仿宋"/>
                <w:sz w:val="32"/>
                <w:szCs w:val="32"/>
              </w:rPr>
              <w:t>下设县生态环境保护综合行政执法大队</w:t>
            </w:r>
            <w:r>
              <w:rPr>
                <w:rFonts w:hint="eastAsia" w:ascii="仿宋" w:hAnsi="仿宋" w:eastAsia="仿宋" w:cs="仿宋"/>
                <w:sz w:val="32"/>
                <w:szCs w:val="32"/>
                <w:lang w:eastAsia="zh-CN"/>
              </w:rPr>
              <w:t>、</w:t>
            </w:r>
            <w:r>
              <w:rPr>
                <w:rFonts w:hint="eastAsia" w:ascii="仿宋" w:hAnsi="仿宋" w:eastAsia="仿宋" w:cs="仿宋"/>
                <w:sz w:val="32"/>
                <w:szCs w:val="32"/>
              </w:rPr>
              <w:t>岳阳市华容生态环境监测站</w:t>
            </w:r>
            <w:r>
              <w:rPr>
                <w:rFonts w:hint="eastAsia" w:ascii="仿宋" w:hAnsi="仿宋" w:eastAsia="仿宋" w:cs="仿宋"/>
                <w:sz w:val="30"/>
                <w:szCs w:val="30"/>
              </w:rPr>
              <w:t>两个二级机构（二级机构财务上未独立核算）。</w:t>
            </w:r>
          </w:p>
          <w:p>
            <w:pPr>
              <w:ind w:firstLine="640" w:firstLineChars="200"/>
              <w:rPr>
                <w:rFonts w:hint="eastAsia" w:ascii="仿宋" w:hAnsi="仿宋" w:eastAsia="仿宋" w:cs="仿宋"/>
                <w:sz w:val="30"/>
                <w:szCs w:val="30"/>
                <w:lang w:eastAsia="zh-CN"/>
              </w:rPr>
            </w:pPr>
            <w:r>
              <w:rPr>
                <w:rFonts w:hint="eastAsia" w:ascii="仿宋" w:hAnsi="仿宋" w:eastAsia="仿宋" w:cs="仿宋"/>
                <w:kern w:val="2"/>
                <w:sz w:val="32"/>
                <w:szCs w:val="32"/>
                <w:lang w:val="en-US" w:eastAsia="zh-CN" w:bidi="ar-SA"/>
              </w:rPr>
              <w:t>职能职责：</w:t>
            </w:r>
            <w:r>
              <w:rPr>
                <w:rFonts w:hint="eastAsia" w:ascii="仿宋" w:hAnsi="仿宋" w:eastAsia="仿宋" w:cs="仿宋"/>
                <w:sz w:val="30"/>
                <w:szCs w:val="30"/>
              </w:rPr>
              <w:t>贯彻执行国家、省和市有关生态环境的法律法规和政策，根据职责和授权拟订生态环境保护规范性文件并监督实施。负责生态环境保护方面的制度建设</w:t>
            </w:r>
            <w:r>
              <w:rPr>
                <w:rFonts w:hint="eastAsia" w:ascii="仿宋" w:hAnsi="仿宋" w:eastAsia="仿宋" w:cs="仿宋"/>
                <w:sz w:val="30"/>
                <w:szCs w:val="30"/>
                <w:lang w:eastAsia="zh-CN"/>
              </w:rPr>
              <w:t>；</w:t>
            </w:r>
            <w:r>
              <w:rPr>
                <w:rFonts w:hint="eastAsia" w:ascii="仿宋" w:hAnsi="仿宋" w:eastAsia="仿宋" w:cs="仿宋"/>
                <w:sz w:val="30"/>
                <w:szCs w:val="30"/>
              </w:rPr>
              <w:t>协调和监督管理辖区内生态环境保护工作</w:t>
            </w:r>
            <w:r>
              <w:rPr>
                <w:rFonts w:hint="eastAsia" w:ascii="仿宋" w:hAnsi="仿宋" w:eastAsia="仿宋" w:cs="仿宋"/>
                <w:sz w:val="30"/>
                <w:szCs w:val="30"/>
                <w:lang w:eastAsia="zh-CN"/>
              </w:rPr>
              <w:t>；</w:t>
            </w:r>
            <w:r>
              <w:rPr>
                <w:rFonts w:hint="eastAsia" w:ascii="仿宋" w:hAnsi="仿宋" w:eastAsia="仿宋" w:cs="仿宋"/>
                <w:sz w:val="30"/>
                <w:szCs w:val="30"/>
              </w:rPr>
              <w:t>监督管理减排目标的落实</w:t>
            </w:r>
            <w:r>
              <w:rPr>
                <w:rFonts w:hint="eastAsia" w:ascii="仿宋" w:hAnsi="仿宋" w:eastAsia="仿宋" w:cs="仿宋"/>
                <w:sz w:val="30"/>
                <w:szCs w:val="30"/>
                <w:lang w:eastAsia="zh-CN"/>
              </w:rPr>
              <w:t>；</w:t>
            </w:r>
            <w:r>
              <w:rPr>
                <w:rFonts w:hint="eastAsia" w:ascii="仿宋" w:hAnsi="仿宋" w:eastAsia="仿宋" w:cs="仿宋"/>
                <w:sz w:val="30"/>
                <w:szCs w:val="30"/>
              </w:rPr>
              <w:t>环境污染防治的监督管理</w:t>
            </w:r>
            <w:r>
              <w:rPr>
                <w:rFonts w:hint="eastAsia" w:ascii="仿宋" w:hAnsi="仿宋" w:eastAsia="仿宋" w:cs="仿宋"/>
                <w:sz w:val="30"/>
                <w:szCs w:val="30"/>
                <w:lang w:eastAsia="zh-CN"/>
              </w:rPr>
              <w:t>；</w:t>
            </w:r>
            <w:r>
              <w:rPr>
                <w:rFonts w:hint="eastAsia" w:ascii="仿宋" w:hAnsi="仿宋" w:eastAsia="仿宋" w:cs="仿宋"/>
                <w:sz w:val="30"/>
                <w:szCs w:val="30"/>
              </w:rPr>
              <w:t>指导协调和监督生态保护修复工作</w:t>
            </w:r>
            <w:r>
              <w:rPr>
                <w:rFonts w:hint="eastAsia" w:ascii="仿宋" w:hAnsi="仿宋" w:eastAsia="仿宋" w:cs="仿宋"/>
                <w:sz w:val="30"/>
                <w:szCs w:val="30"/>
                <w:lang w:eastAsia="zh-CN"/>
              </w:rPr>
              <w:t>；</w:t>
            </w:r>
            <w:r>
              <w:rPr>
                <w:rFonts w:hint="eastAsia" w:ascii="仿宋" w:hAnsi="仿宋" w:eastAsia="仿宋" w:cs="仿宋"/>
                <w:sz w:val="30"/>
                <w:szCs w:val="30"/>
              </w:rPr>
              <w:t>辐射环境安全的监督管理</w:t>
            </w:r>
            <w:r>
              <w:rPr>
                <w:rFonts w:hint="eastAsia" w:ascii="仿宋" w:hAnsi="仿宋" w:eastAsia="仿宋" w:cs="仿宋"/>
                <w:sz w:val="30"/>
                <w:szCs w:val="30"/>
                <w:lang w:eastAsia="zh-CN"/>
              </w:rPr>
              <w:t>；</w:t>
            </w:r>
            <w:r>
              <w:rPr>
                <w:rFonts w:hint="eastAsia" w:ascii="仿宋" w:hAnsi="仿宋" w:eastAsia="仿宋" w:cs="仿宋"/>
                <w:sz w:val="30"/>
                <w:szCs w:val="30"/>
              </w:rPr>
              <w:t>生态环境准入的监督管理</w:t>
            </w:r>
            <w:r>
              <w:rPr>
                <w:rFonts w:hint="eastAsia" w:ascii="仿宋" w:hAnsi="仿宋" w:eastAsia="仿宋" w:cs="仿宋"/>
                <w:sz w:val="30"/>
                <w:szCs w:val="30"/>
                <w:lang w:eastAsia="zh-CN"/>
              </w:rPr>
              <w:t>；</w:t>
            </w:r>
            <w:r>
              <w:rPr>
                <w:rFonts w:hint="eastAsia" w:ascii="仿宋" w:hAnsi="仿宋" w:eastAsia="仿宋" w:cs="仿宋"/>
                <w:sz w:val="30"/>
                <w:szCs w:val="30"/>
              </w:rPr>
              <w:t>生态环境监测工作</w:t>
            </w:r>
            <w:r>
              <w:rPr>
                <w:rFonts w:hint="eastAsia" w:ascii="仿宋" w:hAnsi="仿宋" w:eastAsia="仿宋" w:cs="仿宋"/>
                <w:sz w:val="30"/>
                <w:szCs w:val="30"/>
                <w:lang w:eastAsia="zh-CN"/>
              </w:rPr>
              <w:t>；</w:t>
            </w:r>
            <w:r>
              <w:rPr>
                <w:rFonts w:hint="eastAsia" w:ascii="仿宋" w:hAnsi="仿宋" w:eastAsia="仿宋" w:cs="仿宋"/>
                <w:sz w:val="30"/>
                <w:szCs w:val="30"/>
              </w:rPr>
              <w:t>承担生态环境保护综合执法工作</w:t>
            </w:r>
            <w:r>
              <w:rPr>
                <w:rFonts w:hint="eastAsia" w:ascii="仿宋" w:hAnsi="仿宋" w:eastAsia="仿宋" w:cs="仿宋"/>
                <w:sz w:val="30"/>
                <w:szCs w:val="30"/>
                <w:lang w:eastAsia="zh-CN"/>
              </w:rPr>
              <w:t>；</w:t>
            </w:r>
            <w:r>
              <w:rPr>
                <w:rFonts w:hint="eastAsia" w:ascii="仿宋" w:hAnsi="仿宋" w:eastAsia="仿宋" w:cs="仿宋"/>
                <w:sz w:val="30"/>
                <w:szCs w:val="30"/>
              </w:rPr>
              <w:t>组织开展生态环境科技工作</w:t>
            </w:r>
            <w:r>
              <w:rPr>
                <w:rFonts w:hint="eastAsia" w:ascii="仿宋" w:hAnsi="仿宋" w:eastAsia="仿宋" w:cs="仿宋"/>
                <w:sz w:val="30"/>
                <w:szCs w:val="30"/>
                <w:lang w:eastAsia="zh-CN"/>
              </w:rPr>
              <w:t>；</w:t>
            </w:r>
            <w:r>
              <w:rPr>
                <w:rFonts w:hint="eastAsia" w:ascii="仿宋" w:hAnsi="仿宋" w:eastAsia="仿宋" w:cs="仿宋"/>
                <w:sz w:val="30"/>
                <w:szCs w:val="30"/>
              </w:rPr>
              <w:t>会同有关部门管理生态环境保护有关资金项目</w:t>
            </w:r>
            <w:r>
              <w:rPr>
                <w:rFonts w:hint="eastAsia" w:ascii="仿宋" w:hAnsi="仿宋" w:eastAsia="仿宋" w:cs="仿宋"/>
                <w:sz w:val="30"/>
                <w:szCs w:val="30"/>
                <w:lang w:eastAsia="zh-CN"/>
              </w:rPr>
              <w:t>；</w:t>
            </w:r>
            <w:r>
              <w:rPr>
                <w:rFonts w:hint="eastAsia" w:ascii="仿宋" w:hAnsi="仿宋" w:eastAsia="仿宋" w:cs="仿宋"/>
                <w:sz w:val="30"/>
                <w:szCs w:val="30"/>
              </w:rPr>
              <w:t>组织开展和指导生态环境宣传教育工作</w:t>
            </w:r>
            <w:r>
              <w:rPr>
                <w:rFonts w:hint="eastAsia" w:ascii="仿宋" w:hAnsi="仿宋" w:eastAsia="仿宋" w:cs="仿宋"/>
                <w:sz w:val="30"/>
                <w:szCs w:val="30"/>
                <w:lang w:eastAsia="zh-CN"/>
              </w:rPr>
              <w:t>；</w:t>
            </w:r>
            <w:r>
              <w:rPr>
                <w:rFonts w:hint="eastAsia" w:ascii="仿宋" w:hAnsi="仿宋" w:eastAsia="仿宋" w:cs="仿宋"/>
                <w:sz w:val="30"/>
                <w:szCs w:val="30"/>
              </w:rPr>
              <w:t>完成市生态环境局交办的其他任务，协助华容县委、县政府开展生态环境保护工作，指导辖区内乡镇（街道）的生态环境保护工作。</w:t>
            </w:r>
          </w:p>
          <w:p>
            <w:pPr>
              <w:spacing w:line="240" w:lineRule="auto"/>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部门（单位）整体支出规模、使用方向和主要内容、涉及范围等</w:t>
            </w:r>
          </w:p>
          <w:p>
            <w:pPr>
              <w:pStyle w:val="2"/>
              <w:spacing w:before="0" w:beforeAutospacing="0" w:after="0"/>
              <w:ind w:firstLine="640" w:firstLineChars="200"/>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用于保障全县环保重点工作，贯彻落实上级部门工作要求，以生态环境质量改善为目标，坚定不移打好污染防治攻坚战，强化环保改革创新，抓好综合能力提升， 强化环境风险防范，推动全县环保工作取得新成效。努力实现我县主要污染物排放总量持续削减，环境空气质量持续好转，水环境质量得到阶段性改善，省控重点河流基本恢复水环境功能，水环境安全得以有效保障，土壤环境污染得到遏制，生态格局保持稳定，划定生态红线并严格保护，污染防治基础设施和环境监管能力进一步加强，环境风险得以有效控制，发展的资源依存度和环境压力显著降低， 基本形成与全面建成小康社会相适应的生态环境格局。着力推进长江排渍口、华容河、东湖及其他重点问题整治。</w:t>
            </w:r>
          </w:p>
          <w:p>
            <w:pPr>
              <w:spacing w:line="560" w:lineRule="exact"/>
              <w:ind w:firstLine="560" w:firstLineChars="200"/>
              <w:jc w:val="both"/>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（一）基本支出</w:t>
            </w:r>
          </w:p>
          <w:p>
            <w:pPr>
              <w:pStyle w:val="2"/>
              <w:numPr>
                <w:ilvl w:val="0"/>
                <w:numId w:val="0"/>
              </w:numPr>
              <w:spacing w:before="0" w:beforeAutospacing="0" w:after="0"/>
              <w:ind w:firstLine="600" w:firstLineChars="200"/>
              <w:rPr>
                <w:rFonts w:hint="eastAsia" w:ascii="仿宋" w:hAnsi="仿宋" w:eastAsia="仿宋" w:cs="仿宋"/>
                <w:sz w:val="30"/>
                <w:szCs w:val="30"/>
                <w:lang w:eastAsia="zh-CN"/>
              </w:rPr>
            </w:pPr>
            <w:r>
              <w:rPr>
                <w:rFonts w:hint="eastAsia" w:ascii="仿宋" w:hAnsi="仿宋" w:eastAsia="仿宋" w:cs="仿宋"/>
                <w:color w:val="auto"/>
                <w:sz w:val="30"/>
                <w:szCs w:val="30"/>
                <w:lang w:eastAsia="zh-CN"/>
              </w:rPr>
              <w:t>202</w:t>
            </w:r>
            <w:r>
              <w:rPr>
                <w:rFonts w:hint="eastAsia" w:ascii="仿宋" w:hAnsi="仿宋" w:eastAsia="仿宋" w:cs="仿宋"/>
                <w:color w:val="auto"/>
                <w:sz w:val="30"/>
                <w:szCs w:val="30"/>
                <w:lang w:val="en-US" w:eastAsia="zh-CN"/>
              </w:rPr>
              <w:t>0</w:t>
            </w:r>
            <w:r>
              <w:rPr>
                <w:rFonts w:hint="eastAsia" w:ascii="仿宋" w:hAnsi="仿宋" w:eastAsia="仿宋" w:cs="仿宋"/>
                <w:color w:val="auto"/>
                <w:sz w:val="30"/>
                <w:szCs w:val="30"/>
                <w:lang w:eastAsia="zh-CN"/>
              </w:rPr>
              <w:t>年基本支出数为</w:t>
            </w:r>
            <w:r>
              <w:rPr>
                <w:rFonts w:hint="eastAsia" w:ascii="仿宋" w:hAnsi="仿宋" w:eastAsia="仿宋" w:cs="仿宋"/>
                <w:color w:val="auto"/>
                <w:sz w:val="30"/>
                <w:szCs w:val="30"/>
                <w:lang w:val="en-US" w:eastAsia="zh-CN"/>
              </w:rPr>
              <w:t>1071.09</w:t>
            </w:r>
            <w:r>
              <w:rPr>
                <w:rFonts w:hint="eastAsia" w:ascii="仿宋" w:hAnsi="仿宋" w:eastAsia="仿宋" w:cs="仿宋"/>
                <w:color w:val="auto"/>
                <w:sz w:val="30"/>
                <w:szCs w:val="30"/>
                <w:lang w:eastAsia="zh-CN"/>
              </w:rPr>
              <w:t>万元，为保障单位机构正常运转、完成日常工作任务而发生的各项支出，包括用于基本工资、津贴补贴等人员经费以及办公费、印刷费、水电费、差旅费等日常公用经费。其中：人员支出</w:t>
            </w:r>
            <w:r>
              <w:rPr>
                <w:rFonts w:hint="eastAsia" w:ascii="仿宋" w:hAnsi="仿宋" w:eastAsia="仿宋" w:cs="仿宋"/>
                <w:color w:val="auto"/>
                <w:sz w:val="30"/>
                <w:szCs w:val="30"/>
                <w:lang w:val="en-US" w:eastAsia="zh-CN"/>
              </w:rPr>
              <w:t>671.1</w:t>
            </w:r>
            <w:r>
              <w:rPr>
                <w:rFonts w:hint="eastAsia" w:ascii="仿宋" w:hAnsi="仿宋" w:eastAsia="仿宋" w:cs="仿宋"/>
                <w:color w:val="auto"/>
                <w:sz w:val="30"/>
                <w:szCs w:val="30"/>
                <w:lang w:eastAsia="zh-CN"/>
              </w:rPr>
              <w:t>万元，商品和服务支出</w:t>
            </w:r>
            <w:r>
              <w:rPr>
                <w:rFonts w:hint="eastAsia" w:ascii="仿宋" w:hAnsi="仿宋" w:eastAsia="仿宋" w:cs="仿宋"/>
                <w:color w:val="auto"/>
                <w:sz w:val="30"/>
                <w:szCs w:val="30"/>
                <w:lang w:val="en-US" w:eastAsia="zh-CN"/>
              </w:rPr>
              <w:t>399.99</w:t>
            </w:r>
            <w:r>
              <w:rPr>
                <w:rFonts w:hint="eastAsia" w:ascii="仿宋" w:hAnsi="仿宋" w:eastAsia="仿宋" w:cs="仿宋"/>
                <w:color w:val="auto"/>
                <w:sz w:val="30"/>
                <w:szCs w:val="30"/>
                <w:lang w:eastAsia="zh-CN"/>
              </w:rPr>
              <w:t>万元。对个人和家庭的补助支出</w:t>
            </w:r>
            <w:r>
              <w:rPr>
                <w:rFonts w:hint="eastAsia" w:ascii="仿宋" w:hAnsi="仿宋" w:eastAsia="仿宋" w:cs="仿宋"/>
                <w:color w:val="auto"/>
                <w:sz w:val="30"/>
                <w:szCs w:val="30"/>
                <w:lang w:val="en-US" w:eastAsia="zh-CN"/>
              </w:rPr>
              <w:t xml:space="preserve">43.99 </w:t>
            </w:r>
            <w:r>
              <w:rPr>
                <w:rFonts w:hint="eastAsia" w:ascii="仿宋" w:hAnsi="仿宋" w:eastAsia="仿宋" w:cs="仿宋"/>
                <w:color w:val="auto"/>
                <w:sz w:val="30"/>
                <w:szCs w:val="30"/>
                <w:lang w:eastAsia="zh-CN"/>
              </w:rPr>
              <w:t>万元。年度“三公”经费支出</w:t>
            </w:r>
            <w:r>
              <w:rPr>
                <w:rFonts w:hint="eastAsia" w:ascii="仿宋" w:hAnsi="仿宋" w:eastAsia="仿宋" w:cs="仿宋"/>
                <w:color w:val="auto"/>
                <w:sz w:val="30"/>
                <w:szCs w:val="30"/>
                <w:lang w:val="en-US" w:eastAsia="zh-CN"/>
              </w:rPr>
              <w:t>15.6</w:t>
            </w:r>
            <w:r>
              <w:rPr>
                <w:rFonts w:hint="eastAsia" w:ascii="仿宋" w:hAnsi="仿宋" w:eastAsia="仿宋" w:cs="仿宋"/>
                <w:color w:val="auto"/>
                <w:sz w:val="30"/>
                <w:szCs w:val="30"/>
                <w:lang w:eastAsia="zh-CN"/>
              </w:rPr>
              <w:t>万元。（其中：公务接待费</w:t>
            </w:r>
            <w:r>
              <w:rPr>
                <w:rFonts w:hint="eastAsia" w:ascii="仿宋" w:hAnsi="仿宋" w:eastAsia="仿宋" w:cs="仿宋"/>
                <w:color w:val="auto"/>
                <w:sz w:val="30"/>
                <w:szCs w:val="30"/>
                <w:lang w:val="en-US" w:eastAsia="zh-CN"/>
              </w:rPr>
              <w:t>9.02</w:t>
            </w:r>
            <w:r>
              <w:rPr>
                <w:rFonts w:hint="eastAsia" w:ascii="仿宋" w:hAnsi="仿宋" w:eastAsia="仿宋" w:cs="仿宋"/>
                <w:color w:val="auto"/>
                <w:sz w:val="30"/>
                <w:szCs w:val="30"/>
                <w:lang w:eastAsia="zh-CN"/>
              </w:rPr>
              <w:t>万元，公务用车运行维护费</w:t>
            </w:r>
            <w:r>
              <w:rPr>
                <w:rFonts w:hint="eastAsia" w:ascii="仿宋" w:hAnsi="仿宋" w:eastAsia="仿宋" w:cs="仿宋"/>
                <w:color w:val="auto"/>
                <w:sz w:val="30"/>
                <w:szCs w:val="30"/>
                <w:lang w:val="en-US" w:eastAsia="zh-CN"/>
              </w:rPr>
              <w:t>6.58</w:t>
            </w:r>
            <w:r>
              <w:rPr>
                <w:rFonts w:hint="eastAsia" w:ascii="仿宋" w:hAnsi="仿宋" w:eastAsia="仿宋" w:cs="仿宋"/>
                <w:color w:val="auto"/>
                <w:sz w:val="30"/>
                <w:szCs w:val="30"/>
                <w:lang w:eastAsia="zh-CN"/>
              </w:rPr>
              <w:t>万元）</w:t>
            </w:r>
            <w:r>
              <w:rPr>
                <w:rFonts w:hint="eastAsia" w:ascii="仿宋" w:hAnsi="仿宋" w:eastAsia="仿宋" w:cs="仿宋"/>
                <w:sz w:val="30"/>
                <w:szCs w:val="30"/>
                <w:lang w:eastAsia="zh-CN"/>
              </w:rPr>
              <w:t>基本支出资金执行率 100%，合理有效地保障人员费用及局机关基本工作运行，我局基本支出严格实行经费支出事项事前审批制度，严格规范事后经费报销程序，严控经费开支标准。对因公出国、公车</w:t>
            </w:r>
            <w:r>
              <w:rPr>
                <w:rFonts w:hint="eastAsia" w:ascii="仿宋" w:hAnsi="仿宋" w:eastAsia="仿宋" w:cs="仿宋"/>
                <w:sz w:val="30"/>
                <w:szCs w:val="30"/>
                <w:lang w:val="en-US" w:eastAsia="zh-CN"/>
              </w:rPr>
              <w:t>购买及</w:t>
            </w:r>
            <w:r>
              <w:rPr>
                <w:rFonts w:hint="eastAsia" w:ascii="仿宋" w:hAnsi="仿宋" w:eastAsia="仿宋" w:cs="仿宋"/>
                <w:sz w:val="30"/>
                <w:szCs w:val="30"/>
                <w:lang w:eastAsia="zh-CN"/>
              </w:rPr>
              <w:t>运行维护、公务接待等“三公”经费支出做出“严格 控制在财政部门批复的预算额度内，不得无预算、超预算列支”等要求，并实行公示制度，“三公”经费及部门预决算等按照市统一要求，由局官方网站对外公开。</w:t>
            </w:r>
          </w:p>
          <w:p>
            <w:p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1、专项资金安排落实、总投入等情况分析</w:t>
            </w:r>
          </w:p>
          <w:p>
            <w:pPr>
              <w:pStyle w:val="7"/>
              <w:keepNext w:val="0"/>
              <w:keepLines w:val="0"/>
              <w:widowControl/>
              <w:suppressLineNumbers w:val="0"/>
              <w:spacing w:before="0" w:beforeAutospacing="0" w:after="0" w:afterAutospacing="0" w:line="33" w:lineRule="atLeast"/>
              <w:ind w:right="0" w:firstLine="600" w:firstLineChars="200"/>
              <w:jc w:val="both"/>
              <w:rPr>
                <w:rFonts w:hint="eastAsia"/>
                <w:color w:val="auto"/>
              </w:rPr>
            </w:pPr>
            <w:r>
              <w:rPr>
                <w:rFonts w:hint="eastAsia" w:ascii="仿宋" w:hAnsi="仿宋" w:eastAsia="仿宋" w:cs="仿宋"/>
                <w:color w:val="auto"/>
                <w:kern w:val="2"/>
                <w:sz w:val="30"/>
                <w:szCs w:val="30"/>
                <w:lang w:val="en-US" w:eastAsia="zh-CN" w:bidi="ar-SA"/>
              </w:rPr>
              <w:t>污染防治攻坚治理专项经费250万元；环境监测能力建设217.47万元；环境监察、监测等运行经费129.82万元；办案经费33万元；非同级财政专项5060.44万元。</w:t>
            </w:r>
          </w:p>
          <w:p>
            <w:pPr>
              <w:numPr>
                <w:ilvl w:val="0"/>
                <w:numId w:val="5"/>
              </w:numPr>
              <w:spacing w:line="560" w:lineRule="exact"/>
              <w:ind w:firstLine="560" w:firstLineChars="200"/>
              <w:jc w:val="both"/>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专项资金实际使用情况分析</w:t>
            </w:r>
          </w:p>
          <w:p>
            <w:pPr>
              <w:pStyle w:val="7"/>
              <w:keepNext w:val="0"/>
              <w:keepLines w:val="0"/>
              <w:widowControl/>
              <w:suppressLineNumbers w:val="0"/>
              <w:spacing w:before="0" w:beforeAutospacing="0" w:after="0" w:afterAutospacing="0" w:line="33" w:lineRule="atLeast"/>
              <w:ind w:right="0" w:firstLine="600" w:firstLineChars="200"/>
              <w:jc w:val="both"/>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2020年度以上环保专项资金全部投入各环保专项建设中，为本部门职能职责的实施提供了资金保障。</w:t>
            </w:r>
          </w:p>
          <w:p>
            <w:pPr>
              <w:numPr>
                <w:ilvl w:val="0"/>
                <w:numId w:val="5"/>
              </w:numPr>
              <w:spacing w:line="560" w:lineRule="exact"/>
              <w:ind w:left="0" w:leftChars="0"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pStyle w:val="2"/>
              <w:spacing w:before="0" w:beforeAutospacing="0" w:after="0"/>
              <w:ind w:firstLine="600" w:firstLineChars="200"/>
              <w:rPr>
                <w:rFonts w:hint="eastAsia"/>
              </w:rPr>
            </w:pPr>
            <w:r>
              <w:rPr>
                <w:rFonts w:hint="eastAsia" w:ascii="仿宋" w:hAnsi="仿宋" w:eastAsia="仿宋" w:cs="仿宋"/>
                <w:kern w:val="2"/>
                <w:sz w:val="30"/>
                <w:szCs w:val="30"/>
                <w:lang w:val="en-US" w:eastAsia="zh-CN" w:bidi="ar-SA"/>
              </w:rPr>
              <w:t>为加强财务管理水平，规范财务收支行为，提高资金使用效益，保障全局各项工作正常开展，我局修改完善了财务管理相关规定，按照国家现行的财经法律法规的要求，结合我局实际情况，在预算审核、收入支出、资产与负债、以及内部监督等方面制定了更加科学、规范的管理办法， 在各项经费管理方面制定了较为完善的审批流程；同时对报销程序、合同审批，以及差旅费等开支做了较为详细且可操作的具体规定。 中央及省级专项资金按照国家和省现行文件规定严格规范管理，定期调度各相关处室资金使用及项目进展情况， 从上至下严肃上级转移支付资金使用，压实各项目单位、各相关处室的职责。从各级环境保护专项资金项目申报、项目实施管理、绩效评价等方面全方位做好监督管理，确保专项资金安全，并发挥最大效用。</w:t>
            </w:r>
          </w:p>
          <w:p>
            <w:pPr>
              <w:spacing w:line="240" w:lineRule="auto"/>
              <w:ind w:firstLine="560" w:firstLineChars="200"/>
              <w:jc w:val="both"/>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pStyle w:val="7"/>
              <w:keepNext w:val="0"/>
              <w:keepLines w:val="0"/>
              <w:widowControl/>
              <w:suppressLineNumbers w:val="0"/>
              <w:spacing w:before="0" w:beforeAutospacing="0" w:after="0" w:afterAutospacing="0" w:line="33" w:lineRule="atLeast"/>
              <w:ind w:right="0" w:firstLine="600" w:firstLineChars="200"/>
              <w:jc w:val="both"/>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2020年，市财政共预算环保专项经费1048.02万元，其中：污染防治攻坚治理专项经费250万元；环境监测能力建设217.47万元；环境监察、监测等运行经费366.5万元；政府年终绩效预留181.05万元；办案经费33万元。</w:t>
            </w:r>
          </w:p>
          <w:p>
            <w:pPr>
              <w:numPr>
                <w:ilvl w:val="0"/>
                <w:numId w:val="0"/>
              </w:numPr>
              <w:spacing w:line="240" w:lineRule="auto"/>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专项管理情况分析</w:t>
            </w:r>
          </w:p>
          <w:p>
            <w:pPr>
              <w:pStyle w:val="7"/>
              <w:keepNext w:val="0"/>
              <w:keepLines w:val="0"/>
              <w:widowControl/>
              <w:suppressLineNumbers w:val="0"/>
              <w:spacing w:before="0" w:beforeAutospacing="0" w:after="0" w:afterAutospacing="0" w:line="33" w:lineRule="atLeast"/>
              <w:ind w:right="0"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遵循“先预算、再审批、后支出”原则，所有资金安排均通过了“资金申报、项目评估、党组审定、财政会审、领导批示、财政下拨”程序，为行政运行畅通和环境质量改善提供了经济基础。</w:t>
            </w:r>
          </w:p>
          <w:p>
            <w:pPr>
              <w:spacing w:line="240" w:lineRule="auto"/>
              <w:ind w:firstLine="560" w:firstLineChars="200"/>
              <w:jc w:val="both"/>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kinsoku/>
              <w:wordWrap/>
              <w:overflowPunct/>
              <w:topLinePunct w:val="0"/>
              <w:autoSpaceDN/>
              <w:bidi w:val="0"/>
              <w:spacing w:line="620" w:lineRule="exact"/>
              <w:ind w:firstLine="640" w:firstLineChars="200"/>
              <w:jc w:val="both"/>
              <w:textAlignment w:val="auto"/>
              <w:rPr>
                <w:rFonts w:hint="eastAsia" w:ascii="仿宋" w:hAnsi="仿宋" w:eastAsia="仿宋" w:cs="仿宋"/>
                <w:b w:val="0"/>
                <w:bCs w:val="0"/>
                <w:color w:val="auto"/>
                <w:sz w:val="32"/>
                <w:szCs w:val="32"/>
                <w:shd w:val="clear" w:color="auto" w:fill="FFFFFF"/>
                <w:lang w:eastAsia="zh-CN"/>
              </w:rPr>
            </w:pPr>
            <w:r>
              <w:rPr>
                <w:rFonts w:hint="eastAsia" w:hAnsi="仿宋" w:eastAsia="仿宋_GB2312" w:cs="仿宋"/>
                <w:color w:val="auto"/>
                <w:sz w:val="32"/>
                <w:szCs w:val="32"/>
                <w:lang w:val="en-US" w:eastAsia="zh-CN"/>
              </w:rPr>
              <w:t>2020</w:t>
            </w:r>
            <w:r>
              <w:rPr>
                <w:rFonts w:hint="eastAsia" w:hAnsi="仿宋" w:eastAsia="仿宋_GB2312" w:cs="仿宋"/>
                <w:color w:val="auto"/>
                <w:sz w:val="32"/>
                <w:szCs w:val="32"/>
              </w:rPr>
              <w:t>年</w:t>
            </w:r>
            <w:r>
              <w:rPr>
                <w:rFonts w:hint="eastAsia" w:ascii="仿宋" w:hAnsi="仿宋" w:eastAsia="仿宋" w:cs="仿宋"/>
                <w:b w:val="0"/>
                <w:bCs w:val="0"/>
                <w:color w:val="auto"/>
                <w:sz w:val="32"/>
                <w:szCs w:val="32"/>
                <w:lang w:val="en-US" w:eastAsia="zh-CN"/>
              </w:rPr>
              <w:t>农村生活污水处理率目标值是60%，完成率是74%；优良以上空气质量达标率目标值为85%，实际达标率是 95.9%</w:t>
            </w:r>
            <w:r>
              <w:rPr>
                <w:rFonts w:hint="eastAsia" w:hAnsi="仿宋" w:eastAsia="仿宋_GB2312" w:cs="仿宋"/>
                <w:color w:val="auto"/>
                <w:sz w:val="32"/>
                <w:szCs w:val="32"/>
              </w:rPr>
              <w:t>；Ⅲ类或优于Ⅲ类水质达标率目标值</w:t>
            </w:r>
            <w:r>
              <w:rPr>
                <w:rFonts w:hint="eastAsia" w:ascii="仿宋" w:hAnsi="仿宋" w:eastAsia="仿宋" w:cs="仿宋"/>
                <w:b w:val="0"/>
                <w:bCs w:val="0"/>
                <w:color w:val="auto"/>
                <w:sz w:val="32"/>
                <w:szCs w:val="32"/>
                <w:lang w:val="en-US" w:eastAsia="zh-CN"/>
              </w:rPr>
              <w:t>为95%，实际达标率为91%，实现程度为95.8%</w:t>
            </w:r>
            <w:r>
              <w:rPr>
                <w:rFonts w:hint="eastAsia" w:hAnsi="仿宋" w:eastAsia="仿宋_GB2312" w:cs="仿宋"/>
                <w:color w:val="auto"/>
                <w:sz w:val="32"/>
                <w:szCs w:val="32"/>
              </w:rPr>
              <w:t>。</w:t>
            </w:r>
            <w:r>
              <w:rPr>
                <w:rFonts w:hint="eastAsia" w:hAnsi="仿宋" w:eastAsia="仿宋_GB2312" w:cs="仿宋"/>
                <w:color w:val="auto"/>
                <w:sz w:val="32"/>
                <w:szCs w:val="32"/>
                <w:lang w:eastAsia="zh-CN"/>
              </w:rPr>
              <w:t>全县</w:t>
            </w:r>
            <w:r>
              <w:rPr>
                <w:rFonts w:hint="eastAsia" w:ascii="仿宋" w:hAnsi="仿宋" w:eastAsia="仿宋" w:cs="仿宋"/>
                <w:color w:val="auto"/>
                <w:sz w:val="32"/>
                <w:szCs w:val="32"/>
                <w:lang w:val="en-US" w:eastAsia="zh-CN"/>
              </w:rPr>
              <w:t>森林覆盖率达到22.15%，农村卫生厕所普及率达到95%，生活垃圾分类减量覆盖率达到90%，无害化处理率达到100%。</w:t>
            </w:r>
            <w:r>
              <w:rPr>
                <w:rFonts w:hint="eastAsia" w:hAnsi="仿宋" w:eastAsia="仿宋_GB2312"/>
                <w:color w:val="auto"/>
                <w:sz w:val="32"/>
                <w:szCs w:val="32"/>
              </w:rPr>
              <w:t>全县各乡镇和相关部门</w:t>
            </w:r>
            <w:r>
              <w:rPr>
                <w:rFonts w:hint="eastAsia" w:hAnsi="仿宋" w:eastAsia="仿宋_GB2312" w:cs="仿宋"/>
                <w:color w:val="auto"/>
                <w:sz w:val="32"/>
                <w:szCs w:val="32"/>
              </w:rPr>
              <w:t>按照省、市、县的统一部署和要求，对表对标，共同发力，</w:t>
            </w:r>
            <w:r>
              <w:rPr>
                <w:rFonts w:hint="eastAsia" w:hAnsi="仿宋" w:eastAsia="仿宋_GB2312" w:cs="仿宋"/>
                <w:color w:val="auto"/>
                <w:sz w:val="32"/>
                <w:szCs w:val="32"/>
                <w:lang w:eastAsia="zh-CN"/>
              </w:rPr>
              <w:t>保持定力，</w:t>
            </w:r>
            <w:r>
              <w:rPr>
                <w:rFonts w:hint="eastAsia" w:hAnsi="仿宋" w:eastAsia="仿宋_GB2312" w:cs="仿宋"/>
                <w:color w:val="auto"/>
                <w:sz w:val="32"/>
                <w:szCs w:val="32"/>
              </w:rPr>
              <w:t>压茬推进</w:t>
            </w:r>
            <w:r>
              <w:rPr>
                <w:rFonts w:hint="eastAsia" w:ascii="仿宋_GB2312" w:hAnsi="仿宋" w:eastAsia="仿宋_GB2312"/>
                <w:color w:val="auto"/>
                <w:sz w:val="32"/>
                <w:szCs w:val="32"/>
              </w:rPr>
              <w:t>突出环境</w:t>
            </w:r>
            <w:r>
              <w:rPr>
                <w:rFonts w:hint="eastAsia" w:hAnsi="仿宋" w:eastAsia="仿宋_GB2312" w:cs="仿宋"/>
                <w:color w:val="auto"/>
                <w:sz w:val="32"/>
                <w:szCs w:val="32"/>
              </w:rPr>
              <w:t>问题整治</w:t>
            </w:r>
            <w:r>
              <w:rPr>
                <w:rFonts w:hint="eastAsia" w:ascii="仿宋" w:hAnsi="仿宋" w:eastAsia="仿宋" w:cs="仿宋"/>
                <w:color w:val="auto"/>
                <w:sz w:val="32"/>
                <w:szCs w:val="32"/>
                <w:lang w:eastAsia="zh-CN"/>
              </w:rPr>
              <w:t>，</w:t>
            </w:r>
            <w:r>
              <w:rPr>
                <w:rFonts w:hint="eastAsia" w:ascii="仿宋" w:hAnsi="仿宋" w:eastAsia="仿宋" w:cs="仿宋"/>
                <w:b w:val="0"/>
                <w:bCs w:val="0"/>
                <w:color w:val="auto"/>
                <w:sz w:val="32"/>
                <w:szCs w:val="32"/>
                <w:shd w:val="clear" w:color="auto" w:fill="FFFFFF"/>
                <w:lang w:val="en-US" w:eastAsia="zh-CN"/>
              </w:rPr>
              <w:t>73项污染防治攻坚</w:t>
            </w:r>
            <w:r>
              <w:rPr>
                <w:rFonts w:hint="eastAsia" w:ascii="仿宋" w:hAnsi="仿宋" w:eastAsia="仿宋" w:cs="仿宋"/>
                <w:b w:val="0"/>
                <w:bCs w:val="0"/>
                <w:color w:val="auto"/>
                <w:sz w:val="32"/>
                <w:szCs w:val="32"/>
                <w:shd w:val="clear" w:color="auto" w:fill="FFFFFF"/>
              </w:rPr>
              <w:t>“夏季攻势”</w:t>
            </w:r>
            <w:r>
              <w:rPr>
                <w:rFonts w:hint="eastAsia" w:ascii="仿宋" w:hAnsi="仿宋" w:eastAsia="仿宋" w:cs="仿宋"/>
                <w:b w:val="0"/>
                <w:bCs w:val="0"/>
                <w:color w:val="auto"/>
                <w:sz w:val="32"/>
                <w:szCs w:val="32"/>
                <w:shd w:val="clear" w:color="auto" w:fill="FFFFFF"/>
                <w:lang w:eastAsia="zh-CN"/>
              </w:rPr>
              <w:t>问题全部完成了销号，</w:t>
            </w:r>
            <w:r>
              <w:rPr>
                <w:rFonts w:hint="eastAsia" w:ascii="仿宋" w:hAnsi="仿宋" w:eastAsia="仿宋" w:cs="仿宋"/>
                <w:b w:val="0"/>
                <w:bCs w:val="0"/>
                <w:color w:val="auto"/>
                <w:sz w:val="32"/>
                <w:szCs w:val="32"/>
                <w:shd w:val="clear" w:color="auto" w:fill="FFFFFF"/>
                <w:lang w:val="en-US" w:eastAsia="zh-CN"/>
              </w:rPr>
              <w:t>47个</w:t>
            </w:r>
            <w:r>
              <w:rPr>
                <w:rFonts w:hint="eastAsia" w:ascii="仿宋" w:hAnsi="仿宋" w:eastAsia="仿宋" w:cs="仿宋"/>
                <w:b w:val="0"/>
                <w:bCs w:val="0"/>
                <w:color w:val="auto"/>
                <w:sz w:val="32"/>
                <w:szCs w:val="32"/>
                <w:shd w:val="clear" w:color="auto" w:fill="FFFFFF"/>
              </w:rPr>
              <w:t>“洞庭清波”</w:t>
            </w:r>
            <w:r>
              <w:rPr>
                <w:rFonts w:hint="eastAsia" w:ascii="仿宋" w:hAnsi="仿宋" w:eastAsia="仿宋" w:cs="仿宋"/>
                <w:b w:val="0"/>
                <w:bCs w:val="0"/>
                <w:color w:val="auto"/>
                <w:sz w:val="32"/>
                <w:szCs w:val="32"/>
                <w:shd w:val="clear" w:color="auto" w:fill="FFFFFF"/>
                <w:lang w:eastAsia="zh-CN"/>
              </w:rPr>
              <w:t>问题整治基本完成。</w:t>
            </w:r>
          </w:p>
          <w:p>
            <w:pPr>
              <w:keepNext w:val="0"/>
              <w:keepLines w:val="0"/>
              <w:pageBreakBefore w:val="0"/>
              <w:kinsoku/>
              <w:wordWrap/>
              <w:overflowPunct/>
              <w:topLinePunct w:val="0"/>
              <w:autoSpaceDN/>
              <w:bidi w:val="0"/>
              <w:spacing w:line="620" w:lineRule="exact"/>
              <w:ind w:firstLine="640" w:firstLineChars="200"/>
              <w:jc w:val="both"/>
              <w:textAlignment w:val="auto"/>
              <w:rPr>
                <w:rFonts w:hint="eastAsia" w:ascii="仿宋" w:hAnsi="仿宋" w:eastAsia="仿宋" w:cs="仿宋"/>
                <w:b w:val="0"/>
                <w:bCs w:val="0"/>
                <w:color w:val="auto"/>
                <w:sz w:val="32"/>
                <w:szCs w:val="32"/>
                <w:shd w:val="clear" w:color="auto" w:fill="FFFFFF"/>
                <w:lang w:eastAsia="zh-CN"/>
              </w:rPr>
            </w:pPr>
            <w:r>
              <w:rPr>
                <w:rFonts w:hint="eastAsia" w:ascii="仿宋" w:hAnsi="仿宋" w:eastAsia="仿宋" w:cs="仿宋"/>
                <w:b w:val="0"/>
                <w:bCs w:val="0"/>
                <w:color w:val="auto"/>
                <w:sz w:val="32"/>
                <w:szCs w:val="32"/>
                <w:shd w:val="clear" w:color="auto" w:fill="FFFFFF"/>
                <w:lang w:eastAsia="zh-CN"/>
              </w:rPr>
              <w:t>1、推进长江排渍口整治。</w:t>
            </w:r>
          </w:p>
          <w:p>
            <w:pPr>
              <w:keepNext w:val="0"/>
              <w:keepLines w:val="0"/>
              <w:pageBreakBefore w:val="0"/>
              <w:kinsoku/>
              <w:wordWrap/>
              <w:overflowPunct/>
              <w:topLinePunct w:val="0"/>
              <w:autoSpaceDN/>
              <w:bidi w:val="0"/>
              <w:spacing w:line="620" w:lineRule="exact"/>
              <w:ind w:firstLine="640" w:firstLineChars="200"/>
              <w:jc w:val="both"/>
              <w:textAlignment w:val="auto"/>
              <w:rPr>
                <w:rFonts w:hint="eastAsia" w:ascii="仿宋" w:hAnsi="仿宋" w:eastAsia="仿宋" w:cs="仿宋"/>
                <w:b w:val="0"/>
                <w:bCs w:val="0"/>
                <w:color w:val="auto"/>
                <w:sz w:val="32"/>
                <w:szCs w:val="32"/>
                <w:shd w:val="clear" w:color="auto" w:fill="FFFFFF"/>
                <w:lang w:eastAsia="zh-CN"/>
              </w:rPr>
            </w:pPr>
            <w:r>
              <w:rPr>
                <w:rFonts w:hint="eastAsia" w:ascii="仿宋" w:hAnsi="仿宋" w:eastAsia="仿宋" w:cs="仿宋"/>
                <w:b w:val="0"/>
                <w:bCs w:val="0"/>
                <w:color w:val="auto"/>
                <w:sz w:val="32"/>
                <w:szCs w:val="32"/>
                <w:shd w:val="clear" w:color="auto" w:fill="FFFFFF"/>
                <w:lang w:eastAsia="zh-CN"/>
              </w:rPr>
              <w:t>2、推进华容河的整治。</w:t>
            </w:r>
          </w:p>
          <w:p>
            <w:pPr>
              <w:keepNext w:val="0"/>
              <w:keepLines w:val="0"/>
              <w:pageBreakBefore w:val="0"/>
              <w:kinsoku/>
              <w:wordWrap/>
              <w:overflowPunct/>
              <w:topLinePunct w:val="0"/>
              <w:autoSpaceDN/>
              <w:bidi w:val="0"/>
              <w:spacing w:line="620" w:lineRule="exact"/>
              <w:ind w:firstLine="640" w:firstLineChars="200"/>
              <w:jc w:val="both"/>
              <w:textAlignment w:val="auto"/>
              <w:rPr>
                <w:rFonts w:hint="eastAsia" w:ascii="仿宋" w:hAnsi="仿宋" w:eastAsia="仿宋" w:cs="仿宋"/>
                <w:b w:val="0"/>
                <w:bCs w:val="0"/>
                <w:color w:val="auto"/>
                <w:sz w:val="32"/>
                <w:szCs w:val="32"/>
                <w:shd w:val="clear" w:color="auto" w:fill="FFFFFF"/>
                <w:lang w:eastAsia="zh-CN"/>
              </w:rPr>
            </w:pPr>
            <w:r>
              <w:rPr>
                <w:rFonts w:hint="eastAsia" w:ascii="仿宋" w:hAnsi="仿宋" w:eastAsia="仿宋" w:cs="仿宋"/>
                <w:b w:val="0"/>
                <w:bCs w:val="0"/>
                <w:color w:val="auto"/>
                <w:sz w:val="32"/>
                <w:szCs w:val="32"/>
                <w:shd w:val="clear" w:color="auto" w:fill="FFFFFF"/>
                <w:lang w:eastAsia="zh-CN"/>
              </w:rPr>
              <w:t>3、推进东湖整治。。</w:t>
            </w:r>
          </w:p>
          <w:p>
            <w:pPr>
              <w:keepNext w:val="0"/>
              <w:keepLines w:val="0"/>
              <w:pageBreakBefore w:val="0"/>
              <w:kinsoku/>
              <w:wordWrap/>
              <w:overflowPunct/>
              <w:topLinePunct w:val="0"/>
              <w:autoSpaceDN/>
              <w:bidi w:val="0"/>
              <w:spacing w:line="620" w:lineRule="exact"/>
              <w:ind w:firstLine="640" w:firstLineChars="200"/>
              <w:jc w:val="both"/>
              <w:textAlignment w:val="auto"/>
              <w:rPr>
                <w:rFonts w:hint="eastAsia" w:ascii="仿宋" w:hAnsi="仿宋" w:eastAsia="仿宋" w:cs="仿宋"/>
                <w:b w:val="0"/>
                <w:bCs w:val="0"/>
                <w:color w:val="auto"/>
                <w:sz w:val="32"/>
                <w:szCs w:val="32"/>
                <w:shd w:val="clear" w:color="auto" w:fill="FFFFFF"/>
                <w:lang w:eastAsia="zh-CN"/>
              </w:rPr>
            </w:pPr>
            <w:r>
              <w:rPr>
                <w:rFonts w:hint="eastAsia" w:ascii="仿宋" w:hAnsi="仿宋" w:eastAsia="仿宋" w:cs="仿宋"/>
                <w:b w:val="0"/>
                <w:bCs w:val="0"/>
                <w:color w:val="auto"/>
                <w:sz w:val="32"/>
                <w:szCs w:val="32"/>
                <w:shd w:val="clear" w:color="auto" w:fill="FFFFFF"/>
                <w:lang w:val="en-US" w:eastAsia="zh-CN"/>
              </w:rPr>
              <w:t>4、推进其他重点问题整治。</w:t>
            </w:r>
          </w:p>
          <w:p>
            <w:pPr>
              <w:keepNext w:val="0"/>
              <w:keepLines w:val="0"/>
              <w:pageBreakBefore w:val="0"/>
              <w:kinsoku/>
              <w:wordWrap/>
              <w:overflowPunct/>
              <w:topLinePunct w:val="0"/>
              <w:autoSpaceDN/>
              <w:bidi w:val="0"/>
              <w:spacing w:line="620" w:lineRule="exact"/>
              <w:ind w:firstLine="640" w:firstLineChars="200"/>
              <w:jc w:val="both"/>
              <w:textAlignment w:val="auto"/>
              <w:rPr>
                <w:rFonts w:hint="eastAsia" w:ascii="仿宋" w:hAnsi="仿宋" w:eastAsia="仿宋" w:cs="仿宋"/>
                <w:b w:val="0"/>
                <w:bCs w:val="0"/>
                <w:color w:val="auto"/>
                <w:sz w:val="32"/>
                <w:szCs w:val="32"/>
                <w:shd w:val="clear" w:color="auto" w:fill="FFFFFF"/>
                <w:lang w:val="en-US" w:eastAsia="zh-CN"/>
              </w:rPr>
            </w:pPr>
            <w:r>
              <w:rPr>
                <w:rFonts w:hint="eastAsia" w:ascii="仿宋" w:hAnsi="仿宋" w:eastAsia="仿宋" w:cs="仿宋"/>
                <w:b w:val="0"/>
                <w:bCs w:val="0"/>
                <w:color w:val="auto"/>
                <w:sz w:val="32"/>
                <w:szCs w:val="32"/>
                <w:shd w:val="clear" w:color="auto" w:fill="FFFFFF"/>
                <w:lang w:val="en-US" w:eastAsia="zh-CN"/>
              </w:rPr>
              <w:t>5、</w:t>
            </w:r>
            <w:r>
              <w:rPr>
                <w:rFonts w:hint="eastAsia" w:ascii="仿宋" w:hAnsi="仿宋" w:eastAsia="仿宋" w:cs="仿宋"/>
                <w:b w:val="0"/>
                <w:bCs w:val="0"/>
                <w:color w:val="auto"/>
                <w:sz w:val="32"/>
                <w:szCs w:val="32"/>
                <w:shd w:val="clear" w:color="auto" w:fill="FFFFFF"/>
                <w:lang w:eastAsia="zh-CN"/>
              </w:rPr>
              <w:t>“双随机”（检查人员随机、检查对象随机）检查企业14</w:t>
            </w:r>
            <w:r>
              <w:rPr>
                <w:rFonts w:hint="eastAsia" w:ascii="仿宋" w:hAnsi="仿宋" w:eastAsia="仿宋" w:cs="仿宋"/>
                <w:b w:val="0"/>
                <w:bCs w:val="0"/>
                <w:color w:val="auto"/>
                <w:sz w:val="32"/>
                <w:szCs w:val="32"/>
                <w:shd w:val="clear" w:color="auto" w:fill="FFFFFF"/>
                <w:lang w:val="en-US" w:eastAsia="zh-CN"/>
              </w:rPr>
              <w:t>8家</w:t>
            </w:r>
            <w:r>
              <w:rPr>
                <w:rFonts w:hint="eastAsia" w:ascii="仿宋" w:hAnsi="仿宋" w:eastAsia="仿宋" w:cs="仿宋"/>
                <w:b w:val="0"/>
                <w:bCs w:val="0"/>
                <w:color w:val="auto"/>
                <w:sz w:val="32"/>
                <w:szCs w:val="32"/>
                <w:shd w:val="clear" w:color="auto" w:fill="FFFFFF"/>
                <w:lang w:eastAsia="zh-CN"/>
              </w:rPr>
              <w:t>次，立案</w:t>
            </w:r>
            <w:r>
              <w:rPr>
                <w:rFonts w:hint="eastAsia" w:ascii="仿宋" w:hAnsi="仿宋" w:eastAsia="仿宋" w:cs="仿宋"/>
                <w:b w:val="0"/>
                <w:bCs w:val="0"/>
                <w:color w:val="auto"/>
                <w:sz w:val="32"/>
                <w:szCs w:val="32"/>
                <w:shd w:val="clear" w:color="auto" w:fill="FFFFFF"/>
                <w:lang w:val="en-US" w:eastAsia="zh-CN"/>
              </w:rPr>
              <w:t>5起。</w:t>
            </w:r>
          </w:p>
          <w:p>
            <w:pPr>
              <w:keepNext w:val="0"/>
              <w:keepLines w:val="0"/>
              <w:pageBreakBefore w:val="0"/>
              <w:kinsoku/>
              <w:wordWrap/>
              <w:overflowPunct/>
              <w:topLinePunct w:val="0"/>
              <w:autoSpaceDN/>
              <w:bidi w:val="0"/>
              <w:spacing w:line="620" w:lineRule="exact"/>
              <w:ind w:firstLine="640" w:firstLineChars="200"/>
              <w:jc w:val="both"/>
              <w:textAlignment w:val="auto"/>
              <w:rPr>
                <w:rFonts w:hint="eastAsia"/>
              </w:rPr>
            </w:pPr>
            <w:r>
              <w:rPr>
                <w:rFonts w:hint="eastAsia" w:ascii="仿宋" w:hAnsi="仿宋" w:eastAsia="仿宋" w:cs="仿宋"/>
                <w:b w:val="0"/>
                <w:bCs w:val="0"/>
                <w:color w:val="auto"/>
                <w:sz w:val="32"/>
                <w:szCs w:val="32"/>
                <w:shd w:val="clear" w:color="auto" w:fill="FFFFFF"/>
                <w:lang w:val="en-US" w:eastAsia="zh-CN"/>
              </w:rPr>
              <w:t>6、</w:t>
            </w:r>
            <w:r>
              <w:rPr>
                <w:rFonts w:hint="eastAsia" w:ascii="仿宋" w:hAnsi="仿宋" w:eastAsia="仿宋" w:cs="仿宋"/>
                <w:b w:val="0"/>
                <w:bCs w:val="0"/>
                <w:color w:val="auto"/>
                <w:sz w:val="32"/>
                <w:szCs w:val="32"/>
                <w:shd w:val="clear" w:color="auto" w:fill="FFFFFF"/>
                <w:lang w:eastAsia="zh-CN"/>
              </w:rPr>
              <w:t>稳固效果，不遗余力推进“洞庭清波”整治。重点抓好省纪委挂牌督办问题整治，确保水质“稳定向好”。突出抓好省纪委下发清单问题整治，确保所有问题</w:t>
            </w:r>
            <w:r>
              <w:rPr>
                <w:rFonts w:hint="eastAsia" w:ascii="仿宋" w:hAnsi="仿宋" w:eastAsia="仿宋" w:cs="仿宋"/>
                <w:b w:val="0"/>
                <w:bCs w:val="0"/>
                <w:color w:val="auto"/>
                <w:sz w:val="32"/>
                <w:szCs w:val="32"/>
                <w:shd w:val="clear" w:color="auto" w:fill="FFFFFF"/>
                <w:lang w:val="en-US" w:eastAsia="zh-CN"/>
              </w:rPr>
              <w:t>“逐一</w:t>
            </w:r>
            <w:r>
              <w:rPr>
                <w:rFonts w:hint="eastAsia" w:ascii="仿宋" w:hAnsi="仿宋" w:eastAsia="仿宋" w:cs="仿宋"/>
                <w:b w:val="0"/>
                <w:bCs w:val="0"/>
                <w:color w:val="auto"/>
                <w:sz w:val="32"/>
                <w:szCs w:val="32"/>
                <w:shd w:val="clear" w:color="auto" w:fill="FFFFFF"/>
                <w:lang w:eastAsia="zh-CN"/>
              </w:rPr>
              <w:t>歼灭”。全面抓好市纪委“洞庭清波”专项整治，确保</w:t>
            </w:r>
            <w:r>
              <w:rPr>
                <w:rFonts w:hint="eastAsia" w:ascii="仿宋" w:hAnsi="仿宋" w:eastAsia="仿宋" w:cs="仿宋"/>
                <w:b w:val="0"/>
                <w:bCs w:val="0"/>
                <w:color w:val="auto"/>
                <w:sz w:val="32"/>
                <w:szCs w:val="32"/>
                <w:shd w:val="clear" w:color="auto" w:fill="FFFFFF"/>
                <w:lang w:val="en-US" w:eastAsia="zh-CN"/>
              </w:rPr>
              <w:t>47个问题“决胜清零”。</w:t>
            </w:r>
          </w:p>
          <w:p>
            <w:pPr>
              <w:numPr>
                <w:ilvl w:val="0"/>
                <w:numId w:val="0"/>
              </w:numPr>
              <w:spacing w:line="560" w:lineRule="exact"/>
              <w:ind w:firstLine="560" w:firstLineChars="200"/>
              <w:jc w:val="both"/>
              <w:rPr>
                <w:rFonts w:hint="eastAsia"/>
              </w:rPr>
            </w:pPr>
            <w:r>
              <w:rPr>
                <w:rFonts w:hint="eastAsia" w:ascii="黑体" w:hAnsi="黑体" w:eastAsia="黑体" w:cs="黑体"/>
                <w:bCs/>
                <w:sz w:val="28"/>
                <w:szCs w:val="28"/>
                <w:lang w:val="en-US" w:eastAsia="zh-CN"/>
              </w:rPr>
              <w:t>五、</w:t>
            </w:r>
            <w:r>
              <w:rPr>
                <w:rFonts w:hint="eastAsia" w:ascii="黑体" w:hAnsi="黑体" w:eastAsia="黑体" w:cs="黑体"/>
                <w:bCs/>
                <w:sz w:val="28"/>
                <w:szCs w:val="28"/>
              </w:rPr>
              <w:t>存在的主要问题</w:t>
            </w:r>
          </w:p>
          <w:p>
            <w:pPr>
              <w:pStyle w:val="7"/>
              <w:keepNext w:val="0"/>
              <w:keepLines w:val="0"/>
              <w:widowControl/>
              <w:numPr>
                <w:ilvl w:val="0"/>
                <w:numId w:val="0"/>
              </w:numPr>
              <w:suppressLineNumbers w:val="0"/>
              <w:spacing w:before="0" w:beforeAutospacing="0" w:after="0" w:afterAutospacing="0"/>
              <w:ind w:leftChars="0" w:right="0" w:rightChars="0" w:firstLine="640" w:firstLineChars="200"/>
              <w:jc w:val="both"/>
              <w:rPr>
                <w:rFonts w:hint="eastAsia" w:ascii="仿宋" w:hAnsi="仿宋" w:eastAsia="仿宋" w:cs="仿宋"/>
                <w:b w:val="0"/>
                <w:bCs w:val="0"/>
                <w:color w:val="auto"/>
                <w:kern w:val="2"/>
                <w:sz w:val="32"/>
                <w:szCs w:val="32"/>
                <w:shd w:val="clear" w:color="auto" w:fill="FFFFFF"/>
                <w:lang w:val="en-US" w:eastAsia="zh-CN" w:bidi="ar-SA"/>
              </w:rPr>
            </w:pPr>
            <w:r>
              <w:rPr>
                <w:rFonts w:hint="eastAsia" w:ascii="仿宋" w:hAnsi="仿宋" w:eastAsia="仿宋" w:cs="仿宋"/>
                <w:b w:val="0"/>
                <w:bCs w:val="0"/>
                <w:color w:val="auto"/>
                <w:kern w:val="2"/>
                <w:sz w:val="32"/>
                <w:szCs w:val="32"/>
                <w:shd w:val="clear" w:color="auto" w:fill="FFFFFF"/>
                <w:lang w:val="en-US" w:eastAsia="zh-CN" w:bidi="ar-SA"/>
              </w:rPr>
              <w:t>1、由于人员配置不足，绩效评价未能完全涵盖我单位工作的各个方面，未能设置个性化量化考核指标，对各项资金使用的规范性和使用结果的有效性分析并不透彻。下一阶段，我单位将进一步推进绩效管理，做到对各项支出的效果进行跟踪问效，将绩效管理融入单位的日常管理中。</w:t>
            </w:r>
          </w:p>
          <w:p>
            <w:pPr>
              <w:pStyle w:val="7"/>
              <w:keepNext w:val="0"/>
              <w:keepLines w:val="0"/>
              <w:widowControl/>
              <w:numPr>
                <w:ilvl w:val="0"/>
                <w:numId w:val="0"/>
              </w:numPr>
              <w:suppressLineNumbers w:val="0"/>
              <w:spacing w:before="0" w:beforeAutospacing="0" w:after="0" w:afterAutospacing="0"/>
              <w:ind w:left="0" w:leftChars="0" w:right="0" w:rightChars="0" w:firstLine="640" w:firstLineChars="200"/>
              <w:jc w:val="both"/>
              <w:rPr>
                <w:rFonts w:hint="eastAsia"/>
              </w:rPr>
            </w:pPr>
            <w:r>
              <w:rPr>
                <w:rFonts w:hint="eastAsia" w:ascii="仿宋" w:hAnsi="仿宋" w:eastAsia="仿宋" w:cs="仿宋"/>
                <w:b w:val="0"/>
                <w:bCs w:val="0"/>
                <w:color w:val="auto"/>
                <w:kern w:val="2"/>
                <w:sz w:val="32"/>
                <w:szCs w:val="32"/>
                <w:shd w:val="clear" w:color="auto" w:fill="FFFFFF"/>
                <w:lang w:val="en-US" w:eastAsia="zh-CN" w:bidi="ar-SA"/>
              </w:rPr>
              <w:t>2、人员素质有待进一步提高，由于绩效管理工作开展时间短，涉及面广，专业性强，加上缺乏系统的培训，单位对绩效管理理解不充分，对绩效管理业务不精通，在一定程度上影响了绩效评价工作质量。</w:t>
            </w:r>
          </w:p>
          <w:p>
            <w:pPr>
              <w:pStyle w:val="7"/>
              <w:keepNext w:val="0"/>
              <w:keepLines w:val="0"/>
              <w:widowControl/>
              <w:numPr>
                <w:ilvl w:val="0"/>
                <w:numId w:val="0"/>
              </w:numPr>
              <w:suppressLineNumbers w:val="0"/>
              <w:spacing w:beforeAutospacing="0" w:afterAutospacing="0"/>
              <w:ind w:left="0" w:leftChars="0" w:right="0" w:rightChars="0" w:firstLine="640" w:firstLineChars="200"/>
              <w:jc w:val="both"/>
              <w:rPr>
                <w:rFonts w:hint="eastAsia"/>
              </w:rPr>
            </w:pPr>
            <w:r>
              <w:rPr>
                <w:rFonts w:hint="eastAsia" w:ascii="仿宋" w:hAnsi="仿宋" w:eastAsia="仿宋" w:cs="仿宋"/>
                <w:b w:val="0"/>
                <w:bCs w:val="0"/>
                <w:color w:val="auto"/>
                <w:kern w:val="2"/>
                <w:sz w:val="32"/>
                <w:szCs w:val="32"/>
                <w:shd w:val="clear" w:color="auto" w:fill="FFFFFF"/>
                <w:lang w:val="en-US" w:eastAsia="zh-CN" w:bidi="ar-SA"/>
              </w:rPr>
              <w:t>3、根据我单位工作职能的履行情况，污染攻坚防治、环境保护监控、监测和监察能力建设等专项资金的使用与我单位财政拨入行政运行经费等资金集合使用，未严格区分资金使用范围。</w:t>
            </w:r>
          </w:p>
          <w:p>
            <w:pPr>
              <w:numPr>
                <w:ilvl w:val="0"/>
                <w:numId w:val="6"/>
              </w:numPr>
              <w:spacing w:line="560" w:lineRule="exact"/>
              <w:ind w:left="0" w:leftChars="0" w:firstLine="560" w:firstLineChars="200"/>
              <w:jc w:val="both"/>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pStyle w:val="7"/>
              <w:keepNext w:val="0"/>
              <w:keepLines w:val="0"/>
              <w:widowControl/>
              <w:numPr>
                <w:ilvl w:val="0"/>
                <w:numId w:val="0"/>
              </w:numPr>
              <w:suppressLineNumbers w:val="0"/>
              <w:spacing w:beforeAutospacing="0" w:afterAutospacing="0"/>
              <w:ind w:leftChars="0" w:right="0" w:rightChars="0" w:firstLine="640" w:firstLineChars="200"/>
              <w:jc w:val="both"/>
              <w:rPr>
                <w:rFonts w:hint="eastAsia" w:ascii="仿宋" w:hAnsi="仿宋" w:eastAsia="仿宋" w:cs="仿宋"/>
                <w:b w:val="0"/>
                <w:bCs w:val="0"/>
                <w:color w:val="auto"/>
                <w:kern w:val="2"/>
                <w:sz w:val="32"/>
                <w:szCs w:val="32"/>
                <w:shd w:val="clear" w:color="auto" w:fill="FFFFFF"/>
                <w:lang w:val="en-US" w:eastAsia="zh-CN" w:bidi="ar-SA"/>
              </w:rPr>
            </w:pPr>
            <w:r>
              <w:rPr>
                <w:rFonts w:hint="eastAsia" w:ascii="仿宋" w:hAnsi="仿宋" w:eastAsia="仿宋" w:cs="仿宋"/>
                <w:b w:val="0"/>
                <w:bCs w:val="0"/>
                <w:color w:val="auto"/>
                <w:kern w:val="2"/>
                <w:sz w:val="32"/>
                <w:szCs w:val="32"/>
                <w:shd w:val="clear" w:color="auto" w:fill="FFFFFF"/>
                <w:lang w:val="en-US" w:eastAsia="zh-CN" w:bidi="ar-SA"/>
              </w:rPr>
              <w:t>1、科学制定绩效考核标准。各行业都存在一定的特殊性，对各行业采取针对行业工作特点的个性化考核有利更加客观、准确地反映绩效情况。例如生态环境保护项目，因生态环境的治理和修复需要一定的周期，项目实施一年或不足一年就进行绩效考核，难以真实、准确地反映出项目绩效情况。　</w:t>
            </w:r>
          </w:p>
          <w:p>
            <w:pPr>
              <w:pStyle w:val="7"/>
              <w:keepNext w:val="0"/>
              <w:keepLines w:val="0"/>
              <w:widowControl/>
              <w:numPr>
                <w:ilvl w:val="0"/>
                <w:numId w:val="0"/>
              </w:numPr>
              <w:suppressLineNumbers w:val="0"/>
              <w:spacing w:before="0" w:beforeAutospacing="0" w:after="0" w:afterAutospacing="0"/>
              <w:ind w:leftChars="0" w:right="0" w:rightChars="0" w:firstLine="640" w:firstLineChars="200"/>
              <w:jc w:val="both"/>
              <w:rPr>
                <w:rFonts w:hint="eastAsia" w:ascii="仿宋" w:hAnsi="仿宋" w:eastAsia="仿宋" w:cs="仿宋"/>
                <w:b w:val="0"/>
                <w:bCs w:val="0"/>
                <w:color w:val="auto"/>
                <w:kern w:val="2"/>
                <w:sz w:val="32"/>
                <w:szCs w:val="32"/>
                <w:shd w:val="clear" w:color="auto" w:fill="FFFFFF"/>
                <w:lang w:val="en-US" w:eastAsia="zh-CN" w:bidi="ar-SA"/>
              </w:rPr>
            </w:pPr>
            <w:r>
              <w:rPr>
                <w:rFonts w:hint="eastAsia" w:ascii="仿宋" w:hAnsi="仿宋" w:eastAsia="仿宋" w:cs="仿宋"/>
                <w:b w:val="0"/>
                <w:bCs w:val="0"/>
                <w:color w:val="auto"/>
                <w:kern w:val="2"/>
                <w:sz w:val="32"/>
                <w:szCs w:val="32"/>
                <w:shd w:val="clear" w:color="auto" w:fill="FFFFFF"/>
                <w:lang w:val="en-US" w:eastAsia="zh-CN" w:bidi="ar-SA"/>
              </w:rPr>
              <w:t>2、加强人员培训管理，严格财务审批。在费用报账支付时，按照预算规定的费用项目和用途进行资金使用、审核，列报支付，财务核算杜绝超支现象的发生。</w:t>
            </w:r>
          </w:p>
          <w:p>
            <w:pPr>
              <w:pStyle w:val="7"/>
              <w:keepNext w:val="0"/>
              <w:keepLines w:val="0"/>
              <w:widowControl/>
              <w:numPr>
                <w:ilvl w:val="0"/>
                <w:numId w:val="0"/>
              </w:numPr>
              <w:suppressLineNumbers w:val="0"/>
              <w:spacing w:beforeAutospacing="0" w:afterAutospacing="0"/>
              <w:ind w:leftChars="0" w:right="0" w:rightChars="0" w:firstLine="640" w:firstLineChars="200"/>
              <w:jc w:val="both"/>
              <w:rPr>
                <w:rFonts w:hint="eastAsia" w:ascii="仿宋" w:hAnsi="仿宋" w:eastAsia="仿宋" w:cs="仿宋"/>
                <w:b w:val="0"/>
                <w:bCs w:val="0"/>
                <w:color w:val="auto"/>
                <w:kern w:val="2"/>
                <w:sz w:val="32"/>
                <w:szCs w:val="32"/>
                <w:shd w:val="clear" w:color="auto" w:fill="FFFFFF"/>
                <w:lang w:val="en-US" w:eastAsia="zh-CN" w:bidi="ar-SA"/>
              </w:rPr>
            </w:pPr>
            <w:r>
              <w:rPr>
                <w:rFonts w:hint="eastAsia" w:ascii="仿宋" w:hAnsi="仿宋" w:eastAsia="仿宋" w:cs="仿宋"/>
                <w:b w:val="0"/>
                <w:bCs w:val="0"/>
                <w:color w:val="auto"/>
                <w:kern w:val="2"/>
                <w:sz w:val="32"/>
                <w:szCs w:val="32"/>
                <w:shd w:val="clear" w:color="auto" w:fill="FFFFFF"/>
                <w:lang w:val="en-US" w:eastAsia="zh-CN" w:bidi="ar-SA"/>
              </w:rPr>
              <w:t>3、进一步加大环境保护资金投入。保障水、气、土攻坚“三大战役”持续推进，促进全县环境总体质量稳步提升。</w:t>
            </w:r>
          </w:p>
          <w:p>
            <w:pPr>
              <w:pStyle w:val="7"/>
              <w:keepNext w:val="0"/>
              <w:keepLines w:val="0"/>
              <w:widowControl/>
              <w:numPr>
                <w:ilvl w:val="0"/>
                <w:numId w:val="0"/>
              </w:numPr>
              <w:suppressLineNumbers w:val="0"/>
              <w:snapToGrid/>
              <w:spacing w:beforeAutospacing="0" w:afterAutospacing="0"/>
              <w:ind w:leftChars="0" w:right="0" w:rightChars="0" w:firstLine="640" w:firstLineChars="200"/>
              <w:jc w:val="both"/>
              <w:rPr>
                <w:rFonts w:eastAsia="楷体_GB2312"/>
                <w:bCs/>
                <w:sz w:val="28"/>
                <w:szCs w:val="28"/>
              </w:rPr>
            </w:pPr>
            <w:r>
              <w:rPr>
                <w:rFonts w:hint="eastAsia" w:ascii="仿宋" w:hAnsi="仿宋" w:eastAsia="仿宋" w:cs="仿宋"/>
                <w:b w:val="0"/>
                <w:bCs w:val="0"/>
                <w:color w:val="auto"/>
                <w:kern w:val="2"/>
                <w:sz w:val="32"/>
                <w:szCs w:val="32"/>
                <w:shd w:val="clear" w:color="auto" w:fill="FFFFFF"/>
                <w:lang w:val="en-US" w:eastAsia="zh-CN" w:bidi="ar-SA"/>
              </w:rPr>
              <w:t>4、进一步完善资金使用监管机制，动态跟踪资金使用情况，切实加快预算执行，将资金管理与业务活动紧密贴合，对业务类项目进行归并、调整和优化，以项目整合提高统筹效益。保障用对资金，用好资金，将资金用于刀刃上，灵活高效地服务于本部门职能及重点工作任务。同时加强预算资金绩效管理水平，资金申报与绩效目标申报同步，切实做好“花钱必有效，无效必问责”。</w:t>
            </w:r>
          </w:p>
        </w:tc>
      </w:tr>
    </w:tbl>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r>
        <w:rPr>
          <w:rFonts w:hint="eastAsia" w:ascii="黑体" w:hAnsi="黑体" w:eastAsia="黑体"/>
          <w:sz w:val="32"/>
          <w:szCs w:val="32"/>
        </w:rPr>
        <w:t>附件3-1</w:t>
      </w:r>
    </w:p>
    <w:p>
      <w:pPr>
        <w:spacing w:before="312" w:beforeLines="100" w:after="312" w:afterLines="100"/>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0" w:type="auto"/>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春节前下达全部专项资金的50%；6月底前所有专项资金指标全部下达完。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公务卡刷卡率达50％以上的，得3分。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8"/>
        <w:tblW w:w="0" w:type="auto"/>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此项指标根据《中共岳阳市委 岳阳市人民政府 关于做好岳阳市加快推进湖南发展新增长极建设2015年度综合绩效考评工作的通知》（岳发〔2015〕11号）和《中共岳阳市委 岳阳市人民政府 关于做好2015年度综合绩效考评工作的补充通知》（岳发〔2015〕19号）附件2第一大项“工作实绩指标”（700分）考核内容设置。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spacing w:before="156" w:beforeLines="50"/>
        <w:rPr>
          <w:rFonts w:hint="eastAsia" w:ascii="仿宋_GB2312" w:hAnsi="宋体" w:eastAsia="仿宋_GB2312" w:cs="宋体"/>
          <w:kern w:val="0"/>
          <w:szCs w:val="21"/>
        </w:rPr>
      </w:pPr>
      <w:r>
        <w:rPr>
          <w:rFonts w:hint="eastAsia" w:ascii="仿宋_GB2312" w:hAnsi="宋体" w:eastAsia="仿宋_GB2312" w:cs="宋体"/>
          <w:kern w:val="0"/>
          <w:szCs w:val="21"/>
        </w:rPr>
        <w:t>备注：如部门（单位）根据本部门实际情况修改调整了附件3《部门整体支出绩效评价指标体系（参考样表）》，须相应修改调整本表中的对应部分。</w:t>
      </w:r>
    </w:p>
    <w:p>
      <w:pPr>
        <w:ind w:firstLine="640" w:firstLineChars="200"/>
        <w:jc w:val="both"/>
        <w:rPr>
          <w:rFonts w:hint="eastAsia" w:cs="黑体" w:asciiTheme="minorEastAsia" w:hAnsiTheme="minorEastAsia"/>
          <w:b/>
          <w:color w:val="000000"/>
          <w:kern w:val="0"/>
          <w:sz w:val="32"/>
          <w:szCs w:val="32"/>
        </w:rPr>
      </w:pPr>
    </w:p>
    <w:p>
      <w:pPr>
        <w:jc w:val="left"/>
        <w:rPr>
          <w:rFonts w:cs="黑体" w:asciiTheme="minorEastAsia" w:hAnsiTheme="minorEastAsia"/>
          <w:color w:val="000000"/>
          <w:kern w:val="0"/>
          <w:sz w:val="32"/>
          <w:szCs w:val="32"/>
        </w:rPr>
      </w:pPr>
    </w:p>
    <w:p>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ËÎÌå">
    <w:altName w:val="Times New Roman"/>
    <w:panose1 w:val="00000000000000000000"/>
    <w:charset w:val="00"/>
    <w:family w:val="auto"/>
    <w:pitch w:val="default"/>
    <w:sig w:usb0="00000000" w:usb1="00000000" w:usb2="00000000" w:usb3="00000000" w:csb0="00000001"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8</w:t>
    </w:r>
    <w:r>
      <w:rPr>
        <w:sz w:val="24"/>
        <w:szCs w:val="24"/>
      </w:rPr>
      <w:fldChar w:fldCharType="end"/>
    </w:r>
    <w:r>
      <w:rPr>
        <w:rStyle w:val="11"/>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57617"/>
    <w:multiLevelType w:val="singleLevel"/>
    <w:tmpl w:val="CBF57617"/>
    <w:lvl w:ilvl="0" w:tentative="0">
      <w:start w:val="3"/>
      <w:numFmt w:val="chineseCounting"/>
      <w:suff w:val="nothing"/>
      <w:lvlText w:val="（%1）"/>
      <w:lvlJc w:val="left"/>
      <w:rPr>
        <w:rFonts w:hint="eastAsia"/>
      </w:rPr>
    </w:lvl>
  </w:abstractNum>
  <w:abstractNum w:abstractNumId="1">
    <w:nsid w:val="DBB01BCF"/>
    <w:multiLevelType w:val="singleLevel"/>
    <w:tmpl w:val="DBB01BCF"/>
    <w:lvl w:ilvl="0" w:tentative="0">
      <w:start w:val="2"/>
      <w:numFmt w:val="decimal"/>
      <w:suff w:val="nothing"/>
      <w:lvlText w:val="%1、"/>
      <w:lvlJc w:val="left"/>
    </w:lvl>
  </w:abstractNum>
  <w:abstractNum w:abstractNumId="2">
    <w:nsid w:val="F9214428"/>
    <w:multiLevelType w:val="singleLevel"/>
    <w:tmpl w:val="F9214428"/>
    <w:lvl w:ilvl="0" w:tentative="0">
      <w:start w:val="5"/>
      <w:numFmt w:val="chineseCounting"/>
      <w:suff w:val="nothing"/>
      <w:lvlText w:val="%1、"/>
      <w:lvlJc w:val="left"/>
      <w:rPr>
        <w:rFonts w:hint="eastAsia"/>
      </w:rPr>
    </w:lvl>
  </w:abstractNum>
  <w:abstractNum w:abstractNumId="3">
    <w:nsid w:val="2E074A8E"/>
    <w:multiLevelType w:val="singleLevel"/>
    <w:tmpl w:val="2E074A8E"/>
    <w:lvl w:ilvl="0" w:tentative="0">
      <w:start w:val="2"/>
      <w:numFmt w:val="chineseCounting"/>
      <w:suff w:val="nothing"/>
      <w:lvlText w:val="（%1）"/>
      <w:lvlJc w:val="left"/>
      <w:rPr>
        <w:rFonts w:hint="eastAsia"/>
      </w:rPr>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18CD6B2"/>
    <w:multiLevelType w:val="singleLevel"/>
    <w:tmpl w:val="418CD6B2"/>
    <w:lvl w:ilvl="0" w:tentative="0">
      <w:start w:val="9"/>
      <w:numFmt w:val="chineseCounting"/>
      <w:suff w:val="nothing"/>
      <w:lvlText w:val="%1、"/>
      <w:lvlJc w:val="left"/>
      <w:rPr>
        <w:rFonts w:hint="eastAsia"/>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9B"/>
    <w:rsid w:val="000273BD"/>
    <w:rsid w:val="000415B7"/>
    <w:rsid w:val="00041E3F"/>
    <w:rsid w:val="00055DAA"/>
    <w:rsid w:val="00061F7B"/>
    <w:rsid w:val="000658A3"/>
    <w:rsid w:val="00074155"/>
    <w:rsid w:val="000A3F69"/>
    <w:rsid w:val="000E3EB2"/>
    <w:rsid w:val="00103957"/>
    <w:rsid w:val="00152C6D"/>
    <w:rsid w:val="00162D39"/>
    <w:rsid w:val="001678BD"/>
    <w:rsid w:val="00185DB4"/>
    <w:rsid w:val="001A67DB"/>
    <w:rsid w:val="001C3C29"/>
    <w:rsid w:val="001D4F1A"/>
    <w:rsid w:val="001D51E5"/>
    <w:rsid w:val="001E080D"/>
    <w:rsid w:val="001E53D0"/>
    <w:rsid w:val="001F0C3B"/>
    <w:rsid w:val="00202C82"/>
    <w:rsid w:val="00210B4D"/>
    <w:rsid w:val="00214427"/>
    <w:rsid w:val="00226CB7"/>
    <w:rsid w:val="00264552"/>
    <w:rsid w:val="00264EF9"/>
    <w:rsid w:val="00265724"/>
    <w:rsid w:val="0027426B"/>
    <w:rsid w:val="002D7169"/>
    <w:rsid w:val="002E0A30"/>
    <w:rsid w:val="003130C4"/>
    <w:rsid w:val="00316C4B"/>
    <w:rsid w:val="0032192B"/>
    <w:rsid w:val="003479BD"/>
    <w:rsid w:val="00353197"/>
    <w:rsid w:val="0037197D"/>
    <w:rsid w:val="003768D5"/>
    <w:rsid w:val="003B09A8"/>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B74B2"/>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006"/>
    <w:rsid w:val="00717621"/>
    <w:rsid w:val="00720FF1"/>
    <w:rsid w:val="00727A53"/>
    <w:rsid w:val="00770C9A"/>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05F0E"/>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866D5E"/>
    <w:rsid w:val="05517873"/>
    <w:rsid w:val="07F80283"/>
    <w:rsid w:val="088251F4"/>
    <w:rsid w:val="08E600E1"/>
    <w:rsid w:val="09B0448A"/>
    <w:rsid w:val="0EC701C8"/>
    <w:rsid w:val="0F5C6DE1"/>
    <w:rsid w:val="18CC0A2E"/>
    <w:rsid w:val="19812E47"/>
    <w:rsid w:val="1ECB3534"/>
    <w:rsid w:val="20B748D8"/>
    <w:rsid w:val="2FA810FA"/>
    <w:rsid w:val="31985E71"/>
    <w:rsid w:val="352E1223"/>
    <w:rsid w:val="37416179"/>
    <w:rsid w:val="441A2208"/>
    <w:rsid w:val="445222C2"/>
    <w:rsid w:val="48D86AB6"/>
    <w:rsid w:val="4CE30C1C"/>
    <w:rsid w:val="59C54059"/>
    <w:rsid w:val="5B367555"/>
    <w:rsid w:val="62273EFC"/>
    <w:rsid w:val="6B771DCB"/>
    <w:rsid w:val="711B125A"/>
    <w:rsid w:val="712A72AE"/>
    <w:rsid w:val="767B48B7"/>
    <w:rsid w:val="7E040AFE"/>
    <w:rsid w:val="7EF57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style>
  <w:style w:type="paragraph" w:styleId="3">
    <w:name w:val="toc 5"/>
    <w:basedOn w:val="1"/>
    <w:next w:val="1"/>
    <w:qFormat/>
    <w:uiPriority w:val="0"/>
    <w:pPr>
      <w:ind w:left="1680" w:leftChars="800"/>
    </w:pPr>
  </w:style>
  <w:style w:type="paragraph" w:styleId="4">
    <w:name w:val="Balloon Text"/>
    <w:basedOn w:val="1"/>
    <w:link w:val="20"/>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qFormat/>
    <w:uiPriority w:val="0"/>
  </w:style>
  <w:style w:type="character" w:styleId="12">
    <w:name w:val="Emphasis"/>
    <w:basedOn w:val="9"/>
    <w:qFormat/>
    <w:uiPriority w:val="20"/>
  </w:style>
  <w:style w:type="character" w:styleId="13">
    <w:name w:val="Hyperlink"/>
    <w:basedOn w:val="9"/>
    <w:semiHidden/>
    <w:unhideWhenUsed/>
    <w:qFormat/>
    <w:uiPriority w:val="99"/>
    <w:rPr>
      <w:color w:val="252525"/>
      <w:u w:val="none"/>
    </w:rPr>
  </w:style>
  <w:style w:type="character" w:styleId="14">
    <w:name w:val="HTML Code"/>
    <w:basedOn w:val="9"/>
    <w:semiHidden/>
    <w:unhideWhenUsed/>
    <w:qFormat/>
    <w:uiPriority w:val="99"/>
    <w:rPr>
      <w:rFonts w:ascii="Courier New" w:hAnsi="Courier New"/>
      <w:sz w:val="20"/>
    </w:rPr>
  </w:style>
  <w:style w:type="character" w:styleId="15">
    <w:name w:val="HTML Cite"/>
    <w:basedOn w:val="9"/>
    <w:semiHidden/>
    <w:unhideWhenUsed/>
    <w:qFormat/>
    <w:uiPriority w:val="99"/>
  </w:style>
  <w:style w:type="character" w:customStyle="1" w:styleId="16">
    <w:name w:val="页眉 Char"/>
    <w:basedOn w:val="9"/>
    <w:link w:val="6"/>
    <w:qFormat/>
    <w:uiPriority w:val="99"/>
    <w:rPr>
      <w:sz w:val="18"/>
      <w:szCs w:val="18"/>
    </w:rPr>
  </w:style>
  <w:style w:type="character" w:customStyle="1" w:styleId="17">
    <w:name w:val="页脚 Char"/>
    <w:basedOn w:val="9"/>
    <w:link w:val="5"/>
    <w:qFormat/>
    <w:uiPriority w:val="99"/>
    <w:rPr>
      <w:sz w:val="18"/>
      <w:szCs w:val="18"/>
    </w:rPr>
  </w:style>
  <w:style w:type="paragraph" w:customStyle="1" w:styleId="18">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批注框文本 Char"/>
    <w:basedOn w:val="9"/>
    <w:link w:val="4"/>
    <w:semiHidden/>
    <w:qFormat/>
    <w:uiPriority w:val="99"/>
    <w:rPr>
      <w:sz w:val="18"/>
      <w:szCs w:val="18"/>
    </w:rPr>
  </w:style>
  <w:style w:type="character" w:customStyle="1" w:styleId="21">
    <w:name w:val="bsharetext"/>
    <w:basedOn w:val="9"/>
    <w:qFormat/>
    <w:uiPriority w:val="0"/>
  </w:style>
  <w:style w:type="character" w:customStyle="1" w:styleId="22">
    <w:name w:val="hover3"/>
    <w:basedOn w:val="9"/>
    <w:qFormat/>
    <w:uiPriority w:val="0"/>
    <w:rPr>
      <w:color w:val="000000"/>
      <w:shd w:val="clear" w:fill="FFFFFF"/>
    </w:rPr>
  </w:style>
  <w:style w:type="character" w:customStyle="1" w:styleId="23">
    <w:name w:val="wx-space"/>
    <w:basedOn w:val="9"/>
    <w:qFormat/>
    <w:uiPriority w:val="0"/>
  </w:style>
  <w:style w:type="character" w:customStyle="1" w:styleId="24">
    <w:name w:val="wx-space1"/>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83442-B9FC-476F-83C9-27EA0B9F67C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17527</Words>
  <Characters>20808</Characters>
  <Lines>63</Lines>
  <Paragraphs>17</Paragraphs>
  <TotalTime>0</TotalTime>
  <ScaleCrop>false</ScaleCrop>
  <LinksUpToDate>false</LinksUpToDate>
  <CharactersWithSpaces>22673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2021-09-08T01:50:00Z</dcterms:created>
  <dc:creator>李航 null</dc:creator>
  <cp:lastModifiedBy>周周</cp:lastModifiedBy>
  <cp:lastPrinted>2021-09-13T08:11:00Z</cp:lastPrinted>
  <dcterms:modified xsi:type="dcterms:W3CDTF">2022-04-27T08:10:00Z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0CC4444738B749A78BC552200BBA2B59</vt:lpwstr>
  </property>
</Properties>
</file>