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华容县2020年度部门整体支出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部门(单位)名称：</w:t>
      </w:r>
      <w:r>
        <w:rPr>
          <w:rFonts w:hint="eastAsia" w:ascii="仿宋_GB2312" w:hAnsi="仿宋_GB2312" w:eastAsia="仿宋_GB2312" w:cs="仿宋_GB2312"/>
          <w:sz w:val="32"/>
          <w:szCs w:val="32"/>
          <w:u w:val="single"/>
        </w:rPr>
        <w:t xml:space="preserve">  华容县工业和信息化局                                 </w:t>
      </w:r>
    </w:p>
    <w:p>
      <w:pPr>
        <w:spacing w:beforeLines="50" w:line="348" w:lineRule="auto"/>
        <w:ind w:firstLine="476" w:firstLineChars="150"/>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rPr>
        <w:t>预</w:t>
      </w:r>
      <w:r>
        <w:rPr>
          <w:rFonts w:hint="eastAsia" w:ascii="仿宋_GB2312" w:hAnsi="仿宋_GB2312" w:eastAsia="仿宋_GB2312" w:cs="仿宋_GB2312"/>
          <w:spacing w:val="30"/>
          <w:sz w:val="32"/>
          <w:szCs w:val="32"/>
        </w:rPr>
        <w:t xml:space="preserve"> 算 编 码：</w:t>
      </w:r>
      <w:r>
        <w:rPr>
          <w:rFonts w:hint="eastAsia" w:ascii="仿宋_GB2312" w:hAnsi="仿宋_GB2312" w:eastAsia="仿宋_GB2312" w:cs="仿宋_GB2312"/>
          <w:spacing w:val="20"/>
          <w:sz w:val="32"/>
          <w:szCs w:val="32"/>
          <w:u w:val="single"/>
        </w:rPr>
        <w:t xml:space="preserve">      502001                    </w:t>
      </w:r>
    </w:p>
    <w:p>
      <w:pPr>
        <w:spacing w:beforeLines="50" w:line="348" w:lineRule="auto"/>
        <w:ind w:firstLine="476"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评价方式：部门（单位）绩效自评</w:t>
      </w:r>
    </w:p>
    <w:p>
      <w:pPr>
        <w:spacing w:beforeLines="50" w:line="348" w:lineRule="auto"/>
        <w:ind w:firstLine="476"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评价机构：部门（单位）评价组   </w:t>
      </w:r>
    </w:p>
    <w:p>
      <w:pPr>
        <w:spacing w:line="720" w:lineRule="exact"/>
        <w:ind w:firstLine="2188" w:firstLineChars="690"/>
        <w:rPr>
          <w:rFonts w:hint="eastAsia" w:ascii="仿宋_GB2312" w:hAnsi="仿宋_GB2312" w:eastAsia="仿宋_GB2312" w:cs="仿宋_GB2312"/>
          <w:sz w:val="32"/>
        </w:rPr>
      </w:pPr>
    </w:p>
    <w:p>
      <w:pPr>
        <w:spacing w:line="720" w:lineRule="exact"/>
        <w:ind w:firstLine="2188" w:firstLineChars="690"/>
        <w:rPr>
          <w:rFonts w:hint="eastAsia" w:ascii="仿宋_GB2312" w:hAnsi="仿宋_GB2312" w:eastAsia="仿宋_GB2312" w:cs="仿宋_GB2312"/>
          <w:sz w:val="32"/>
        </w:rPr>
      </w:pPr>
    </w:p>
    <w:p>
      <w:pPr>
        <w:spacing w:line="348" w:lineRule="auto"/>
        <w:jc w:val="center"/>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 xml:space="preserve">      </w:t>
      </w:r>
      <w:r>
        <w:rPr>
          <w:rFonts w:hint="eastAsia" w:ascii="仿宋_GB2312" w:hAnsi="仿宋_GB2312" w:eastAsia="仿宋_GB2312" w:cs="仿宋_GB2312"/>
          <w:sz w:val="32"/>
        </w:rPr>
        <w:t>报告日期：2021年7月21 日</w:t>
      </w:r>
    </w:p>
    <w:p>
      <w:pPr>
        <w:autoSpaceDN w:val="0"/>
        <w:jc w:val="center"/>
        <w:textAlignment w:val="center"/>
        <w:rPr>
          <w:rFonts w:hint="eastAsia" w:ascii="仿宋_GB2312" w:hAnsi="仿宋_GB2312" w:eastAsia="仿宋_GB2312" w:cs="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ascii="仿宋_GB2312" w:hAnsi="仿宋_GB2312" w:eastAsia="仿宋_GB2312" w:cs="仿宋_GB2312"/>
          <w:sz w:val="32"/>
          <w:lang w:val="en-US" w:eastAsia="zh-CN"/>
        </w:rPr>
        <w:t xml:space="preserve">     </w:t>
      </w:r>
      <w:r>
        <w:rPr>
          <w:rFonts w:hint="eastAsia" w:ascii="仿宋_GB2312" w:hAnsi="仿宋_GB2312" w:eastAsia="仿宋_GB2312" w:cs="仿宋_GB2312"/>
          <w:sz w:val="32"/>
        </w:rPr>
        <w:t>华容县财政</w:t>
      </w:r>
      <w:r>
        <w:rPr>
          <w:rFonts w:hint="eastAsia" w:ascii="仿宋_GB2312" w:hAnsi="仿宋_GB2312" w:eastAsia="仿宋_GB2312" w:cs="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13787840371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负责全县工业经济的日常运行调节，拟订全县新型工业化的发展战略、规划和相关政策措施并组织实施，拟订并组织实施工业、信息化的发展专项规划，贯彻落实国家和省、市产业政策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任务1：落实省工信厅“小升规”企业成长工程，完成新增规模企业15家，规上工业增加值增幅8.5%</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任务2：工业投资增长8.5%，工业税收增长12%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任务3：推进纺织服装、食品加工产业技改扩改、转型升级</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w:t>
            </w:r>
            <w:r>
              <w:rPr>
                <w:rFonts w:hint="eastAsia" w:ascii="仿宋_GB2312" w:eastAsia="仿宋_GB2312"/>
                <w:sz w:val="24"/>
              </w:rPr>
              <w:t>推进“机器换人”、“ 两化融合”、企业“上云”“上平台”</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任务5：“散乱污”企业治理取得实质性成效</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3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完成了工业总产值503.51亿元，同比增长4.24%</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规模工业增加值累计增幅4.1%，高于全市水平，排全市第三名</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工业投资83.28亿元，同比增长30%，排全市第二名</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新增规模企业16家</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728.79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705.77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728.79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705.77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700.27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349.43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317.37</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32.06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350.84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0"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9"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491.95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491.95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491.95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491.95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2"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92"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目标1：新增规模企业15家，规上工业增加值增幅8.5%</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目标2：工业投资增长8.5%，工业税收增长12%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目标3：推进纺织服装、食品加工产业技改扩改、转型升级</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w:t>
            </w:r>
            <w:r>
              <w:rPr>
                <w:rFonts w:hint="eastAsia" w:ascii="仿宋_GB2312" w:eastAsia="仿宋_GB2312"/>
                <w:sz w:val="24"/>
              </w:rPr>
              <w:t>推进“机器换人”、“ 两化融合”、企业“上云”“上平台”</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目标5：“散乱污”企业治理取得实质性成效</w:t>
            </w:r>
          </w:p>
        </w:tc>
        <w:tc>
          <w:tcPr>
            <w:tcW w:w="4585" w:type="dxa"/>
            <w:gridSpan w:val="9"/>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完成了工业总产值503.51亿元，同比增长4.24%，规模工业增加值累计增幅4.1%，高于全市水平，排全市第三名，工业投资83.28亿元，同比增长30%，排全市第二名，新增规模企业16家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指标1：工业总产值503.51亿元</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指标1：新增规模企业15家</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完成16家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指标1：控制在预算内，完成各项工作。</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指标1：对工业企业长期无条件服务。</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指标1：工业用电量达到18000万千瓦时</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达到了18339.62万千瓦时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指标1：工业节水5000吨、节煤10000吨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指标2：减少污水排放1万吨。</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指标1：达到满意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6"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6"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颜芳</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于朝辉</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徐政</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宋有琴</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出纳</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徐政              联系电话：13787840371</w:t>
      </w:r>
    </w:p>
    <w:p>
      <w:pPr>
        <w:rPr>
          <w:rFonts w:eastAsia="仿宋_GB2312" w:cs="仿宋_GB2312"/>
          <w:bCs/>
          <w:sz w:val="28"/>
          <w:szCs w:val="28"/>
        </w:rPr>
      </w:pPr>
    </w:p>
    <w:p>
      <w:pPr>
        <w:spacing w:line="540" w:lineRule="exact"/>
        <w:jc w:val="center"/>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华容县工业和信息化局</w:t>
      </w:r>
    </w:p>
    <w:p>
      <w:pPr>
        <w:spacing w:line="540" w:lineRule="exact"/>
        <w:jc w:val="center"/>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2020年整体支出绩效评价报告</w:t>
      </w:r>
    </w:p>
    <w:p>
      <w:pPr>
        <w:keepNext w:val="0"/>
        <w:keepLines w:val="0"/>
        <w:pageBreakBefore w:val="0"/>
        <w:widowControl w:val="0"/>
        <w:kinsoku/>
        <w:wordWrap/>
        <w:overflowPunct/>
        <w:topLinePunct w:val="0"/>
        <w:autoSpaceDE/>
        <w:bidi w:val="0"/>
        <w:spacing w:line="520" w:lineRule="exact"/>
        <w:ind w:firstLine="3300" w:firstLineChars="750"/>
        <w:textAlignment w:val="auto"/>
        <w:rPr>
          <w:rFonts w:ascii="方正小标" w:hAnsi="方正小标" w:eastAsia="仿宋_GB2312" w:cs="方正小标"/>
          <w:bCs/>
          <w:sz w:val="44"/>
          <w:szCs w:val="44"/>
        </w:rPr>
      </w:pP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根据《华容县财政局关于开展2020年度财政支出绩效自评工作的通知》(华财函〔2021〕15号)要求，现对华容县工业和信息化局2020年度的部门整体支出开展绩效自评，现将情况汇报如下：</w:t>
      </w:r>
    </w:p>
    <w:p>
      <w:pPr>
        <w:keepNext w:val="0"/>
        <w:keepLines w:val="0"/>
        <w:pageBreakBefore w:val="0"/>
        <w:widowControl w:val="0"/>
        <w:kinsoku/>
        <w:wordWrap/>
        <w:overflowPunct/>
        <w:topLinePunct w:val="0"/>
        <w:autoSpaceDE/>
        <w:bidi w:val="0"/>
        <w:spacing w:line="520" w:lineRule="exact"/>
        <w:ind w:firstLine="627" w:firstLineChars="196"/>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一、基本情况</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（一）单位基本概况</w:t>
      </w:r>
    </w:p>
    <w:p>
      <w:pPr>
        <w:keepNext w:val="0"/>
        <w:keepLines w:val="0"/>
        <w:pageBreakBefore w:val="0"/>
        <w:widowControl w:val="0"/>
        <w:shd w:val="solid" w:color="FFFFFF" w:fill="auto"/>
        <w:kinsoku/>
        <w:wordWrap/>
        <w:overflowPunct/>
        <w:topLinePunct w:val="0"/>
        <w:autoSpaceDE/>
        <w:autoSpaceDN w:val="0"/>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华容县工业和信息化局系财政全额预算拨款单位。2020年编制部门核实人员编制25人，在编人数为29人，其中行政编制10人，实有14人，事业编制14人，实有14人，工勤编制1人，与财政预算人数相符。</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（二）部门主要职能</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全县工业经济的日常运行调节，编制并组织实施近期工业经济运行调控目标、政策和措施；监测分析近期工业经济运行态势，统计并发布相关信息，进行预测预警和信息引导，协调解决经济运行中的突出矛盾和问题并提出政策建议。</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2、拟订全县新型工业化的发展战略、规划和相关政策措施并组织实施；负责组织、协调全县培育发展战略性新兴产业工作；综合管理全县工业经济，指导、协调和服务工业企业；推进信息化和工业化融合。</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拟订并组织实施工业、信息化的发展专项规划，贯彻落实国家和省、市产业政策；拟订优化产业结构和产品结构的地方配套政策措施，并监督检查执行情况；研究和规划全县工业产业投资布局；负责工业与信息化领域的产业安全和应急管理工作，协调处理重大安全事故。</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4、对涉及工业和信息化领域相关法律法规的执法情况进行监督检查；协调减轻企业负担工作。</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组织拟订全县工业企业技术进步的发展战略、规划并组织实施；编制和组织实施技术改造规划，提出工业和信息化固定资产投资规模和方向；负责工业领域招商引资工作，抓好重大工业项目的督查与协调；推进企业技术创新体系建设，指导行业技术创新和技术进步，以先进适用技术改造提升传统产业，推进产学研结合和科研成果产业化。</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6、制定中小企业发展战略、中长期发展规划并组织实施；指导中小企业加强管理；推进中小企业服务体系建设，做好中小企业融资和融资担保服务与协调工作；指导中小企业法律顾问工作；推进全民创业。</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7、负责工业节能工作，参与拟订能源节能和资源综合利用规划；承担工业企业的节能考核和监察工作；组织推进清洁生产工作；组织协调相关重大示范工程和相关新产品、新技术、新设备、新材料的推广应用。</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8、综合协调工业经济运行中与铁路、公路、水运、管理运输以及通信、邮政有关的重大问题；负责经济运行保障要素的综合协调工作；指导生产企业物流外包，促进企业内部物流社会化。</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9、组织拟订全县信息化发展战略、专项规划及相关政策，协调解决相关问题。</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10、制定全县信息安全发展战略、规划、指导、协调信息安全保障体系建设；指导监督政府部门、重点行业重要信息系统与基础信息网络的安全保障，协助处理网络与信息安全的重大事件。</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11、根据国家和省市统一规划，协调全县公用通信网、互联网、广播电视网和其他专用通信网的规划和建设，促进网络资源共享；依法监督管理信息服务市场。</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推动软件业及信息服务业发展；组织制订软件业和信息服务业发展战略、专项规划及相关政策，协调解决重大问题，推动软件公共服务体系建设，推进软件服务外包；指导、协调技术开发和相关产业发展。</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13、指导全县工业、信息化领域人才开发与培训工作；开展人才和智力对外合作交流。</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14、承办县委、县人民政府交办的其他事项。</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（三）本年度重点工作计划</w:t>
      </w:r>
    </w:p>
    <w:p>
      <w:pPr>
        <w:keepNext w:val="0"/>
        <w:keepLines w:val="0"/>
        <w:pageBreakBefore w:val="0"/>
        <w:widowControl w:val="0"/>
        <w:kinsoku/>
        <w:wordWrap/>
        <w:overflowPunct/>
        <w:topLinePunct w:val="0"/>
        <w:autoSpaceDE/>
        <w:bidi w:val="0"/>
        <w:spacing w:line="520" w:lineRule="exact"/>
        <w:ind w:firstLine="470" w:firstLineChars="147"/>
        <w:jc w:val="lef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sz w:val="32"/>
          <w:szCs w:val="32"/>
        </w:rPr>
        <w:t>2020年新增规模企业15家，规上工业增加值增幅8.5%，工业投资增长8.5%，工业税收增长12%，推进纺织服装、食品加工产业技改扩改、转型升级，推进“机器换人”、“ 两化融合”、企业“上云”“上平台”，“散乱污”企业治理取得实质性成效。</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（四）部门整体收支情况</w:t>
      </w:r>
    </w:p>
    <w:p>
      <w:pPr>
        <w:keepNext w:val="0"/>
        <w:keepLines w:val="0"/>
        <w:pageBreakBefore w:val="0"/>
        <w:widowControl w:val="0"/>
        <w:kinsoku/>
        <w:wordWrap/>
        <w:overflowPunct/>
        <w:topLinePunct w:val="0"/>
        <w:autoSpaceDE/>
        <w:bidi w:val="0"/>
        <w:adjustRightInd w:val="0"/>
        <w:snapToGrid w:val="0"/>
        <w:spacing w:line="520" w:lineRule="exact"/>
        <w:ind w:left="17" w:leftChars="8" w:firstLine="716" w:firstLineChars="223"/>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1.部门整体收支情况：</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（1）收入情况：全年总收入728.79万元，其中财政年初预算拨款705.77万元，其他收入23.02万元。</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（2）支出情况:全年总支出700.27万元， 其中：工资福利支出302.19万元，商品和服务支出204.11万元，对个人和家庭补助支出119.97万元，对企业补助74万元。</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2.三公经费支出情况：2020年部门 “三公”经费”支出0.5万元。其中公务接待费0.5万元。</w:t>
      </w:r>
    </w:p>
    <w:p>
      <w:pPr>
        <w:keepNext w:val="0"/>
        <w:keepLines w:val="0"/>
        <w:pageBreakBefore w:val="0"/>
        <w:widowControl w:val="0"/>
        <w:kinsoku/>
        <w:wordWrap/>
        <w:overflowPunct/>
        <w:topLinePunct w:val="0"/>
        <w:autoSpaceDE/>
        <w:bidi w:val="0"/>
        <w:spacing w:line="520" w:lineRule="exact"/>
        <w:ind w:firstLine="627" w:firstLineChars="196"/>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二、绩效评价工作情况</w:t>
      </w:r>
    </w:p>
    <w:p>
      <w:pPr>
        <w:keepNext w:val="0"/>
        <w:keepLines w:val="0"/>
        <w:pageBreakBefore w:val="0"/>
        <w:widowControl w:val="0"/>
        <w:kinsoku/>
        <w:wordWrap/>
        <w:overflowPunct/>
        <w:topLinePunct w:val="0"/>
        <w:autoSpaceDE/>
        <w:bidi w:val="0"/>
        <w:spacing w:line="520" w:lineRule="exact"/>
        <w:ind w:firstLine="482" w:firstLineChars="15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（一）</w:t>
      </w:r>
      <w:r>
        <w:rPr>
          <w:rFonts w:hint="eastAsia" w:ascii="仿宋_GB2312" w:hAnsi="仿宋_GB2312" w:eastAsia="仿宋_GB2312" w:cs="仿宋_GB2312"/>
          <w:b/>
          <w:bCs/>
          <w:sz w:val="32"/>
          <w:szCs w:val="32"/>
        </w:rPr>
        <w:t>部门整体支出绩效评价目的</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通过对2020年华容县工信局的预算配置、预算管理、资产管理、职责履行、履职效益等内容的绩效考评，提高财政资金的使用效率，为财政部门预算管理提供决策依据。</w:t>
      </w:r>
    </w:p>
    <w:p>
      <w:pPr>
        <w:keepNext w:val="0"/>
        <w:keepLines w:val="0"/>
        <w:pageBreakBefore w:val="0"/>
        <w:widowControl w:val="0"/>
        <w:shd w:val="solid" w:color="FFFFFF" w:fill="auto"/>
        <w:kinsoku/>
        <w:wordWrap/>
        <w:overflowPunct/>
        <w:topLinePunct w:val="0"/>
        <w:autoSpaceDE/>
        <w:autoSpaceDN w:val="0"/>
        <w:bidi w:val="0"/>
        <w:spacing w:line="520" w:lineRule="exact"/>
        <w:ind w:firstLine="472" w:firstLineChars="147"/>
        <w:textAlignment w:val="auto"/>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（二）部门整体支出评价原则、指标评价体系、评价方法</w:t>
      </w:r>
    </w:p>
    <w:p>
      <w:pPr>
        <w:keepNext w:val="0"/>
        <w:keepLines w:val="0"/>
        <w:pageBreakBefore w:val="0"/>
        <w:widowControl w:val="0"/>
        <w:shd w:val="solid" w:color="FFFFFF" w:fill="auto"/>
        <w:kinsoku/>
        <w:wordWrap/>
        <w:overflowPunct/>
        <w:topLinePunct w:val="0"/>
        <w:autoSpaceDE/>
        <w:autoSpaceDN w:val="0"/>
        <w:bidi w:val="0"/>
        <w:spacing w:line="520" w:lineRule="exact"/>
        <w:ind w:firstLine="643"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1.部门整体支出绩效评价原则：</w:t>
      </w:r>
      <w:r>
        <w:rPr>
          <w:rFonts w:hint="eastAsia" w:ascii="仿宋_GB2312" w:hAnsi="仿宋_GB2312" w:eastAsia="仿宋_GB2312" w:cs="仿宋_GB2312"/>
          <w:sz w:val="32"/>
          <w:szCs w:val="32"/>
        </w:rPr>
        <w:t>遵循客观公正，操作简便高效，尊重客观实际，实事求是的原则。</w:t>
      </w:r>
    </w:p>
    <w:p>
      <w:pPr>
        <w:keepNext w:val="0"/>
        <w:keepLines w:val="0"/>
        <w:pageBreakBefore w:val="0"/>
        <w:widowControl w:val="0"/>
        <w:shd w:val="solid" w:color="FFFFFF" w:fill="auto"/>
        <w:kinsoku/>
        <w:wordWrap/>
        <w:overflowPunct/>
        <w:topLinePunct w:val="0"/>
        <w:autoSpaceDE/>
        <w:autoSpaceDN w:val="0"/>
        <w:bidi w:val="0"/>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2</w:t>
      </w:r>
      <w:r>
        <w:rPr>
          <w:rFonts w:hint="eastAsia" w:ascii="仿宋_GB2312" w:hAnsi="仿宋_GB2312" w:eastAsia="仿宋_GB2312" w:cs="仿宋_GB2312"/>
          <w:b/>
          <w:sz w:val="32"/>
          <w:szCs w:val="32"/>
          <w:shd w:val="clear" w:color="auto" w:fill="FFFFFF"/>
        </w:rPr>
        <w:t>.整体支出绩效评价体系：</w:t>
      </w:r>
      <w:r>
        <w:rPr>
          <w:rFonts w:hint="eastAsia" w:ascii="仿宋_GB2312" w:hAnsi="仿宋_GB2312" w:eastAsia="仿宋_GB2312" w:cs="仿宋_GB2312"/>
          <w:sz w:val="32"/>
          <w:szCs w:val="32"/>
        </w:rPr>
        <w:t>指标体系包括共性指标和个性指标两部分，本次主要参照了财政部门制定的《部门整体支出绩效评价指标体系》的相关内容。</w:t>
      </w:r>
    </w:p>
    <w:p>
      <w:pPr>
        <w:keepNext w:val="0"/>
        <w:keepLines w:val="0"/>
        <w:pageBreakBefore w:val="0"/>
        <w:widowControl w:val="0"/>
        <w:shd w:val="solid" w:color="FFFFFF" w:fill="auto"/>
        <w:kinsoku/>
        <w:wordWrap/>
        <w:overflowPunct/>
        <w:topLinePunct w:val="0"/>
        <w:autoSpaceDE/>
        <w:autoSpaceDN w:val="0"/>
        <w:bidi w:val="0"/>
        <w:spacing w:line="520" w:lineRule="exact"/>
        <w:ind w:firstLine="643"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3.整体支出绩效评价方法：</w:t>
      </w:r>
      <w:r>
        <w:rPr>
          <w:rFonts w:hint="eastAsia" w:ascii="仿宋_GB2312" w:hAnsi="仿宋_GB2312" w:eastAsia="仿宋_GB2312" w:cs="仿宋_GB2312"/>
          <w:sz w:val="32"/>
          <w:szCs w:val="32"/>
        </w:rPr>
        <w:t>主要采用因素分析法、投入产出效益分析法，比较法，相关部门问卷调查等方法。</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（三）整体支出绩效评价过程</w:t>
      </w:r>
    </w:p>
    <w:p>
      <w:pPr>
        <w:keepNext w:val="0"/>
        <w:keepLines w:val="0"/>
        <w:pageBreakBefore w:val="0"/>
        <w:widowControl w:val="0"/>
        <w:shd w:val="solid" w:color="FFFFFF" w:fill="auto"/>
        <w:kinsoku/>
        <w:wordWrap/>
        <w:overflowPunct/>
        <w:topLinePunct w:val="0"/>
        <w:autoSpaceDE/>
        <w:autoSpaceDN w:val="0"/>
        <w:bidi w:val="0"/>
        <w:spacing w:line="520" w:lineRule="exact"/>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b/>
          <w:bCs/>
          <w:sz w:val="32"/>
          <w:szCs w:val="32"/>
          <w:shd w:val="clear" w:color="auto" w:fill="FFFFFF"/>
        </w:rPr>
        <w:t>1</w:t>
      </w:r>
      <w:r>
        <w:rPr>
          <w:rFonts w:hint="eastAsia" w:ascii="仿宋_GB2312" w:hAnsi="仿宋_GB2312" w:eastAsia="仿宋_GB2312" w:cs="仿宋_GB2312"/>
          <w:b/>
          <w:sz w:val="32"/>
          <w:szCs w:val="32"/>
          <w:shd w:val="clear" w:color="auto" w:fill="FFFFFF"/>
        </w:rPr>
        <w:t>.前期准备：</w:t>
      </w:r>
      <w:r>
        <w:rPr>
          <w:rFonts w:hint="eastAsia" w:ascii="仿宋_GB2312" w:hAnsi="仿宋_GB2312" w:eastAsia="仿宋_GB2312" w:cs="仿宋_GB2312"/>
          <w:sz w:val="32"/>
          <w:szCs w:val="32"/>
        </w:rPr>
        <w:t>按照绩效自评工作要求，组成以宋传兵同志为组长的绩效评价工作小组，对相关的国家法律法规进行了认真学习，掌握政策，根据部门整体收支情况制定了部门整体支出绩效评价实施方案，设计了绩效评价指标体系。</w:t>
      </w:r>
    </w:p>
    <w:p>
      <w:pPr>
        <w:keepNext w:val="0"/>
        <w:keepLines w:val="0"/>
        <w:pageBreakBefore w:val="0"/>
        <w:widowControl w:val="0"/>
        <w:shd w:val="solid" w:color="FFFFFF" w:fill="auto"/>
        <w:kinsoku/>
        <w:wordWrap/>
        <w:overflowPunct/>
        <w:topLinePunct w:val="0"/>
        <w:autoSpaceDE/>
        <w:autoSpaceDN w:val="0"/>
        <w:bidi w:val="0"/>
        <w:spacing w:line="52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b/>
          <w:bCs/>
          <w:sz w:val="32"/>
          <w:szCs w:val="32"/>
          <w:shd w:val="clear" w:color="auto" w:fill="FFFFFF"/>
        </w:rPr>
        <w:t>2.</w:t>
      </w:r>
      <w:r>
        <w:rPr>
          <w:rFonts w:hint="eastAsia" w:ascii="仿宋_GB2312" w:hAnsi="仿宋_GB2312" w:eastAsia="仿宋_GB2312" w:cs="仿宋_GB2312"/>
          <w:b/>
          <w:sz w:val="32"/>
          <w:szCs w:val="32"/>
          <w:shd w:val="clear" w:color="auto" w:fill="FFFFFF"/>
        </w:rPr>
        <w:t>组织实施：</w:t>
      </w:r>
      <w:r>
        <w:rPr>
          <w:rFonts w:hint="eastAsia" w:ascii="仿宋_GB2312" w:hAnsi="仿宋_GB2312" w:eastAsia="仿宋_GB2312" w:cs="仿宋_GB2312"/>
          <w:sz w:val="32"/>
          <w:szCs w:val="32"/>
        </w:rPr>
        <w:t>采用核查法核查2020年同级财政预算批复执行及部门整体支出情况，着重核查了“三公”经费及资产管理、内部控制制度情况，对内设机构，根据部门职能和年初制定的绩效考核目标，进行了实地绩效考评。</w:t>
      </w:r>
    </w:p>
    <w:p>
      <w:pPr>
        <w:keepNext w:val="0"/>
        <w:keepLines w:val="0"/>
        <w:pageBreakBefore w:val="0"/>
        <w:widowControl w:val="0"/>
        <w:shd w:val="solid" w:color="FFFFFF" w:fill="auto"/>
        <w:kinsoku/>
        <w:wordWrap/>
        <w:overflowPunct/>
        <w:topLinePunct w:val="0"/>
        <w:autoSpaceDE/>
        <w:autoSpaceDN w:val="0"/>
        <w:bidi w:val="0"/>
        <w:spacing w:line="520" w:lineRule="exact"/>
        <w:ind w:firstLine="643"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3.</w:t>
      </w:r>
      <w:r>
        <w:rPr>
          <w:rFonts w:hint="eastAsia" w:ascii="仿宋_GB2312" w:hAnsi="仿宋_GB2312" w:eastAsia="仿宋_GB2312" w:cs="仿宋_GB2312"/>
          <w:b/>
          <w:sz w:val="32"/>
          <w:szCs w:val="32"/>
          <w:shd w:val="clear" w:color="auto" w:fill="FFFFFF"/>
        </w:rPr>
        <w:t>分析评价：</w:t>
      </w:r>
      <w:r>
        <w:rPr>
          <w:rFonts w:hint="eastAsia" w:ascii="仿宋_GB2312" w:hAnsi="仿宋_GB2312" w:eastAsia="仿宋_GB2312" w:cs="仿宋_GB2312"/>
          <w:sz w:val="32"/>
          <w:szCs w:val="32"/>
        </w:rPr>
        <w:t>对评价过程中收集资料进行归纳，汇总分析，依据设定的部门整体支出绩效评价指标体系进行了评分，形成了综合性书面报告。</w:t>
      </w:r>
    </w:p>
    <w:p>
      <w:pPr>
        <w:keepNext w:val="0"/>
        <w:keepLines w:val="0"/>
        <w:pageBreakBefore w:val="0"/>
        <w:widowControl w:val="0"/>
        <w:kinsoku/>
        <w:wordWrap/>
        <w:overflowPunct/>
        <w:topLinePunct w:val="0"/>
        <w:autoSpaceDE/>
        <w:bidi w:val="0"/>
        <w:spacing w:line="520" w:lineRule="exact"/>
        <w:ind w:firstLine="627" w:firstLineChars="196"/>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三、部门整体支出管理和使用情况分析</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shd w:val="clear" w:color="auto" w:fill="FFFFFF"/>
        </w:rPr>
        <w:t>（一）</w:t>
      </w:r>
      <w:r>
        <w:rPr>
          <w:rFonts w:hint="eastAsia" w:ascii="楷体_GB2312" w:hAnsi="楷体_GB2312" w:eastAsia="楷体_GB2312" w:cs="楷体_GB2312"/>
          <w:b/>
          <w:bCs/>
          <w:sz w:val="32"/>
          <w:szCs w:val="32"/>
        </w:rPr>
        <w:t>部门整体支出情况分析</w:t>
      </w:r>
    </w:p>
    <w:p>
      <w:pPr>
        <w:keepNext w:val="0"/>
        <w:keepLines w:val="0"/>
        <w:pageBreakBefore w:val="0"/>
        <w:widowControl w:val="0"/>
        <w:shd w:val="solid" w:color="FFFFFF" w:fill="auto"/>
        <w:kinsoku/>
        <w:wordWrap/>
        <w:overflowPunct/>
        <w:topLinePunct w:val="0"/>
        <w:autoSpaceDE/>
        <w:autoSpaceDN w:val="0"/>
        <w:bidi w:val="0"/>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1.部门整体支出情况分析</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2020年整体支出</w:t>
      </w:r>
      <w:r>
        <w:rPr>
          <w:rFonts w:hint="eastAsia" w:ascii="仿宋_GB2312" w:hAnsi="仿宋_GB2312" w:eastAsia="仿宋_GB2312" w:cs="仿宋_GB2312"/>
          <w:color w:val="000000"/>
          <w:sz w:val="32"/>
          <w:szCs w:val="32"/>
        </w:rPr>
        <w:t>700.27</w:t>
      </w:r>
      <w:r>
        <w:rPr>
          <w:rFonts w:hint="eastAsia" w:ascii="仿宋_GB2312" w:hAnsi="仿宋_GB2312" w:eastAsia="仿宋_GB2312" w:cs="仿宋_GB2312"/>
          <w:sz w:val="32"/>
          <w:szCs w:val="32"/>
        </w:rPr>
        <w:t>万元，其中基本支出349.43万元，占总支出49.9%，人员支出317.37万元占基本支出90.83%，公用支出32.06万元，占基本支出9.17% 。</w:t>
      </w:r>
    </w:p>
    <w:p>
      <w:pPr>
        <w:keepNext w:val="0"/>
        <w:keepLines w:val="0"/>
        <w:pageBreakBefore w:val="0"/>
        <w:widowControl w:val="0"/>
        <w:tabs>
          <w:tab w:val="center" w:pos="4153"/>
        </w:tabs>
        <w:kinsoku/>
        <w:wordWrap/>
        <w:overflowPunct/>
        <w:topLinePunct w:val="0"/>
        <w:autoSpaceDE/>
        <w:bidi w:val="0"/>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“三公</w:t>
      </w:r>
      <w:r>
        <w:rPr>
          <w:rFonts w:hint="eastAsia" w:ascii="仿宋_GB2312" w:hAnsi="仿宋_GB2312" w:eastAsia="仿宋_GB2312" w:cs="仿宋_GB2312"/>
          <w:b/>
          <w:bCs/>
          <w:sz w:val="32"/>
          <w:szCs w:val="32"/>
        </w:rPr>
        <w:t>经费”支出情况分析：</w:t>
      </w:r>
      <w:r>
        <w:rPr>
          <w:rFonts w:hint="eastAsia" w:ascii="仿宋_GB2312" w:hAnsi="仿宋_GB2312" w:eastAsia="仿宋_GB2312" w:cs="仿宋_GB2312"/>
          <w:sz w:val="32"/>
          <w:szCs w:val="32"/>
        </w:rPr>
        <w:t>2020年华容县工信局“三公经费”预算拨入0.5万元，实际开支0.5万元。其中公务接待费0.5万元。</w:t>
      </w:r>
    </w:p>
    <w:p>
      <w:pPr>
        <w:keepNext w:val="0"/>
        <w:keepLines w:val="0"/>
        <w:pageBreakBefore w:val="0"/>
        <w:widowControl w:val="0"/>
        <w:tabs>
          <w:tab w:val="center" w:pos="4153"/>
        </w:tabs>
        <w:kinsoku/>
        <w:wordWrap/>
        <w:overflowPunct/>
        <w:topLinePunct w:val="0"/>
        <w:autoSpaceDE/>
        <w:bidi w:val="0"/>
        <w:spacing w:line="52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3.固定资产管理情况分析</w:t>
      </w:r>
      <w:r>
        <w:rPr>
          <w:rFonts w:hint="eastAsia" w:ascii="仿宋_GB2312" w:hAnsi="仿宋_GB2312" w:eastAsia="仿宋_GB2312" w:cs="仿宋_GB2312"/>
          <w:sz w:val="32"/>
          <w:szCs w:val="32"/>
        </w:rPr>
        <w:t>：按照例行节约，物尽其用的原则，部门资产管理采取统一建账，统一核算管理，对每件固定资产使用明确保管职责，闲置的资产，由办公室统一调整，合理流动，发挥其效益；至2020年12月末固定资产491.95万元。</w:t>
      </w:r>
    </w:p>
    <w:p>
      <w:pPr>
        <w:keepNext w:val="0"/>
        <w:keepLines w:val="0"/>
        <w:pageBreakBefore w:val="0"/>
        <w:widowControl w:val="0"/>
        <w:shd w:val="solid" w:color="FFFFFF" w:fill="auto"/>
        <w:kinsoku/>
        <w:wordWrap/>
        <w:overflowPunct/>
        <w:topLinePunct w:val="0"/>
        <w:autoSpaceDE/>
        <w:autoSpaceDN w:val="0"/>
        <w:bidi w:val="0"/>
        <w:spacing w:line="520" w:lineRule="exact"/>
        <w:ind w:firstLine="482" w:firstLineChars="15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（二）部门整体支出管理情况分析</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2.财务管理上，按照国家相关法律法规，制定了机关财务、公物购置使用、接待等管理制度，并严格按照制度管理和执行，防范风险，保证财政资金的安全和高效运行。</w:t>
      </w:r>
    </w:p>
    <w:p>
      <w:pPr>
        <w:keepNext w:val="0"/>
        <w:keepLines w:val="0"/>
        <w:pageBreakBefore w:val="0"/>
        <w:widowControl w:val="0"/>
        <w:kinsoku/>
        <w:wordWrap/>
        <w:overflowPunct/>
        <w:topLinePunct w:val="0"/>
        <w:autoSpaceDE/>
        <w:bidi w:val="0"/>
        <w:spacing w:line="520" w:lineRule="exact"/>
        <w:ind w:firstLine="627" w:firstLineChars="196"/>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四．整体支出绩效情况分析</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根据该局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1.本年预算配置控制较好，财政供养人员控制在预算编制以内，实际在职人员数与编制数相同；“三公”经费支出总额较上年有减少。</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2.预算执行方面，支出总额控制在预算总额以内，基本支出中财政政策性工资和对家属遗属的补助有所追加，本年部门预算未进行预算相关事项的调整；该单位预算资金按规定管理使用。</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3.预算管理方面，工信部门制定了切实有效的内部财务、资产内部管理制度，执行总体较为有效。</w:t>
      </w:r>
    </w:p>
    <w:p>
      <w:pPr>
        <w:keepNext w:val="0"/>
        <w:keepLines w:val="0"/>
        <w:pageBreakBefore w:val="0"/>
        <w:widowControl w:val="0"/>
        <w:kinsoku/>
        <w:wordWrap/>
        <w:overflowPunct/>
        <w:topLinePunct w:val="0"/>
        <w:autoSpaceDE/>
        <w:bidi w:val="0"/>
        <w:spacing w:line="520" w:lineRule="exact"/>
        <w:ind w:firstLine="627" w:firstLineChars="196"/>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五、工作建议</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一是按照预算规定的项目和用途严格财务审核，经费支出严格按预算规定项目的财务支出内容进行财务核算，在预算金额内严格控制费用的支出。</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二是严格控制“三公经费”支出，杜绝挪用和挤占其他预算资金；进一步细化“三公经费”管理，压缩“三公经费”支出。</w:t>
      </w:r>
    </w:p>
    <w:p>
      <w:pPr>
        <w:keepNext w:val="0"/>
        <w:keepLines w:val="0"/>
        <w:pageBreakBefore w:val="0"/>
        <w:widowControl w:val="0"/>
        <w:kinsoku/>
        <w:wordWrap/>
        <w:overflowPunct/>
        <w:topLinePunct w:val="0"/>
        <w:autoSpaceDE/>
        <w:bidi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三是预算财务分析常态化，定期做好预算支出财务分析，做好部门整体支出预算评价工作。</w:t>
      </w:r>
    </w:p>
    <w:p>
      <w:pPr>
        <w:spacing w:line="540" w:lineRule="exact"/>
        <w:ind w:firstLine="640" w:firstLineChars="200"/>
        <w:jc w:val="left"/>
        <w:rPr>
          <w:rFonts w:hint="eastAsia" w:ascii="仿宋_GB2312" w:hAnsi="仿宋_GB2312" w:eastAsia="仿宋_GB2312" w:cs="仿宋_GB2312"/>
          <w:sz w:val="32"/>
          <w:szCs w:val="32"/>
        </w:rPr>
      </w:pPr>
    </w:p>
    <w:p>
      <w:pPr>
        <w:spacing w:line="540" w:lineRule="exact"/>
        <w:ind w:firstLine="640" w:firstLineChars="200"/>
        <w:jc w:val="left"/>
        <w:rPr>
          <w:rFonts w:hint="eastAsia" w:ascii="仿宋_GB2312" w:hAnsi="仿宋_GB2312" w:eastAsia="仿宋_GB2312" w:cs="仿宋_GB2312"/>
          <w:sz w:val="32"/>
          <w:szCs w:val="32"/>
        </w:rPr>
      </w:pPr>
    </w:p>
    <w:p>
      <w:pPr>
        <w:spacing w:line="540" w:lineRule="exact"/>
        <w:ind w:firstLine="536" w:firstLineChars="200"/>
        <w:jc w:val="left"/>
        <w:rPr>
          <w:rFonts w:hint="eastAsia" w:ascii="仿宋_GB2312" w:hAnsi="仿宋_GB2312" w:eastAsia="仿宋_GB2312" w:cs="仿宋_GB2312"/>
          <w:bCs/>
          <w:spacing w:val="-26"/>
          <w:sz w:val="32"/>
          <w:szCs w:val="32"/>
        </w:rPr>
      </w:pPr>
    </w:p>
    <w:p>
      <w:pPr>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rPr>
        <w:t xml:space="preserve"> 华容县工信局</w:t>
      </w:r>
    </w:p>
    <w:p>
      <w:pPr>
        <w:spacing w:line="540" w:lineRule="exact"/>
        <w:ind w:firstLine="6400" w:firstLineChars="20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2021年7月</w:t>
      </w:r>
    </w:p>
    <w:p>
      <w:pPr>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spacing w:line="348" w:lineRule="auto"/>
        <w:rPr>
          <w:rFonts w:ascii="黑体" w:hAnsi="黑体" w:eastAsia="黑体" w:cs="黑体"/>
          <w:bCs/>
          <w:sz w:val="32"/>
          <w:szCs w:val="32"/>
        </w:rPr>
      </w:pPr>
      <w:r>
        <w:rPr>
          <w:rFonts w:hint="eastAsia" w:ascii="仿宋_GB2312" w:hAnsi="仿宋_GB2312" w:eastAsia="仿宋_GB2312" w:cs="仿宋_GB2312"/>
          <w:bCs/>
          <w:sz w:val="32"/>
          <w:szCs w:val="32"/>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24"/>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24"/>
          <w:u w:val="single"/>
        </w:rPr>
        <w:t xml:space="preserve">县工业新兴优势产业链办公室及四个产业链链办工作经费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24"/>
          <w:u w:val="single"/>
        </w:rPr>
        <w:t>县工业新兴优势产业链</w:t>
      </w:r>
      <w:r>
        <w:rPr>
          <w:rFonts w:hint="eastAsia" w:eastAsia="仿宋_GB2312"/>
          <w:sz w:val="24"/>
          <w:u w:val="single"/>
          <w:lang w:val="en-US" w:eastAsia="zh-CN"/>
        </w:rPr>
        <w:t>领导小组</w:t>
      </w:r>
      <w:r>
        <w:rPr>
          <w:rFonts w:hint="eastAsia" w:eastAsia="仿宋_GB2312"/>
          <w:sz w:val="24"/>
          <w:u w:val="single"/>
        </w:rPr>
        <w:t>办公室</w:t>
      </w:r>
      <w:r>
        <w:rPr>
          <w:rFonts w:hint="eastAsia" w:eastAsia="仿宋_GB2312"/>
          <w:sz w:val="32"/>
          <w:u w:val="single"/>
        </w:rPr>
        <w:t xml:space="preserve">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24"/>
          <w:u w:val="single"/>
          <w:lang w:val="en-US" w:eastAsia="zh-CN"/>
        </w:rPr>
        <w:t>华容县委县政府</w:t>
      </w:r>
      <w:r>
        <w:rPr>
          <w:rFonts w:hint="eastAsia" w:eastAsia="仿宋_GB2312"/>
          <w:sz w:val="24"/>
          <w:u w:val="single"/>
        </w:rPr>
        <w:t xml:space="preserve">     </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lang w:val="en-US" w:eastAsia="zh-CN"/>
        </w:rPr>
        <w:t xml:space="preserve">      </w:t>
      </w:r>
      <w:r>
        <w:rPr>
          <w:rFonts w:hint="eastAsia" w:eastAsia="仿宋_GB2312"/>
          <w:sz w:val="32"/>
        </w:rPr>
        <w:t>报告日期：2021年7月26日</w:t>
      </w:r>
    </w:p>
    <w:p>
      <w:pPr>
        <w:spacing w:line="348" w:lineRule="auto"/>
        <w:jc w:val="center"/>
        <w:rPr>
          <w:rFonts w:eastAsia="仿宋_GB2312"/>
          <w:sz w:val="32"/>
        </w:rPr>
      </w:pPr>
      <w:r>
        <w:rPr>
          <w:rFonts w:hint="eastAsia" w:eastAsia="仿宋_GB2312"/>
          <w:sz w:val="32"/>
          <w:lang w:val="en-US" w:eastAsia="zh-CN"/>
        </w:rPr>
        <w:t xml:space="preserve">    </w:t>
      </w: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718"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8"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宋传兵</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4181385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8"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县工信局人民大道055号</w:t>
            </w: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8"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2020年     1  月起至   2020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798"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26</w:t>
            </w: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26</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25.9965</w:t>
            </w: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98"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98"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98"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98"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r>
              <w:rPr>
                <w:rFonts w:hint="eastAsia" w:eastAsia="仿宋_GB2312"/>
                <w:sz w:val="24"/>
              </w:rPr>
              <w:t>26</w:t>
            </w: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26</w:t>
            </w: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r>
              <w:rPr>
                <w:rFonts w:hint="eastAsia" w:eastAsia="仿宋_GB2312"/>
                <w:sz w:val="24"/>
              </w:rPr>
              <w:t>25.9965</w:t>
            </w: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98"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718"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spacing w:line="360" w:lineRule="exact"/>
              <w:jc w:val="center"/>
              <w:rPr>
                <w:rFonts w:eastAsia="仿宋_GB2312"/>
                <w:sz w:val="24"/>
              </w:rPr>
            </w:pPr>
            <w:r>
              <w:rPr>
                <w:rFonts w:hint="eastAsia" w:eastAsia="仿宋_GB2312"/>
                <w:sz w:val="24"/>
              </w:rPr>
              <w:t>办公桌椅、电脑打印机等</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15908元</w:t>
            </w:r>
          </w:p>
        </w:tc>
        <w:tc>
          <w:tcPr>
            <w:tcW w:w="2342" w:type="dxa"/>
            <w:gridSpan w:val="5"/>
            <w:tcBorders>
              <w:bottom w:val="single" w:color="auto" w:sz="4" w:space="0"/>
            </w:tcBorders>
            <w:vAlign w:val="center"/>
          </w:tcPr>
          <w:p>
            <w:pPr>
              <w:spacing w:line="360" w:lineRule="exact"/>
              <w:jc w:val="center"/>
              <w:rPr>
                <w:rFonts w:eastAsia="仿宋_GB2312"/>
                <w:sz w:val="24"/>
              </w:rPr>
            </w:pPr>
            <w:r>
              <w:rPr>
                <w:rFonts w:hint="eastAsia" w:eastAsia="仿宋_GB2312"/>
                <w:sz w:val="24"/>
              </w:rPr>
              <w:t>7月42号、8月32号等</w:t>
            </w:r>
          </w:p>
        </w:tc>
        <w:tc>
          <w:tcPr>
            <w:tcW w:w="3036" w:type="dxa"/>
            <w:gridSpan w:val="3"/>
            <w:tcBorders>
              <w:bottom w:val="single" w:color="auto" w:sz="4" w:space="0"/>
            </w:tcBorders>
            <w:vAlign w:val="center"/>
          </w:tcPr>
          <w:p>
            <w:pPr>
              <w:spacing w:line="44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518" w:type="dxa"/>
            <w:gridSpan w:val="4"/>
            <w:tcBorders>
              <w:bottom w:val="single" w:color="auto" w:sz="4" w:space="0"/>
            </w:tcBorders>
            <w:vAlign w:val="center"/>
          </w:tcPr>
          <w:p>
            <w:pPr>
              <w:spacing w:line="360" w:lineRule="exact"/>
              <w:jc w:val="center"/>
              <w:rPr>
                <w:rFonts w:eastAsia="仿宋_GB2312"/>
                <w:sz w:val="24"/>
              </w:rPr>
            </w:pPr>
            <w:r>
              <w:rPr>
                <w:rFonts w:hint="eastAsia" w:eastAsia="仿宋_GB2312"/>
                <w:sz w:val="24"/>
              </w:rPr>
              <w:t>文印费</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137284元</w:t>
            </w:r>
          </w:p>
        </w:tc>
        <w:tc>
          <w:tcPr>
            <w:tcW w:w="2342" w:type="dxa"/>
            <w:gridSpan w:val="5"/>
            <w:tcBorders>
              <w:bottom w:val="single" w:color="auto" w:sz="4" w:space="0"/>
            </w:tcBorders>
            <w:vAlign w:val="center"/>
          </w:tcPr>
          <w:p>
            <w:pPr>
              <w:spacing w:line="360" w:lineRule="exact"/>
              <w:jc w:val="center"/>
              <w:rPr>
                <w:rFonts w:eastAsia="仿宋_GB2312"/>
                <w:sz w:val="24"/>
              </w:rPr>
            </w:pPr>
            <w:r>
              <w:rPr>
                <w:rFonts w:hint="eastAsia" w:eastAsia="仿宋_GB2312"/>
                <w:sz w:val="24"/>
              </w:rPr>
              <w:t>6月42号、9月55号等</w:t>
            </w:r>
          </w:p>
        </w:tc>
        <w:tc>
          <w:tcPr>
            <w:tcW w:w="3036" w:type="dxa"/>
            <w:gridSpan w:val="3"/>
            <w:tcBorders>
              <w:bottom w:val="single" w:color="auto" w:sz="4" w:space="0"/>
            </w:tcBorders>
            <w:vAlign w:val="center"/>
          </w:tcPr>
          <w:p>
            <w:pPr>
              <w:spacing w:line="44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spacing w:line="360" w:lineRule="exact"/>
              <w:jc w:val="center"/>
              <w:rPr>
                <w:rFonts w:eastAsia="仿宋_GB2312"/>
                <w:sz w:val="24"/>
              </w:rPr>
            </w:pPr>
            <w:r>
              <w:rPr>
                <w:rFonts w:hint="eastAsia" w:eastAsia="仿宋_GB2312"/>
                <w:sz w:val="24"/>
              </w:rPr>
              <w:t>差旅费（含下乡）</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8840元</w:t>
            </w:r>
          </w:p>
        </w:tc>
        <w:tc>
          <w:tcPr>
            <w:tcW w:w="2342" w:type="dxa"/>
            <w:gridSpan w:val="5"/>
            <w:tcBorders>
              <w:bottom w:val="single" w:color="auto" w:sz="4" w:space="0"/>
            </w:tcBorders>
            <w:vAlign w:val="center"/>
          </w:tcPr>
          <w:p>
            <w:pPr>
              <w:spacing w:line="360" w:lineRule="exact"/>
              <w:jc w:val="center"/>
              <w:rPr>
                <w:rFonts w:eastAsia="仿宋_GB2312"/>
                <w:sz w:val="24"/>
              </w:rPr>
            </w:pPr>
            <w:r>
              <w:rPr>
                <w:rFonts w:hint="eastAsia" w:eastAsia="仿宋_GB2312"/>
                <w:sz w:val="24"/>
              </w:rPr>
              <w:t>6月47号、9月54号等</w:t>
            </w:r>
          </w:p>
        </w:tc>
        <w:tc>
          <w:tcPr>
            <w:tcW w:w="3036" w:type="dxa"/>
            <w:gridSpan w:val="3"/>
            <w:tcBorders>
              <w:bottom w:val="single" w:color="auto" w:sz="4" w:space="0"/>
            </w:tcBorders>
            <w:vAlign w:val="center"/>
          </w:tcPr>
          <w:p>
            <w:pPr>
              <w:spacing w:line="44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spacing w:line="360" w:lineRule="exact"/>
              <w:jc w:val="center"/>
              <w:rPr>
                <w:rFonts w:eastAsia="仿宋_GB2312"/>
                <w:sz w:val="24"/>
              </w:rPr>
            </w:pPr>
            <w:r>
              <w:rPr>
                <w:rFonts w:hint="eastAsia" w:eastAsia="仿宋_GB2312"/>
                <w:sz w:val="24"/>
              </w:rPr>
              <w:t>工作餐费用</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6661元</w:t>
            </w:r>
          </w:p>
        </w:tc>
        <w:tc>
          <w:tcPr>
            <w:tcW w:w="2342" w:type="dxa"/>
            <w:gridSpan w:val="5"/>
            <w:tcBorders>
              <w:bottom w:val="single" w:color="auto" w:sz="4" w:space="0"/>
            </w:tcBorders>
            <w:vAlign w:val="center"/>
          </w:tcPr>
          <w:p>
            <w:pPr>
              <w:spacing w:line="360" w:lineRule="exact"/>
              <w:jc w:val="center"/>
              <w:rPr>
                <w:rFonts w:eastAsia="仿宋_GB2312"/>
                <w:sz w:val="24"/>
              </w:rPr>
            </w:pPr>
            <w:r>
              <w:rPr>
                <w:rFonts w:hint="eastAsia" w:eastAsia="仿宋_GB2312"/>
                <w:sz w:val="24"/>
              </w:rPr>
              <w:t>6月49号、9月30号等</w:t>
            </w:r>
          </w:p>
        </w:tc>
        <w:tc>
          <w:tcPr>
            <w:tcW w:w="3036" w:type="dxa"/>
            <w:gridSpan w:val="3"/>
            <w:tcBorders>
              <w:bottom w:val="single" w:color="auto" w:sz="4" w:space="0"/>
            </w:tcBorders>
            <w:vAlign w:val="center"/>
          </w:tcPr>
          <w:p>
            <w:pPr>
              <w:spacing w:line="44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jc w:val="center"/>
              <w:rPr>
                <w:rFonts w:eastAsia="仿宋_GB2312"/>
                <w:sz w:val="24"/>
              </w:rPr>
            </w:pPr>
            <w:r>
              <w:rPr>
                <w:rFonts w:hint="eastAsia" w:eastAsia="仿宋_GB2312"/>
                <w:sz w:val="24"/>
              </w:rPr>
              <w:t>广告宣传费用</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80272元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12月87、89号等</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8" w:type="dxa"/>
            <w:gridSpan w:val="4"/>
            <w:tcBorders>
              <w:bottom w:val="single" w:color="auto" w:sz="4" w:space="0"/>
            </w:tcBorders>
            <w:vAlign w:val="center"/>
          </w:tcPr>
          <w:p>
            <w:pPr>
              <w:jc w:val="center"/>
              <w:rPr>
                <w:rFonts w:eastAsia="仿宋_GB2312"/>
                <w:sz w:val="24"/>
              </w:rPr>
            </w:pPr>
            <w:r>
              <w:rPr>
                <w:rFonts w:hint="eastAsia" w:eastAsia="仿宋_GB2312"/>
                <w:sz w:val="24"/>
                <w:lang w:val="en-US" w:eastAsia="zh-CN"/>
              </w:rPr>
              <w:t>会议室</w:t>
            </w:r>
            <w:r>
              <w:rPr>
                <w:rFonts w:hint="eastAsia" w:eastAsia="仿宋_GB2312"/>
                <w:sz w:val="24"/>
              </w:rPr>
              <w:t>用茶，文具用品</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11000元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7月43、44号等</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2518"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259965元</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718"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09"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609"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ascii="仿宋" w:hAnsi="仿宋" w:eastAsia="仿宋"/>
                <w:b/>
                <w:sz w:val="24"/>
              </w:rPr>
            </w:pPr>
            <w:r>
              <w:rPr>
                <w:rFonts w:hint="eastAsia" w:ascii="仿宋" w:hAnsi="仿宋" w:eastAsia="仿宋" w:cs="方正仿宋_GB2312"/>
                <w:sz w:val="24"/>
              </w:rPr>
              <w:t>加快推进全县工业新兴优势产业链发展</w:t>
            </w:r>
          </w:p>
        </w:tc>
        <w:tc>
          <w:tcPr>
            <w:tcW w:w="3036" w:type="dxa"/>
            <w:gridSpan w:val="3"/>
            <w:tcBorders>
              <w:bottom w:val="single" w:color="auto" w:sz="4" w:space="0"/>
            </w:tcBorders>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609"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609"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vAlign w:val="center"/>
          </w:tcPr>
          <w:p>
            <w:pPr>
              <w:spacing w:line="360" w:lineRule="exact"/>
              <w:jc w:val="center"/>
              <w:rPr>
                <w:rFonts w:eastAsia="仿宋_GB2312"/>
                <w:szCs w:val="21"/>
              </w:rPr>
            </w:pPr>
            <w:r>
              <w:rPr>
                <w:rFonts w:hint="eastAsia" w:eastAsia="仿宋_GB2312"/>
                <w:szCs w:val="21"/>
              </w:rPr>
              <w:t>引进涉产业链项目</w:t>
            </w:r>
          </w:p>
        </w:tc>
        <w:tc>
          <w:tcPr>
            <w:tcW w:w="1082" w:type="dxa"/>
            <w:gridSpan w:val="2"/>
            <w:vAlign w:val="center"/>
          </w:tcPr>
          <w:p>
            <w:pPr>
              <w:jc w:val="center"/>
              <w:rPr>
                <w:rFonts w:eastAsia="仿宋_GB2312"/>
                <w:sz w:val="24"/>
              </w:rPr>
            </w:pPr>
            <w:r>
              <w:rPr>
                <w:rFonts w:hint="eastAsia" w:eastAsia="仿宋_GB2312"/>
                <w:sz w:val="24"/>
              </w:rPr>
              <w:t>20</w:t>
            </w:r>
          </w:p>
        </w:tc>
        <w:tc>
          <w:tcPr>
            <w:tcW w:w="3036" w:type="dxa"/>
            <w:gridSpan w:val="3"/>
            <w:vAlign w:val="center"/>
          </w:tcPr>
          <w:p>
            <w:pPr>
              <w:jc w:val="center"/>
              <w:rPr>
                <w:rFonts w:eastAsia="仿宋_GB2312"/>
                <w:sz w:val="24"/>
              </w:rPr>
            </w:pPr>
            <w:r>
              <w:rPr>
                <w:rFonts w:hint="eastAsia" w:eastAsia="仿宋_GB2312"/>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vAlign w:val="center"/>
          </w:tcPr>
          <w:p>
            <w:pPr>
              <w:spacing w:line="360" w:lineRule="exact"/>
              <w:jc w:val="center"/>
              <w:rPr>
                <w:rFonts w:eastAsia="仿宋_GB2312"/>
                <w:sz w:val="24"/>
              </w:rPr>
            </w:pPr>
            <w:r>
              <w:rPr>
                <w:rFonts w:hint="eastAsia" w:eastAsia="仿宋_GB2312"/>
                <w:sz w:val="24"/>
              </w:rPr>
              <w:t>建成投产项目</w:t>
            </w:r>
          </w:p>
        </w:tc>
        <w:tc>
          <w:tcPr>
            <w:tcW w:w="1082" w:type="dxa"/>
            <w:gridSpan w:val="2"/>
            <w:vAlign w:val="center"/>
          </w:tcPr>
          <w:p>
            <w:pPr>
              <w:jc w:val="center"/>
              <w:rPr>
                <w:rFonts w:eastAsia="仿宋_GB2312"/>
                <w:sz w:val="24"/>
              </w:rPr>
            </w:pPr>
            <w:r>
              <w:rPr>
                <w:rFonts w:hint="eastAsia" w:eastAsia="仿宋_GB2312"/>
                <w:sz w:val="24"/>
              </w:rPr>
              <w:t>16</w:t>
            </w:r>
          </w:p>
        </w:tc>
        <w:tc>
          <w:tcPr>
            <w:tcW w:w="3036" w:type="dxa"/>
            <w:gridSpan w:val="3"/>
            <w:vAlign w:val="center"/>
          </w:tcPr>
          <w:p>
            <w:pPr>
              <w:jc w:val="center"/>
              <w:rPr>
                <w:rFonts w:eastAsia="仿宋_GB2312"/>
                <w:sz w:val="24"/>
              </w:rPr>
            </w:pPr>
            <w:r>
              <w:rPr>
                <w:rFonts w:hint="eastAsia" w:eastAsia="仿宋_GB2312"/>
                <w:sz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609"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vAlign w:val="center"/>
          </w:tcPr>
          <w:p>
            <w:pPr>
              <w:spacing w:line="360" w:lineRule="exact"/>
              <w:jc w:val="center"/>
              <w:rPr>
                <w:rFonts w:eastAsia="仿宋_GB2312"/>
                <w:sz w:val="24"/>
              </w:rPr>
            </w:pPr>
            <w:r>
              <w:rPr>
                <w:rFonts w:hint="eastAsia" w:eastAsia="仿宋_GB2312"/>
                <w:sz w:val="24"/>
              </w:rPr>
              <w:t>引进过5亿元项目</w:t>
            </w:r>
          </w:p>
        </w:tc>
        <w:tc>
          <w:tcPr>
            <w:tcW w:w="1082" w:type="dxa"/>
            <w:gridSpan w:val="2"/>
            <w:vAlign w:val="center"/>
          </w:tcPr>
          <w:p>
            <w:pPr>
              <w:jc w:val="center"/>
              <w:rPr>
                <w:rFonts w:eastAsia="仿宋_GB2312"/>
                <w:sz w:val="24"/>
              </w:rPr>
            </w:pPr>
            <w:r>
              <w:rPr>
                <w:rFonts w:hint="eastAsia" w:eastAsia="仿宋_GB2312"/>
                <w:sz w:val="24"/>
              </w:rPr>
              <w:t>8个</w:t>
            </w:r>
          </w:p>
        </w:tc>
        <w:tc>
          <w:tcPr>
            <w:tcW w:w="3036" w:type="dxa"/>
            <w:gridSpan w:val="3"/>
            <w:vAlign w:val="center"/>
          </w:tcPr>
          <w:p>
            <w:pPr>
              <w:jc w:val="center"/>
              <w:rPr>
                <w:rFonts w:eastAsia="仿宋_GB2312"/>
                <w:sz w:val="24"/>
              </w:rPr>
            </w:pPr>
            <w:r>
              <w:rPr>
                <w:rFonts w:hint="eastAsia" w:eastAsia="仿宋_GB2312"/>
                <w:sz w:val="24"/>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vMerge w:val="restart"/>
            <w:vAlign w:val="center"/>
          </w:tcPr>
          <w:p>
            <w:pPr>
              <w:jc w:val="center"/>
              <w:rPr>
                <w:rFonts w:eastAsia="仿宋_GB2312"/>
                <w:sz w:val="24"/>
              </w:rPr>
            </w:pPr>
            <w:r>
              <w:rPr>
                <w:rFonts w:hint="eastAsia" w:eastAsia="仿宋_GB2312"/>
                <w:sz w:val="24"/>
              </w:rPr>
              <w:t>产业链建设考核排名2020年度岳阳市第一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609"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vMerge w:val="continue"/>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2518"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518"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718"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00" w:type="dxa"/>
            <w:gridSpan w:val="3"/>
            <w:vAlign w:val="center"/>
          </w:tcPr>
          <w:p>
            <w:pPr>
              <w:jc w:val="center"/>
              <w:rPr>
                <w:rFonts w:eastAsia="仿宋_GB2312"/>
                <w:sz w:val="24"/>
              </w:rPr>
            </w:pPr>
            <w:r>
              <w:rPr>
                <w:rFonts w:hint="eastAsia" w:eastAsia="仿宋_GB2312"/>
                <w:sz w:val="24"/>
              </w:rPr>
              <w:t>姓</w:t>
            </w:r>
            <w:r>
              <w:rPr>
                <w:rFonts w:hint="eastAsia" w:eastAsia="仿宋_GB2312"/>
                <w:sz w:val="24"/>
                <w:lang w:val="en-US" w:eastAsia="zh-CN"/>
              </w:rPr>
              <w:t xml:space="preserve"> </w:t>
            </w:r>
            <w:r>
              <w:rPr>
                <w:rFonts w:hint="eastAsia" w:eastAsia="仿宋_GB2312"/>
                <w:sz w:val="24"/>
              </w:rPr>
              <w:t>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00" w:type="dxa"/>
            <w:gridSpan w:val="3"/>
            <w:vAlign w:val="center"/>
          </w:tcPr>
          <w:p>
            <w:pPr>
              <w:jc w:val="center"/>
              <w:rPr>
                <w:rFonts w:eastAsia="仿宋_GB2312"/>
                <w:sz w:val="24"/>
              </w:rPr>
            </w:pPr>
            <w:r>
              <w:rPr>
                <w:rFonts w:hint="eastAsia" w:eastAsia="仿宋_GB2312"/>
                <w:sz w:val="24"/>
              </w:rPr>
              <w:t>颜</w:t>
            </w:r>
            <w:r>
              <w:rPr>
                <w:rFonts w:hint="eastAsia" w:eastAsia="仿宋_GB2312"/>
                <w:sz w:val="24"/>
                <w:lang w:val="en-US" w:eastAsia="zh-CN"/>
              </w:rPr>
              <w:t xml:space="preserve">  </w:t>
            </w:r>
            <w:r>
              <w:rPr>
                <w:rFonts w:hint="eastAsia" w:eastAsia="仿宋_GB2312"/>
                <w:sz w:val="24"/>
              </w:rPr>
              <w:t>芳</w:t>
            </w:r>
          </w:p>
        </w:tc>
        <w:tc>
          <w:tcPr>
            <w:tcW w:w="2332" w:type="dxa"/>
            <w:gridSpan w:val="4"/>
            <w:vAlign w:val="center"/>
          </w:tcPr>
          <w:p>
            <w:pPr>
              <w:jc w:val="center"/>
              <w:rPr>
                <w:rFonts w:eastAsia="仿宋_GB2312"/>
                <w:sz w:val="24"/>
              </w:rPr>
            </w:pPr>
            <w:r>
              <w:rPr>
                <w:rFonts w:hint="eastAsia" w:eastAsia="仿宋_GB2312"/>
                <w:sz w:val="24"/>
              </w:rPr>
              <w:t>产业链办副主任</w:t>
            </w:r>
          </w:p>
        </w:tc>
        <w:tc>
          <w:tcPr>
            <w:tcW w:w="1950" w:type="dxa"/>
            <w:gridSpan w:val="4"/>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00" w:type="dxa"/>
            <w:gridSpan w:val="3"/>
            <w:vAlign w:val="center"/>
          </w:tcPr>
          <w:p>
            <w:pPr>
              <w:jc w:val="center"/>
              <w:rPr>
                <w:rFonts w:eastAsia="仿宋_GB2312"/>
                <w:sz w:val="24"/>
              </w:rPr>
            </w:pPr>
            <w:r>
              <w:rPr>
                <w:rFonts w:hint="eastAsia" w:eastAsia="仿宋_GB2312"/>
                <w:sz w:val="24"/>
              </w:rPr>
              <w:t>徐</w:t>
            </w:r>
            <w:r>
              <w:rPr>
                <w:rFonts w:hint="eastAsia" w:eastAsia="仿宋_GB2312"/>
                <w:sz w:val="24"/>
                <w:lang w:val="en-US" w:eastAsia="zh-CN"/>
              </w:rPr>
              <w:t xml:space="preserve">  </w:t>
            </w:r>
            <w:r>
              <w:rPr>
                <w:rFonts w:hint="eastAsia" w:eastAsia="仿宋_GB2312"/>
                <w:sz w:val="24"/>
              </w:rPr>
              <w:t>政</w:t>
            </w:r>
          </w:p>
        </w:tc>
        <w:tc>
          <w:tcPr>
            <w:tcW w:w="2332" w:type="dxa"/>
            <w:gridSpan w:val="4"/>
            <w:vAlign w:val="center"/>
          </w:tcPr>
          <w:p>
            <w:pPr>
              <w:jc w:val="center"/>
              <w:rPr>
                <w:rFonts w:eastAsia="仿宋_GB2312"/>
                <w:sz w:val="24"/>
              </w:rPr>
            </w:pPr>
            <w:r>
              <w:rPr>
                <w:rFonts w:hint="eastAsia" w:eastAsia="仿宋_GB2312"/>
                <w:sz w:val="24"/>
              </w:rPr>
              <w:t>会</w:t>
            </w:r>
            <w:r>
              <w:rPr>
                <w:rFonts w:hint="eastAsia" w:eastAsia="仿宋_GB2312"/>
                <w:sz w:val="24"/>
                <w:lang w:val="en-US" w:eastAsia="zh-CN"/>
              </w:rPr>
              <w:t xml:space="preserve">  </w:t>
            </w:r>
            <w:r>
              <w:rPr>
                <w:rFonts w:hint="eastAsia" w:eastAsia="仿宋_GB2312"/>
                <w:sz w:val="24"/>
              </w:rPr>
              <w:t>计</w:t>
            </w:r>
          </w:p>
        </w:tc>
        <w:tc>
          <w:tcPr>
            <w:tcW w:w="1950" w:type="dxa"/>
            <w:gridSpan w:val="4"/>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00" w:type="dxa"/>
            <w:gridSpan w:val="3"/>
            <w:vAlign w:val="center"/>
          </w:tcPr>
          <w:p>
            <w:pPr>
              <w:jc w:val="center"/>
              <w:rPr>
                <w:rFonts w:eastAsia="仿宋_GB2312"/>
                <w:sz w:val="24"/>
              </w:rPr>
            </w:pPr>
            <w:r>
              <w:rPr>
                <w:rFonts w:hint="eastAsia" w:eastAsia="仿宋_GB2312"/>
                <w:sz w:val="24"/>
              </w:rPr>
              <w:t>杨尚鸿</w:t>
            </w:r>
          </w:p>
        </w:tc>
        <w:tc>
          <w:tcPr>
            <w:tcW w:w="2332" w:type="dxa"/>
            <w:gridSpan w:val="4"/>
            <w:vAlign w:val="center"/>
          </w:tcPr>
          <w:p>
            <w:pPr>
              <w:jc w:val="center"/>
              <w:rPr>
                <w:rFonts w:hint="default" w:eastAsia="仿宋_GB2312"/>
                <w:sz w:val="24"/>
                <w:lang w:val="en-US" w:eastAsia="zh-CN"/>
              </w:rPr>
            </w:pPr>
            <w:r>
              <w:rPr>
                <w:rFonts w:hint="eastAsia" w:eastAsia="仿宋_GB2312"/>
                <w:sz w:val="24"/>
                <w:lang w:val="en-US" w:eastAsia="zh-CN"/>
              </w:rPr>
              <w:t>专职联络员</w:t>
            </w:r>
          </w:p>
        </w:tc>
        <w:tc>
          <w:tcPr>
            <w:tcW w:w="1950" w:type="dxa"/>
            <w:gridSpan w:val="4"/>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exact"/>
          <w:jc w:val="center"/>
        </w:trPr>
        <w:tc>
          <w:tcPr>
            <w:tcW w:w="9718"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718"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718"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exact"/>
          <w:jc w:val="center"/>
        </w:trPr>
        <w:tc>
          <w:tcPr>
            <w:tcW w:w="9718"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徐政               联系电话：13787840371</w:t>
      </w:r>
    </w:p>
    <w:p>
      <w:pPr>
        <w:spacing w:line="540" w:lineRule="exact"/>
        <w:jc w:val="center"/>
        <w:rPr>
          <w:rFonts w:ascii="方正小标宋简体" w:hAnsi="方正小标" w:eastAsia="方正小标宋简体" w:cs="方正小标"/>
          <w:b/>
          <w:bCs/>
          <w:sz w:val="44"/>
          <w:szCs w:val="44"/>
        </w:rPr>
      </w:pPr>
      <w:r>
        <w:rPr>
          <w:rFonts w:hint="eastAsia" w:ascii="方正小标宋简体" w:hAnsi="方正小标" w:eastAsia="方正小标宋简体" w:cs="方正小标"/>
          <w:b/>
          <w:bCs/>
          <w:sz w:val="44"/>
          <w:szCs w:val="44"/>
        </w:rPr>
        <w:t>华容县工业新兴优势产业链</w:t>
      </w:r>
    </w:p>
    <w:p>
      <w:pPr>
        <w:spacing w:line="540" w:lineRule="exact"/>
        <w:jc w:val="center"/>
        <w:rPr>
          <w:rFonts w:ascii="方正小标宋简体" w:hAnsi="方正小标" w:eastAsia="方正小标宋简体" w:cs="方正小标"/>
          <w:b/>
          <w:bCs/>
          <w:sz w:val="44"/>
          <w:szCs w:val="44"/>
        </w:rPr>
      </w:pPr>
      <w:r>
        <w:rPr>
          <w:rFonts w:hint="eastAsia" w:ascii="方正小标宋简体" w:hAnsi="方正小标" w:eastAsia="方正小标宋简体" w:cs="方正小标"/>
          <w:b/>
          <w:bCs/>
          <w:sz w:val="44"/>
          <w:szCs w:val="44"/>
        </w:rPr>
        <w:t>2020年工作经费绩效评价报告</w:t>
      </w:r>
    </w:p>
    <w:p>
      <w:pPr>
        <w:rPr>
          <w:rFonts w:ascii="黑体" w:hAnsi="黑体" w:eastAsia="黑体"/>
          <w:sz w:val="32"/>
          <w:szCs w:val="32"/>
        </w:rPr>
      </w:pP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一、项目基本情况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省委省政府、市委市政府关于加快推进产业链发展的决策部署，我县于2019年底前就先后组织召开了县政府常务会议、县委常委会议进行专题研究，审议并印发了《华容县加快推进工业新兴优势产业链发展实施方案》（华办〔2020〕1号）。文件明确要求：成立县工业新兴优势产业链领导小组，领导小组下设办公室（设县工信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1月，我县专门成立了工业新兴优势产业链领导小组，领导小组下设办公室，由县委组织部从县委政法委、县委宣传部抽调了2名同志专职负责；并设立了纺织服装、通用设备制造、医药制造、食品加工等4个产业链链办，分别由县工信局、县贸促会、县工业集中区管委会、县蔬菜产业服务中心等4条产业链牵头责任单位抽调人员专职负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此同时，按照《2020年全市新兴优势产业链建设工作要点》（岳政办函〔2020〕15号）、《华容县加快推进工业新兴优势产业链发展实施方案》（华办〔2020〕1号）等文件要求，由县财政拨付了日常工作经费50万元（其中：县工业新兴优势产业链领导小组办公室&lt;</w:t>
      </w:r>
      <w:r>
        <w:rPr>
          <w:rFonts w:hint="eastAsia" w:ascii="仿宋_GB2312" w:hAnsi="仿宋_GB2312" w:eastAsia="仿宋_GB2312" w:cs="仿宋_GB2312"/>
          <w:sz w:val="32"/>
          <w:szCs w:val="32"/>
          <w:lang w:val="en-US" w:eastAsia="zh-CN"/>
        </w:rPr>
        <w:t>设工信局</w:t>
      </w:r>
      <w:r>
        <w:rPr>
          <w:rFonts w:hint="eastAsia" w:ascii="仿宋_GB2312" w:hAnsi="仿宋_GB2312" w:eastAsia="仿宋_GB2312" w:cs="仿宋_GB2312"/>
          <w:sz w:val="32"/>
          <w:szCs w:val="32"/>
        </w:rPr>
        <w:t>&gt;18万元，纺织服装产业链链办&lt;</w:t>
      </w:r>
      <w:r>
        <w:rPr>
          <w:rFonts w:hint="eastAsia" w:ascii="仿宋_GB2312" w:hAnsi="仿宋_GB2312" w:eastAsia="仿宋_GB2312" w:cs="仿宋_GB2312"/>
          <w:sz w:val="32"/>
          <w:szCs w:val="32"/>
          <w:lang w:val="en-US" w:eastAsia="zh-CN"/>
        </w:rPr>
        <w:t>设工信局</w:t>
      </w:r>
      <w:r>
        <w:rPr>
          <w:rFonts w:hint="eastAsia" w:ascii="仿宋_GB2312" w:hAnsi="仿宋_GB2312" w:eastAsia="仿宋_GB2312" w:cs="仿宋_GB2312"/>
          <w:sz w:val="32"/>
          <w:szCs w:val="32"/>
        </w:rPr>
        <w:t>&gt;8万元，通用设备制造产业链链办&lt;</w:t>
      </w:r>
      <w:r>
        <w:rPr>
          <w:rFonts w:hint="eastAsia" w:ascii="仿宋_GB2312" w:hAnsi="仿宋_GB2312" w:eastAsia="仿宋_GB2312" w:cs="仿宋_GB2312"/>
          <w:sz w:val="32"/>
          <w:szCs w:val="32"/>
          <w:lang w:val="en-US" w:eastAsia="zh-CN"/>
        </w:rPr>
        <w:t>设贸促会</w:t>
      </w:r>
      <w:r>
        <w:rPr>
          <w:rFonts w:hint="eastAsia" w:ascii="仿宋_GB2312" w:hAnsi="仿宋_GB2312" w:eastAsia="仿宋_GB2312" w:cs="仿宋_GB2312"/>
          <w:sz w:val="32"/>
          <w:szCs w:val="32"/>
        </w:rPr>
        <w:t>&gt;8万元，食品加工产业链链办&lt;</w:t>
      </w:r>
      <w:r>
        <w:rPr>
          <w:rFonts w:hint="eastAsia" w:ascii="仿宋_GB2312" w:hAnsi="仿宋_GB2312" w:eastAsia="仿宋_GB2312" w:cs="仿宋_GB2312"/>
          <w:sz w:val="32"/>
          <w:szCs w:val="32"/>
          <w:lang w:val="en-US" w:eastAsia="zh-CN"/>
        </w:rPr>
        <w:t>设蔬菜产业服务中心</w:t>
      </w:r>
      <w:r>
        <w:rPr>
          <w:rFonts w:hint="eastAsia" w:ascii="仿宋_GB2312" w:hAnsi="仿宋_GB2312" w:eastAsia="仿宋_GB2312" w:cs="仿宋_GB2312"/>
          <w:sz w:val="32"/>
          <w:szCs w:val="32"/>
        </w:rPr>
        <w:t>&gt;8万元、医药卫材产业链链办&lt;</w:t>
      </w:r>
      <w:r>
        <w:rPr>
          <w:rFonts w:hint="eastAsia" w:ascii="仿宋_GB2312" w:hAnsi="仿宋_GB2312" w:eastAsia="仿宋_GB2312" w:cs="仿宋_GB2312"/>
          <w:sz w:val="32"/>
          <w:szCs w:val="32"/>
          <w:lang w:val="en-US" w:eastAsia="zh-CN"/>
        </w:rPr>
        <w:t>设工业集中区管委会</w:t>
      </w:r>
      <w:r>
        <w:rPr>
          <w:rFonts w:hint="eastAsia" w:ascii="仿宋_GB2312" w:hAnsi="仿宋_GB2312" w:eastAsia="仿宋_GB2312" w:cs="仿宋_GB2312"/>
          <w:sz w:val="32"/>
          <w:szCs w:val="32"/>
        </w:rPr>
        <w:t>&gt;8万元）</w:t>
      </w:r>
      <w:bookmarkStart w:id="0" w:name="_GoBack"/>
      <w:bookmarkEnd w:id="0"/>
      <w:r>
        <w:rPr>
          <w:rFonts w:hint="eastAsia" w:ascii="仿宋_GB2312" w:hAnsi="仿宋_GB2312" w:eastAsia="仿宋_GB2312" w:cs="仿宋_GB2312"/>
          <w:sz w:val="32"/>
          <w:szCs w:val="32"/>
        </w:rPr>
        <w:t>。</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二、项目资金使用及管理情况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工业新兴优势产业链领导小组办公室及纺织服装产业链办公室（2个办公室均设在县工信局）日常工作经费26万元，总共花费25.9965万元。具体使用情况如下：①办公室桌椅、电脑、打印机等基础配套费用15908元；②文印费用137284元（含工作专报、调研报告、出台文件、日常打印、会议组织）；③差旅费用（含下乡）8840元；④加班工作餐费用6661元；⑤广告宣传费用80272元；⑥其余费用11000（含</w:t>
      </w:r>
      <w:r>
        <w:rPr>
          <w:rFonts w:hint="eastAsia" w:ascii="仿宋_GB2312" w:hAnsi="仿宋_GB2312" w:eastAsia="仿宋_GB2312" w:cs="仿宋_GB2312"/>
          <w:sz w:val="32"/>
          <w:szCs w:val="32"/>
          <w:lang w:val="en-US" w:eastAsia="zh-CN"/>
        </w:rPr>
        <w:t>会议用</w:t>
      </w:r>
      <w:r>
        <w:rPr>
          <w:rFonts w:hint="eastAsia" w:ascii="仿宋_GB2312" w:hAnsi="仿宋_GB2312" w:eastAsia="仿宋_GB2312" w:cs="仿宋_GB2312"/>
          <w:sz w:val="32"/>
          <w:szCs w:val="32"/>
        </w:rPr>
        <w:t>茶、文具消耗品）。</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三、项目组织实施情况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县工业新兴优势产业链领导小组办公室统筹4个产业链办公室，精准落实上级各项要求，日常基础、产业链招商、项目推进、综合协调、对外宣传等各项工作。特别是过去一年，全县共引进涉产业链项目20个（其中过5亿元项目8个），开工建设项目20个，建成投产项目16个；同时，高效完成了“两图、两库、两报告、一册、一计划”及各级情况汇报，制发《工作专报》16期，在学习强国、中新社、新湖南等中央、省、市主流媒体刊发外宣文稿30余篇。</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四、综合评价情况及评价结论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岳阳市</w:t>
      </w:r>
      <w:r>
        <w:rPr>
          <w:rFonts w:hint="eastAsia" w:ascii="仿宋_GB2312" w:hAnsi="仿宋_GB2312" w:eastAsia="仿宋_GB2312" w:cs="仿宋_GB2312"/>
          <w:sz w:val="32"/>
          <w:szCs w:val="32"/>
        </w:rPr>
        <w:t>产业链建设考核排名2020年度</w:t>
      </w: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rPr>
        <w:t>市第一。</w:t>
      </w:r>
    </w:p>
    <w:p>
      <w:pPr>
        <w:numPr>
          <w:ilvl w:val="0"/>
          <w:numId w:val="1"/>
        </w:num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主要经验及做法、存在问题和建议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主要有以下问题：</w:t>
      </w:r>
      <w:r>
        <w:rPr>
          <w:rFonts w:hint="eastAsia" w:ascii="仿宋_GB2312" w:hAnsi="仿宋_GB2312" w:eastAsia="仿宋_GB2312" w:cs="仿宋_GB2312"/>
          <w:bCs/>
          <w:sz w:val="32"/>
          <w:szCs w:val="32"/>
        </w:rPr>
        <w:t>一是链条不够完整</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华容县是典型的粮、棉、油、菜生产大县，是资源主导型工业，传统产业比重大，而且部分企业生产处于产业链中低端，产品单一、附加值不高，市场竞争力不强。</w:t>
      </w:r>
      <w:r>
        <w:rPr>
          <w:rFonts w:hint="eastAsia" w:ascii="仿宋_GB2312" w:hAnsi="仿宋_GB2312" w:eastAsia="仿宋_GB2312" w:cs="仿宋_GB2312"/>
          <w:bCs/>
          <w:sz w:val="32"/>
          <w:szCs w:val="32"/>
        </w:rPr>
        <w:t>二是要素制约明显</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资金方面，政府财政困难，项目落地配套资金紧张，影响项目落地，与此同时，部分企业扩能改造后，流动资金刚性需求增加，特别是农产品加工企业季节性收购资金短缺，运转较为艰难；用工方面，纺织服装、食品加工等劳动密集性企业招工困难；用地方面，项目用地指标限制等要素制约因素仍未彻底消除，影响企业生产经营和项目建设。</w:t>
      </w:r>
      <w:r>
        <w:rPr>
          <w:rFonts w:hint="eastAsia" w:ascii="仿宋_GB2312" w:hAnsi="仿宋_GB2312" w:eastAsia="仿宋_GB2312" w:cs="仿宋_GB2312"/>
          <w:bCs/>
          <w:sz w:val="32"/>
          <w:szCs w:val="32"/>
        </w:rPr>
        <w:t>三是创新能力不足</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部分企业在技术创新上重视不够，资金、人才投入上相对不足；此外，部分企业对现有人才使用效率相对较低，科技人才队伍整体素质不够高。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2021年，市委市政府提出“三区一中心”战略，特别是将县（市）区产业链建设工作继续纳入了综合绩效考评，并赋予较高分值；同时，市产业链领导小组办最近下发了《2021年全市产业链建设工作要点》（岳链办发〔2021〕1号），明确要求“县（市）区财政每年统筹安排相应专项工作经费，重点保障产业链领导小组办公室和各产业链办公室工作开展”。目前，产业链各项工作推进压力很大，各产业链办公室运转艰难，均亟需经费保障。</w:t>
      </w:r>
    </w:p>
    <w:p>
      <w:pPr>
        <w:rPr>
          <w:rFonts w:ascii="黑体" w:hAnsi="黑体" w:eastAsia="黑体" w:cs="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270"/>
        <w:gridCol w:w="4290"/>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二级指标</w:t>
            </w:r>
          </w:p>
        </w:tc>
        <w:tc>
          <w:tcPr>
            <w:tcW w:w="127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三级指标</w:t>
            </w:r>
          </w:p>
        </w:tc>
        <w:tc>
          <w:tcPr>
            <w:tcW w:w="429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1"/>
                <w:szCs w:val="21"/>
              </w:rPr>
            </w:pPr>
            <w:r>
              <w:rPr>
                <w:rFonts w:hint="eastAsia" w:ascii="仿宋_GB2312" w:hAnsi="宋体" w:eastAsia="仿宋_GB2312" w:cs="宋体"/>
                <w:b/>
                <w:bCs/>
                <w:kern w:val="0"/>
                <w:sz w:val="21"/>
                <w:szCs w:val="21"/>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21"/>
                <w:szCs w:val="21"/>
              </w:rPr>
            </w:pPr>
            <w:r>
              <w:rPr>
                <w:rFonts w:hint="eastAsia" w:ascii="仿宋_GB2312" w:hAnsi="宋体" w:eastAsia="仿宋_GB2312" w:cs="宋体"/>
                <w:b/>
                <w:bCs/>
                <w:spacing w:val="-10"/>
                <w:kern w:val="0"/>
                <w:sz w:val="21"/>
                <w:szCs w:val="21"/>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投  入</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（15分）</w:t>
            </w:r>
          </w:p>
        </w:tc>
        <w:tc>
          <w:tcPr>
            <w:tcW w:w="939"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预算配置</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（15分）</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财政供养人员</w:t>
            </w:r>
          </w:p>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控制率</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以100%为标准。在职人员控制率</w:t>
            </w:r>
            <w:r>
              <w:rPr>
                <w:rFonts w:hint="eastAsia" w:ascii="宋体" w:hAnsi="宋体" w:cs="宋体"/>
                <w:kern w:val="0"/>
                <w:sz w:val="21"/>
                <w:szCs w:val="21"/>
              </w:rPr>
              <w:t>≦</w:t>
            </w:r>
            <w:r>
              <w:rPr>
                <w:rFonts w:hint="eastAsia" w:ascii="仿宋_GB2312" w:hAnsi="宋体" w:eastAsia="仿宋_GB2312" w:cs="宋体"/>
                <w:kern w:val="0"/>
                <w:sz w:val="21"/>
                <w:szCs w:val="21"/>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0</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超编</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“三公经费”</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变动率</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“三公经费”变动率</w:t>
            </w:r>
            <w:r>
              <w:rPr>
                <w:rFonts w:hint="eastAsia" w:ascii="宋体" w:hAnsi="宋体" w:cs="宋体"/>
                <w:kern w:val="0"/>
                <w:sz w:val="21"/>
                <w:szCs w:val="21"/>
              </w:rPr>
              <w:t>≦</w:t>
            </w:r>
            <w:r>
              <w:rPr>
                <w:rFonts w:hint="eastAsia" w:ascii="仿宋_GB2312" w:hAnsi="宋体" w:eastAsia="仿宋_GB2312" w:cs="宋体"/>
                <w:kern w:val="0"/>
                <w:sz w:val="21"/>
                <w:szCs w:val="21"/>
              </w:rPr>
              <w:t>0,计5分；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重点支出</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安排率</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86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过  程</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（40分）</w:t>
            </w:r>
          </w:p>
        </w:tc>
        <w:tc>
          <w:tcPr>
            <w:tcW w:w="939"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预算执行</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（15分）</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预算调整率</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支付进度</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资金结余</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有结余</w:t>
            </w: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“三公经费”</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控制率</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以100%为标准。三公经费控制率</w:t>
            </w:r>
            <w:r>
              <w:rPr>
                <w:rFonts w:hint="eastAsia" w:ascii="宋体" w:hAnsi="宋体" w:cs="宋体"/>
                <w:kern w:val="0"/>
                <w:sz w:val="21"/>
                <w:szCs w:val="21"/>
              </w:rPr>
              <w:t>≦</w:t>
            </w:r>
            <w:r>
              <w:rPr>
                <w:rFonts w:hint="eastAsia" w:ascii="仿宋_GB2312" w:hAnsi="宋体" w:eastAsia="仿宋_GB2312" w:cs="宋体"/>
                <w:kern w:val="0"/>
                <w:sz w:val="21"/>
                <w:szCs w:val="21"/>
              </w:rPr>
              <w:t>100%，计6分；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100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预算管理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（15分）</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管理制度</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健全性</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①已制定或具有预算资金管理办法，内部财务管理制度、会计核算制度等管理制度，1分；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②相关管理制度合法、合规、完整，1分；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资金使用</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合规性</w:t>
            </w:r>
          </w:p>
        </w:tc>
        <w:tc>
          <w:tcPr>
            <w:tcW w:w="42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①支出符合国家财经法规和财务管理制度规定以及有关专项资金管理办法的规定；</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②资金拨付有完整的审批程序和手续；</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③项目支出按规定经过评估论证；</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④支出符合部门预算批复的用途；</w:t>
            </w:r>
            <w:r>
              <w:rPr>
                <w:rFonts w:hint="eastAsia" w:ascii="仿宋_GB2312" w:hAnsi="宋体" w:eastAsia="仿宋_GB2312" w:cs="宋体"/>
                <w:kern w:val="0"/>
                <w:sz w:val="21"/>
                <w:szCs w:val="21"/>
              </w:rPr>
              <w:br w:type="textWrapping"/>
            </w:r>
            <w:r>
              <w:rPr>
                <w:rFonts w:hint="eastAsia" w:ascii="仿宋_GB2312" w:hAnsi="宋体" w:eastAsia="仿宋_GB2312" w:cs="宋体"/>
                <w:spacing w:val="-6"/>
                <w:kern w:val="0"/>
                <w:sz w:val="21"/>
                <w:szCs w:val="21"/>
              </w:rPr>
              <w:t>⑤资金使用无截留、挤占、挪用、虚列支出等情况。</w:t>
            </w:r>
            <w:r>
              <w:rPr>
                <w:rFonts w:hint="eastAsia" w:ascii="仿宋_GB2312" w:hAnsi="宋体" w:eastAsia="仿宋_GB2312" w:cs="宋体"/>
                <w:spacing w:val="-6"/>
                <w:kern w:val="0"/>
                <w:sz w:val="21"/>
                <w:szCs w:val="21"/>
              </w:rPr>
              <w:br w:type="textWrapping"/>
            </w:r>
            <w:r>
              <w:rPr>
                <w:rFonts w:hint="eastAsia" w:ascii="仿宋_GB2312" w:hAnsi="宋体" w:eastAsia="仿宋_GB2312" w:cs="宋体"/>
                <w:spacing w:val="-6"/>
                <w:kern w:val="0"/>
                <w:sz w:val="21"/>
                <w:szCs w:val="21"/>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预决算信息公开性和完善性</w:t>
            </w:r>
          </w:p>
        </w:tc>
        <w:tc>
          <w:tcPr>
            <w:tcW w:w="42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①按规定内容公开预决算信息，1分；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②按规定时限公开预决算信息，0.5分；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③基础数据信息和会计信息资料真实，0.5分；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④基础数据信息和会计信息资料完整，0.5分；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21"/>
                <w:szCs w:val="21"/>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2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政府采购</w:t>
            </w:r>
          </w:p>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执行率</w:t>
            </w:r>
          </w:p>
        </w:tc>
        <w:tc>
          <w:tcPr>
            <w:tcW w:w="42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政府采购执行率等于100%的，得3分；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79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21"/>
                <w:szCs w:val="21"/>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p>
        </w:tc>
        <w:tc>
          <w:tcPr>
            <w:tcW w:w="12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公务卡刷卡率</w:t>
            </w:r>
          </w:p>
        </w:tc>
        <w:tc>
          <w:tcPr>
            <w:tcW w:w="42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公务卡刷卡率达70％以上的，得3分。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9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21"/>
                <w:szCs w:val="21"/>
              </w:rPr>
            </w:pPr>
          </w:p>
        </w:tc>
        <w:tc>
          <w:tcPr>
            <w:tcW w:w="93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资产管理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（10分）</w:t>
            </w:r>
          </w:p>
        </w:tc>
        <w:tc>
          <w:tcPr>
            <w:tcW w:w="12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管理制度</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健全性</w:t>
            </w:r>
          </w:p>
        </w:tc>
        <w:tc>
          <w:tcPr>
            <w:tcW w:w="42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仿宋_GB2312" w:hAnsi="宋体" w:eastAsia="仿宋_GB2312" w:cs="宋体"/>
                <w:kern w:val="0"/>
                <w:sz w:val="21"/>
                <w:szCs w:val="21"/>
              </w:rPr>
            </w:pPr>
            <w:r>
              <w:rPr>
                <w:rFonts w:hint="eastAsia" w:ascii="仿宋_GB2312" w:hAnsi="宋体" w:eastAsia="仿宋_GB2312" w:cs="宋体"/>
                <w:kern w:val="0"/>
                <w:sz w:val="21"/>
                <w:szCs w:val="21"/>
              </w:rPr>
              <w:t>①已制定或具有资产管理制度，且相关资产管理制度合法、合规、完整，2分；</w:t>
            </w:r>
            <w:r>
              <w:rPr>
                <w:rFonts w:hint="eastAsia" w:ascii="仿宋_GB2312" w:hAnsi="宋体" w:eastAsia="仿宋_GB2312" w:cs="宋体"/>
                <w:kern w:val="0"/>
                <w:sz w:val="21"/>
                <w:szCs w:val="21"/>
              </w:rPr>
              <w:br w:type="textWrapping"/>
            </w:r>
            <w:r>
              <w:rPr>
                <w:rFonts w:hint="eastAsia" w:ascii="仿宋_GB2312" w:hAnsi="宋体" w:eastAsia="仿宋_GB2312" w:cs="宋体"/>
                <w:kern w:val="0"/>
                <w:sz w:val="21"/>
                <w:szCs w:val="21"/>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1"/>
                <w:szCs w:val="21"/>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426"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92</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1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pStyle w:val="10"/>
              <w:widowControl/>
              <w:numPr>
                <w:ilvl w:val="0"/>
                <w:numId w:val="2"/>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86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95</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247" w:right="1588" w:bottom="1077"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小标">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8B440"/>
    <w:multiLevelType w:val="singleLevel"/>
    <w:tmpl w:val="3C18B440"/>
    <w:lvl w:ilvl="0" w:tentative="0">
      <w:start w:val="5"/>
      <w:numFmt w:val="chineseCounting"/>
      <w:suff w:val="nothing"/>
      <w:lvlText w:val="%1、"/>
      <w:lvlJc w:val="left"/>
      <w:rPr>
        <w:rFonts w:hint="eastAsia"/>
      </w:rPr>
    </w:lvl>
  </w:abstractNum>
  <w:abstractNum w:abstractNumId="1">
    <w:nsid w:val="57B03B5C"/>
    <w:multiLevelType w:val="multilevel"/>
    <w:tmpl w:val="57B03B5C"/>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5729C"/>
    <w:rsid w:val="000939C0"/>
    <w:rsid w:val="000973BF"/>
    <w:rsid w:val="000D672C"/>
    <w:rsid w:val="000F2ED1"/>
    <w:rsid w:val="0010277C"/>
    <w:rsid w:val="00173D7D"/>
    <w:rsid w:val="00207338"/>
    <w:rsid w:val="002243E1"/>
    <w:rsid w:val="002522CF"/>
    <w:rsid w:val="002C10C6"/>
    <w:rsid w:val="002C57CD"/>
    <w:rsid w:val="003B6432"/>
    <w:rsid w:val="003E7EC0"/>
    <w:rsid w:val="00447DB7"/>
    <w:rsid w:val="004E27F8"/>
    <w:rsid w:val="00504301"/>
    <w:rsid w:val="00542E20"/>
    <w:rsid w:val="0059101E"/>
    <w:rsid w:val="005B7C30"/>
    <w:rsid w:val="006C5928"/>
    <w:rsid w:val="006E52C9"/>
    <w:rsid w:val="00720700"/>
    <w:rsid w:val="007B2063"/>
    <w:rsid w:val="007B4D41"/>
    <w:rsid w:val="009B7736"/>
    <w:rsid w:val="009E5F0D"/>
    <w:rsid w:val="00AC19E2"/>
    <w:rsid w:val="00AC6A7F"/>
    <w:rsid w:val="00AE7370"/>
    <w:rsid w:val="00B46A0C"/>
    <w:rsid w:val="00B95F42"/>
    <w:rsid w:val="00BC4B6D"/>
    <w:rsid w:val="00C33C09"/>
    <w:rsid w:val="00C8469F"/>
    <w:rsid w:val="00CA0B84"/>
    <w:rsid w:val="00D05403"/>
    <w:rsid w:val="00D21724"/>
    <w:rsid w:val="00D66D2C"/>
    <w:rsid w:val="00DF371B"/>
    <w:rsid w:val="00DF5D2B"/>
    <w:rsid w:val="00E478EE"/>
    <w:rsid w:val="00E755F2"/>
    <w:rsid w:val="00E90307"/>
    <w:rsid w:val="00ED247C"/>
    <w:rsid w:val="00F20439"/>
    <w:rsid w:val="046B332F"/>
    <w:rsid w:val="083749E7"/>
    <w:rsid w:val="0DE528CD"/>
    <w:rsid w:val="176E32A5"/>
    <w:rsid w:val="18725427"/>
    <w:rsid w:val="254E2FC7"/>
    <w:rsid w:val="263C173A"/>
    <w:rsid w:val="2CA33441"/>
    <w:rsid w:val="2CE55C20"/>
    <w:rsid w:val="2F287302"/>
    <w:rsid w:val="30426D13"/>
    <w:rsid w:val="3A43255A"/>
    <w:rsid w:val="3D6201A1"/>
    <w:rsid w:val="3EC46785"/>
    <w:rsid w:val="3F8A6044"/>
    <w:rsid w:val="46B639C6"/>
    <w:rsid w:val="477245B4"/>
    <w:rsid w:val="49D104D4"/>
    <w:rsid w:val="4E4F0BB0"/>
    <w:rsid w:val="560E7925"/>
    <w:rsid w:val="58665259"/>
    <w:rsid w:val="5BE95901"/>
    <w:rsid w:val="6A0A15CD"/>
    <w:rsid w:val="6DF352BD"/>
    <w:rsid w:val="70041F16"/>
    <w:rsid w:val="705D5A54"/>
    <w:rsid w:val="705E3E6D"/>
    <w:rsid w:val="71C1048A"/>
    <w:rsid w:val="73F35F5B"/>
    <w:rsid w:val="79C04582"/>
    <w:rsid w:val="7D1F0DA2"/>
    <w:rsid w:val="7EAA568E"/>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A18F0-7C97-4D42-BFC5-2BBE9F8A3676}">
  <ds:schemaRefs/>
</ds:datastoreItem>
</file>

<file path=docProps/app.xml><?xml version="1.0" encoding="utf-8"?>
<Properties xmlns="http://schemas.openxmlformats.org/officeDocument/2006/extended-properties" xmlns:vt="http://schemas.openxmlformats.org/officeDocument/2006/docPropsVTypes">
  <Template>Normal</Template>
  <Pages>23</Pages>
  <Words>1977</Words>
  <Characters>11275</Characters>
  <Lines>93</Lines>
  <Paragraphs>26</Paragraphs>
  <TotalTime>1</TotalTime>
  <ScaleCrop>false</ScaleCrop>
  <LinksUpToDate>false</LinksUpToDate>
  <CharactersWithSpaces>13226</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lenovo2</cp:lastModifiedBy>
  <cp:lastPrinted>2021-08-02T03:27:24Z</cp:lastPrinted>
  <dcterms:modified xsi:type="dcterms:W3CDTF">2021-08-02T03:27:26Z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02260789AB48410A87B320BAE5917EC6</vt:lpwstr>
  </property>
</Properties>
</file>