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华容县机关事务服务中心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132001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月  </w:t>
      </w:r>
      <w:r>
        <w:rPr>
          <w:rFonts w:hint="eastAsia" w:eastAsia="仿宋_GB2312"/>
          <w:sz w:val="32"/>
          <w:lang w:val="en-US" w:eastAsia="zh-CN"/>
        </w:rPr>
        <w:t>19</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11"/>
        <w:gridCol w:w="101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赵丽珍</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13874067028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主要负责全县接待工作以及四大家重要接待活动；负责全县公务用车的购置、更新、维修、调配、使用、处置等工作并协助做好公务用车监督检查工作；负责县四大家机关后勤和物业服务工作；负责全县公共机构节约能源资源管理工作；负责全县行政事业单位国有资产及其经营性资产管理及办公用房集中统一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任务1：负责全县接待工作以及四大家重要接待活动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任务2：负责全县公务用车的购置、更新、维修、调配、使用、处置等工作并协助做好公务用车监督检查工作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任务3：负责县四大家机关后勤和物业服务工作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任务4：负责全县办公用房和公共机构节约能源资源管理工作</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接待工作充分发挥了招商引资等“窗口”“桥梁”作用，改善了县域经济；有效合理使用公务车辆，节约费用，消除安全隐患；机关后勤工作展示机关精神风貌、文明程度和管理水平的窗口；办公用房和国有资产降低办公用房维修、办公设备、公车配置支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6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6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1676.05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1676.05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975.24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975.24</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700.81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700.81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1684.30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501.35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250.69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250.66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1182.94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993.31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411.43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203.83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207.6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581.88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690.99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43.06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601.06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283.27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60.35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173.07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49.85</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283.27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60.35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173.07</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49.85</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3495.6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3479.46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16.14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目标1：按质按量完成全县各项接待工作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目标2：加强公车管理，合理调派公车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目标3：搞好办公用房的管理和节能排工作，加强对机关后勤的基本建设、服务、安保等工作。：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基本完成了各项工作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sz w:val="24"/>
              </w:rPr>
              <w:t>指标1：全县机要通信、应急、调研接待、行政执法严格管理。</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指标2：</w:t>
            </w:r>
            <w:r>
              <w:rPr>
                <w:rFonts w:hint="eastAsia" w:ascii="仿宋" w:hAnsi="仿宋" w:eastAsia="仿宋" w:cs="仿宋"/>
                <w:sz w:val="24"/>
              </w:rPr>
              <w:t>简化礼仪的基础上，转变服务方式，重点突出“细节化、个性化、本土化”服务。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rPr>
              <w:t xml:space="preserve">指标1：完成省、市接待任务情况。  </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指标2：</w:t>
            </w:r>
            <w:r>
              <w:rPr>
                <w:rFonts w:hint="eastAsia" w:ascii="仿宋" w:hAnsi="仿宋" w:eastAsia="仿宋" w:cs="仿宋"/>
                <w:color w:val="000000"/>
                <w:kern w:val="0"/>
                <w:sz w:val="24"/>
              </w:rPr>
              <w:t>全年完成出车情况</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指标3：四大家机关正常运转提供服务保障的基础性的工作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指标1：出车应急管理信息报送是否及时准确，突发事件处置是否到位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指标2：对上级的重要批示及时办结回复及妥善处理。</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指标2：降低办公用房维修支出和办公设备、公车配置支出。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rPr>
              <w:t xml:space="preserve">指标1：承担中央、省市重大接待活动或中心工作，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 </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指标2：办公用房维修支出降低百分比20-30%；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指标1：加强与接待对象的联系，积极宣传介绍“华容芥菜”等农业产品的宣传。 </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指标2：科学决策、执行有效的运行机制和节能减排长效机制强化管理体系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指标1：指标：积极宣传了华容特色农产品的宣传。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指标2：节能工作格局节约用电、用水、降低油材料消耗等，逐步实行环保型社会，争取在在202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 xml:space="preserve">年基础上实现能耗 降低10%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ascii="仿宋" w:hAnsi="仿宋" w:eastAsia="仿宋" w:cs="仿宋"/>
                <w:color w:val="000000"/>
                <w:kern w:val="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kern w:val="0"/>
                <w:sz w:val="24"/>
              </w:rPr>
              <w:t>协助县委县政府做好培育生态文化、学习文化、法治文化和责任文化，为公众创造良好的生存环境。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指标2：争取在在202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 xml:space="preserve">年基础上实现能耗 降低10% </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widowControl/>
              <w:jc w:val="left"/>
              <w:textAlignment w:val="center"/>
              <w:rPr>
                <w:rFonts w:ascii="仿宋" w:hAnsi="仿宋" w:eastAsia="仿宋" w:cs="仿宋"/>
                <w:color w:val="000000"/>
                <w:kern w:val="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kern w:val="0"/>
                <w:sz w:val="24"/>
              </w:rPr>
              <w:t>协助做好县委县政府外联协调工作，速进了县域经济。</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指标2</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加强能源管理，降低消耗、制止浪费，社会公众满意率达96%</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基本满意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陈兴</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陈兴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张蕊</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张蕊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朱本炎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朱本炎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李向学</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机关事务服务中心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李向学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19</w:t>
            </w:r>
            <w:r>
              <w:rPr>
                <w:rFonts w:hint="eastAsia" w:ascii="仿宋_GB2312" w:hAnsi="仿宋_GB2312" w:eastAsia="仿宋_GB2312" w:cs="仿宋_GB2312"/>
                <w:color w:val="000000"/>
                <w:sz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lang w:eastAsia="zh-CN"/>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19</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赵丽珍</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13787841896</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adjustRightInd w:val="0"/>
              <w:snapToGrid w:val="0"/>
              <w:spacing w:line="59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val="en-US" w:eastAsia="zh-CN"/>
              </w:rPr>
              <w:t>)华容县机关事务服务中心</w:t>
            </w:r>
            <w:r>
              <w:rPr>
                <w:rFonts w:hint="eastAsia" w:ascii="仿宋_GB2312" w:hAnsi="仿宋_GB2312" w:eastAsia="仿宋_GB2312" w:cs="仿宋_GB2312"/>
                <w:bCs/>
                <w:sz w:val="28"/>
                <w:szCs w:val="28"/>
              </w:rPr>
              <w:t>基本情况</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rPr>
              <w:t>负责全县公务接待工作；四大家重要接待活动；主要领导交办的接待任务；按照县公务用车（保留车辆）规定使用范围提供车辆服务；协助做好公务用车监督检查工作。负责机关办公大楼管理、维护和机关大院物业服务工作；确定全县机关事业单位后勤服务项目和标准，指导全县机关事业单位后勤服务工作。负责全县公共机构节约能源资源管理工作，会同有关部门拟订全县公共机构节能规划和相关管理制度并组织实施，组织开展能耗统计、监测和评价考核、节能技术改造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接待活动；主要领导交办的接待任务；协助做好公务用车监督检查工作。确定全县机关事业单位后勤服务项目和标准，负责全县公共机构节约能源资源管理工作, 负责全县公共机构节约能源资源管理工作.</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（一）基本支出:本年度本单位用于了基本支出开支中。</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（二）专项支出：本年度单位专项支出用于了接待费、公务用车运行维护费中。</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1、专项资金安排落实、总投入等情况分析：专项资金专款专用、单位无挤占、挪用等现象。</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2、专项资金实际使用情况分析：专项资金专款专用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3、专项资金管理情况分析：单位无挤占、挪用等现象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（一）专项组织情况分析：专项资金专款专用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（二）专项管理情况分析：专项资金专款专用</w:t>
            </w:r>
          </w:p>
          <w:p>
            <w:pPr>
              <w:widowControl/>
              <w:jc w:val="left"/>
              <w:textAlignment w:val="center"/>
              <w:rPr>
                <w:rFonts w:ascii="仿宋" w:hAnsi="仿宋" w:eastAsia="仿宋" w:cs="仿宋"/>
                <w:color w:val="000000"/>
                <w:kern w:val="0"/>
                <w:sz w:val="24"/>
              </w:rPr>
            </w:pPr>
            <w:r>
              <w:rPr>
                <w:rFonts w:hint="eastAsia" w:ascii="黑体" w:hAnsi="黑体" w:eastAsia="黑体" w:cs="黑体"/>
                <w:bCs/>
                <w:sz w:val="28"/>
                <w:szCs w:val="28"/>
              </w:rPr>
              <w:t>四、部门（单位）整体支出绩效情况：</w:t>
            </w:r>
            <w:r>
              <w:rPr>
                <w:rFonts w:hint="eastAsia" w:ascii="仿宋" w:hAnsi="仿宋" w:eastAsia="仿宋" w:cs="仿宋"/>
                <w:color w:val="000000"/>
                <w:kern w:val="0"/>
                <w:sz w:val="24"/>
              </w:rPr>
              <w:t>协助做好县委县政府外联协调工作，速进了县域经济。</w:t>
            </w:r>
          </w:p>
          <w:p>
            <w:pPr>
              <w:spacing w:line="560" w:lineRule="exact"/>
              <w:ind w:firstLine="560" w:firstLineChars="200"/>
              <w:rPr>
                <w:rFonts w:ascii="黑体" w:hAnsi="黑体" w:eastAsia="黑体" w:cs="黑体"/>
                <w:bCs/>
                <w:sz w:val="28"/>
                <w:szCs w:val="28"/>
              </w:rPr>
            </w:pPr>
            <w:r>
              <w:rPr>
                <w:rFonts w:hint="eastAsia" w:ascii="仿宋" w:hAnsi="仿宋" w:eastAsia="仿宋" w:cs="仿宋"/>
                <w:color w:val="000000"/>
                <w:kern w:val="0"/>
                <w:sz w:val="28"/>
                <w:szCs w:val="28"/>
              </w:rPr>
              <w:t>2加强能源管理，降低消耗、制止浪费，社会公众满意率达96%</w:t>
            </w:r>
          </w:p>
          <w:p>
            <w:pPr>
              <w:spacing w:line="560" w:lineRule="exact"/>
              <w:ind w:firstLine="560" w:firstLineChars="200"/>
              <w:rPr>
                <w:rFonts w:hint="eastAsia" w:ascii="仿宋" w:hAnsi="仿宋" w:eastAsia="仿宋" w:cs="仿宋"/>
                <w:bCs/>
                <w:sz w:val="28"/>
                <w:szCs w:val="28"/>
              </w:rPr>
            </w:pPr>
            <w:r>
              <w:rPr>
                <w:rFonts w:hint="eastAsia" w:ascii="黑体" w:hAnsi="黑体" w:eastAsia="黑体" w:cs="黑体"/>
                <w:bCs/>
                <w:sz w:val="28"/>
                <w:szCs w:val="28"/>
              </w:rPr>
              <w:t>五、存在的主要问题：</w:t>
            </w:r>
            <w:r>
              <w:rPr>
                <w:rFonts w:hint="eastAsia" w:ascii="仿宋" w:hAnsi="仿宋" w:eastAsia="仿宋" w:cs="仿宋"/>
                <w:bCs/>
                <w:sz w:val="28"/>
                <w:szCs w:val="28"/>
              </w:rPr>
              <w:t>我单位未能按节点及时监控绩效监控缺乏责任约束。</w:t>
            </w:r>
          </w:p>
          <w:p>
            <w:pPr>
              <w:spacing w:line="560" w:lineRule="exact"/>
              <w:ind w:firstLine="560" w:firstLineChars="200"/>
              <w:rPr>
                <w:rFonts w:hint="eastAsia" w:ascii="仿宋" w:hAnsi="仿宋" w:eastAsia="仿宋" w:cs="仿宋"/>
                <w:bCs/>
                <w:sz w:val="28"/>
                <w:szCs w:val="28"/>
              </w:rPr>
            </w:pPr>
            <w:r>
              <w:rPr>
                <w:rFonts w:hint="eastAsia" w:ascii="黑体" w:hAnsi="黑体" w:eastAsia="黑体" w:cs="黑体"/>
                <w:bCs/>
                <w:sz w:val="28"/>
                <w:szCs w:val="28"/>
              </w:rPr>
              <w:t>六、改进措施和有关建议：</w:t>
            </w:r>
            <w:r>
              <w:rPr>
                <w:rFonts w:hint="eastAsia" w:ascii="仿宋" w:hAnsi="仿宋" w:eastAsia="仿宋" w:cs="仿宋"/>
                <w:bCs/>
                <w:sz w:val="28"/>
                <w:szCs w:val="28"/>
              </w:rPr>
              <w:t>加强绩效及时监控提高我单位对绩效监控责任约束。</w:t>
            </w:r>
          </w:p>
          <w:p>
            <w:pPr>
              <w:spacing w:line="560" w:lineRule="exact"/>
              <w:ind w:firstLine="560" w:firstLineChars="200"/>
              <w:rPr>
                <w:rFonts w:hint="eastAsia" w:ascii="黑体" w:hAnsi="黑体" w:eastAsia="黑体" w:cs="黑体"/>
                <w:bCs/>
                <w:sz w:val="28"/>
                <w:szCs w:val="28"/>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公车用车平台专项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公车平台中心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华容机关事务服务中心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月 </w:t>
      </w:r>
      <w:r>
        <w:rPr>
          <w:rFonts w:hint="eastAsia" w:eastAsia="仿宋_GB2312"/>
          <w:sz w:val="32"/>
          <w:lang w:val="en-US" w:eastAsia="zh-CN"/>
        </w:rPr>
        <w:t>19</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4"/>
        <w:tblW w:w="10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1347"/>
        <w:gridCol w:w="801"/>
        <w:gridCol w:w="135"/>
        <w:gridCol w:w="1125"/>
        <w:gridCol w:w="236"/>
        <w:gridCol w:w="1036"/>
        <w:gridCol w:w="5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蔡国军</w:t>
            </w:r>
          </w:p>
        </w:tc>
        <w:tc>
          <w:tcPr>
            <w:tcW w:w="1347" w:type="dxa"/>
            <w:noWrap w:val="0"/>
            <w:vAlign w:val="center"/>
          </w:tcPr>
          <w:p>
            <w:pPr>
              <w:rPr>
                <w:rFonts w:hint="eastAsia" w:eastAsia="仿宋_GB2312"/>
                <w:sz w:val="24"/>
              </w:rPr>
            </w:pPr>
            <w:r>
              <w:rPr>
                <w:rFonts w:hint="eastAsia" w:eastAsia="仿宋_GB2312"/>
                <w:sz w:val="24"/>
              </w:rPr>
              <w:t>联系电话</w:t>
            </w:r>
          </w:p>
        </w:tc>
        <w:tc>
          <w:tcPr>
            <w:tcW w:w="3333" w:type="dxa"/>
            <w:gridSpan w:val="5"/>
            <w:noWrap w:val="0"/>
            <w:vAlign w:val="center"/>
          </w:tcPr>
          <w:p>
            <w:pPr>
              <w:rPr>
                <w:rFonts w:hint="default" w:eastAsia="仿宋_GB2312"/>
                <w:sz w:val="24"/>
                <w:lang w:val="en-US" w:eastAsia="zh-CN"/>
              </w:rPr>
            </w:pPr>
            <w:r>
              <w:rPr>
                <w:rFonts w:hint="eastAsia" w:eastAsia="仿宋_GB2312"/>
                <w:sz w:val="24"/>
                <w:lang w:val="en-US" w:eastAsia="zh-CN"/>
              </w:rPr>
              <w:t>18973085868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val="en-US" w:eastAsia="zh-CN"/>
              </w:rPr>
            </w:pPr>
            <w:r>
              <w:rPr>
                <w:rFonts w:hint="eastAsia" w:eastAsia="仿宋_GB2312"/>
                <w:sz w:val="24"/>
                <w:lang w:val="en-US" w:eastAsia="zh-CN"/>
              </w:rPr>
              <w:t>县政府机关大院</w:t>
            </w:r>
          </w:p>
        </w:tc>
        <w:tc>
          <w:tcPr>
            <w:tcW w:w="1347" w:type="dxa"/>
            <w:noWrap w:val="0"/>
            <w:vAlign w:val="center"/>
          </w:tcPr>
          <w:p>
            <w:pPr>
              <w:rPr>
                <w:rFonts w:hint="eastAsia" w:eastAsia="仿宋_GB2312"/>
                <w:sz w:val="24"/>
              </w:rPr>
            </w:pPr>
            <w:r>
              <w:rPr>
                <w:rFonts w:hint="eastAsia" w:eastAsia="仿宋_GB2312"/>
                <w:sz w:val="24"/>
              </w:rPr>
              <w:t>邮  编</w:t>
            </w:r>
          </w:p>
        </w:tc>
        <w:tc>
          <w:tcPr>
            <w:tcW w:w="3333" w:type="dxa"/>
            <w:gridSpan w:val="5"/>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545.8</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414.8</w:t>
            </w:r>
          </w:p>
        </w:tc>
        <w:tc>
          <w:tcPr>
            <w:tcW w:w="340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236"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419.08</w:t>
            </w:r>
          </w:p>
        </w:tc>
        <w:tc>
          <w:tcPr>
            <w:tcW w:w="1620"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3408" w:type="dxa"/>
            <w:gridSpan w:val="4"/>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236" w:type="dxa"/>
            <w:tcBorders>
              <w:bottom w:val="single" w:color="auto" w:sz="4" w:space="0"/>
            </w:tcBorders>
            <w:noWrap w:val="0"/>
            <w:vAlign w:val="center"/>
          </w:tcPr>
          <w:p>
            <w:pPr>
              <w:rPr>
                <w:rFonts w:hint="eastAsia" w:eastAsia="仿宋_GB2312"/>
                <w:spacing w:val="-6"/>
                <w:sz w:val="24"/>
              </w:rPr>
            </w:pPr>
          </w:p>
        </w:tc>
        <w:tc>
          <w:tcPr>
            <w:tcW w:w="1620" w:type="dxa"/>
            <w:gridSpan w:val="2"/>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414.8</w:t>
            </w: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4106"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127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平台司勤人员工资</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190.48</w:t>
            </w:r>
          </w:p>
        </w:tc>
        <w:tc>
          <w:tcPr>
            <w:tcW w:w="4106" w:type="dxa"/>
            <w:gridSpan w:val="6"/>
            <w:tcBorders>
              <w:bottom w:val="single" w:color="auto" w:sz="4" w:space="0"/>
            </w:tcBorders>
            <w:noWrap w:val="0"/>
            <w:vAlign w:val="center"/>
          </w:tcPr>
          <w:p>
            <w:pPr>
              <w:tabs>
                <w:tab w:val="left" w:pos="249"/>
              </w:tabs>
              <w:jc w:val="left"/>
              <w:rPr>
                <w:rFonts w:hint="default" w:eastAsia="仿宋_GB2312"/>
                <w:sz w:val="24"/>
                <w:lang w:val="en-US" w:eastAsia="zh-CN"/>
              </w:rPr>
            </w:pPr>
            <w:r>
              <w:rPr>
                <w:rFonts w:hint="eastAsia" w:eastAsia="仿宋_GB2312"/>
                <w:sz w:val="24"/>
                <w:lang w:eastAsia="zh-CN"/>
              </w:rPr>
              <w:tab/>
            </w:r>
            <w:r>
              <w:rPr>
                <w:rFonts w:hint="eastAsia" w:eastAsia="仿宋_GB2312"/>
                <w:sz w:val="24"/>
                <w:lang w:val="en-US" w:eastAsia="zh-CN"/>
              </w:rPr>
              <w:t>1月1#、4月1#、8月4#、11月1#</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公务车辆运行维护费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173.08</w:t>
            </w: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1月5#、4月4#、7月5#、10月10#、12月9#</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公务用车购置</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49.85</w:t>
            </w: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7月6#</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其他商品服务支出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5.68</w:t>
            </w: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12月9#</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419.08</w:t>
            </w:r>
          </w:p>
        </w:tc>
        <w:tc>
          <w:tcPr>
            <w:tcW w:w="4106" w:type="dxa"/>
            <w:gridSpan w:val="6"/>
            <w:tcBorders>
              <w:bottom w:val="single" w:color="auto" w:sz="4" w:space="0"/>
            </w:tcBorders>
            <w:noWrap w:val="0"/>
            <w:vAlign w:val="center"/>
          </w:tcPr>
          <w:p>
            <w:pPr>
              <w:jc w:val="center"/>
              <w:rPr>
                <w:rFonts w:hint="eastAsia" w:eastAsia="仿宋_GB2312"/>
                <w:b/>
                <w:sz w:val="24"/>
              </w:rPr>
            </w:pPr>
          </w:p>
        </w:tc>
        <w:tc>
          <w:tcPr>
            <w:tcW w:w="1272"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837" w:type="dxa"/>
            <w:gridSpan w:val="11"/>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1272"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6837" w:type="dxa"/>
            <w:gridSpan w:val="11"/>
            <w:tcBorders>
              <w:bottom w:val="single" w:color="auto" w:sz="4" w:space="0"/>
            </w:tcBorders>
            <w:noWrap w:val="0"/>
            <w:vAlign w:val="center"/>
          </w:tcPr>
          <w:p>
            <w:pPr>
              <w:jc w:val="center"/>
              <w:rPr>
                <w:rFonts w:hint="eastAsia" w:eastAsia="仿宋_GB2312"/>
                <w:b/>
                <w:sz w:val="24"/>
                <w:lang w:eastAsia="zh-CN"/>
              </w:rPr>
            </w:pPr>
            <w:r>
              <w:rPr>
                <w:rFonts w:hint="eastAsia" w:eastAsia="仿宋_GB2312"/>
                <w:sz w:val="24"/>
                <w:lang w:eastAsia="zh-CN"/>
              </w:rPr>
              <w:t>公车平台</w:t>
            </w:r>
            <w:r>
              <w:rPr>
                <w:rFonts w:hint="eastAsia" w:eastAsia="仿宋_GB2312"/>
                <w:sz w:val="24"/>
              </w:rPr>
              <w:t>预期</w:t>
            </w:r>
            <w:r>
              <w:rPr>
                <w:rFonts w:hint="eastAsia" w:eastAsia="仿宋_GB2312"/>
                <w:sz w:val="24"/>
                <w:lang w:eastAsia="zh-CN"/>
              </w:rPr>
              <w:t>总</w:t>
            </w:r>
            <w:r>
              <w:rPr>
                <w:rFonts w:hint="eastAsia" w:eastAsia="仿宋_GB2312"/>
                <w:sz w:val="24"/>
              </w:rPr>
              <w:t>目标</w:t>
            </w:r>
            <w:r>
              <w:rPr>
                <w:rFonts w:hint="eastAsia" w:eastAsia="仿宋_GB2312"/>
                <w:sz w:val="24"/>
                <w:lang w:eastAsia="zh-CN"/>
              </w:rPr>
              <w:t>是合理有效配置公务用车资源，保障各涉改单位公务出行用车，降低行政成本。</w:t>
            </w:r>
          </w:p>
        </w:tc>
        <w:tc>
          <w:tcPr>
            <w:tcW w:w="1272" w:type="dxa"/>
            <w:gridSpan w:val="2"/>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2981" w:type="dxa"/>
            <w:gridSpan w:val="5"/>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125"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27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846" w:type="dxa"/>
            <w:gridSpan w:val="4"/>
            <w:tcBorders>
              <w:bottom w:val="single" w:color="auto" w:sz="4" w:space="0"/>
            </w:tcBorders>
            <w:noWrap w:val="0"/>
            <w:vAlign w:val="center"/>
          </w:tcPr>
          <w:p>
            <w:pPr>
              <w:widowControl/>
              <w:jc w:val="left"/>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公务车辆48台，使用48台</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8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 w:hAnsi="仿宋" w:eastAsia="仿宋" w:cs="仿宋"/>
                <w:sz w:val="24"/>
                <w:lang w:eastAsia="zh-CN"/>
              </w:rPr>
              <w:t>公务车保质安全，未发生交通事故</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846" w:type="dxa"/>
            <w:gridSpan w:val="4"/>
            <w:tcBorders>
              <w:bottom w:val="single" w:color="auto" w:sz="4" w:space="0"/>
            </w:tcBorders>
            <w:noWrap w:val="0"/>
            <w:vAlign w:val="center"/>
          </w:tcPr>
          <w:p>
            <w:pPr>
              <w:spacing w:line="360" w:lineRule="exact"/>
              <w:jc w:val="both"/>
              <w:rPr>
                <w:rFonts w:hint="eastAsia" w:eastAsia="仿宋_GB2312"/>
                <w:sz w:val="24"/>
                <w:lang w:eastAsia="zh-CN"/>
              </w:rPr>
            </w:pPr>
            <w:r>
              <w:rPr>
                <w:rFonts w:hint="eastAsia" w:eastAsia="仿宋_GB2312"/>
                <w:sz w:val="24"/>
                <w:lang w:eastAsia="zh-CN"/>
              </w:rPr>
              <w:t>公务用车项目资金如期使用，达到了预期绩效自评评</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_GB2312" w:hAnsi="仿宋_GB2312" w:eastAsia="仿宋_GB2312" w:cs="仿宋_GB2312"/>
                <w:color w:val="000000"/>
                <w:sz w:val="24"/>
                <w:lang w:eastAsia="zh-CN"/>
              </w:rPr>
              <w:t>公务用车项目运行成本控制安预期完成</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83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_GB2312" w:hAnsi="仿宋_GB2312" w:eastAsia="仿宋_GB2312" w:cs="仿宋_GB2312"/>
                <w:color w:val="000000"/>
                <w:sz w:val="24"/>
                <w:lang w:eastAsia="zh-CN"/>
              </w:rPr>
              <w:t>公务用车项目</w:t>
            </w:r>
            <w:r>
              <w:rPr>
                <w:rFonts w:hint="eastAsia" w:ascii="仿宋_GB2312" w:hAnsi="仿宋_GB2312" w:eastAsia="仿宋_GB2312" w:cs="仿宋_GB2312"/>
                <w:color w:val="000000"/>
                <w:sz w:val="24"/>
              </w:rPr>
              <w:t>降低油</w:t>
            </w:r>
            <w:r>
              <w:rPr>
                <w:rFonts w:hint="eastAsia" w:ascii="仿宋_GB2312" w:hAnsi="仿宋_GB2312" w:eastAsia="仿宋_GB2312" w:cs="仿宋_GB2312"/>
                <w:color w:val="000000"/>
                <w:sz w:val="24"/>
                <w:lang w:eastAsia="zh-CN"/>
              </w:rPr>
              <w:t>耗</w:t>
            </w:r>
            <w:r>
              <w:rPr>
                <w:rFonts w:hint="eastAsia" w:ascii="仿宋_GB2312" w:hAnsi="仿宋_GB2312" w:eastAsia="仿宋_GB2312" w:cs="仿宋_GB2312"/>
                <w:color w:val="000000"/>
                <w:sz w:val="24"/>
              </w:rPr>
              <w:t>等，逐步实行环保型社会，</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公务用车项目是</w:t>
            </w:r>
            <w:r>
              <w:rPr>
                <w:rFonts w:hint="eastAsia" w:ascii="仿宋_GB2312" w:hAnsi="仿宋_GB2312" w:eastAsia="仿宋_GB2312" w:cs="仿宋_GB2312"/>
                <w:color w:val="000000"/>
                <w:sz w:val="24"/>
              </w:rPr>
              <w:t>科学决策、有效的运行机制能减排长效机制强化管理体系</w:t>
            </w:r>
          </w:p>
          <w:p>
            <w:pPr>
              <w:spacing w:line="360" w:lineRule="exact"/>
              <w:jc w:val="center"/>
              <w:rPr>
                <w:rFonts w:hint="eastAsia" w:eastAsia="仿宋_GB2312"/>
                <w:sz w:val="24"/>
              </w:rPr>
            </w:pPr>
            <w:r>
              <w:rPr>
                <w:rFonts w:hint="eastAsia" w:ascii="仿宋_GB2312" w:hAnsi="仿宋_GB2312" w:eastAsia="仿宋_GB2312" w:cs="仿宋_GB2312"/>
                <w:color w:val="000000"/>
                <w:sz w:val="24"/>
              </w:rPr>
              <w:t>……</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公务用车项目减少车辆出行和环保节能</w:t>
            </w:r>
          </w:p>
          <w:p>
            <w:pPr>
              <w:autoSpaceDN w:val="0"/>
              <w:spacing w:line="320" w:lineRule="exact"/>
              <w:jc w:val="left"/>
              <w:textAlignment w:val="center"/>
              <w:rPr>
                <w:rFonts w:hint="eastAsia" w:ascii="仿宋_GB2312" w:hAnsi="仿宋_GB2312" w:eastAsia="仿宋_GB2312" w:cs="仿宋_GB2312"/>
                <w:color w:val="000000"/>
                <w:sz w:val="24"/>
              </w:rPr>
            </w:pPr>
          </w:p>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社会公众满意率达9</w:t>
            </w:r>
            <w:r>
              <w:rPr>
                <w:rFonts w:hint="eastAsia" w:ascii="仿宋" w:hAnsi="仿宋" w:eastAsia="仿宋" w:cs="仿宋"/>
                <w:color w:val="000000"/>
                <w:kern w:val="0"/>
                <w:sz w:val="24"/>
                <w:lang w:val="en-US" w:eastAsia="zh-CN"/>
              </w:rPr>
              <w:t>8</w:t>
            </w:r>
            <w:r>
              <w:rPr>
                <w:rFonts w:hint="eastAsia" w:ascii="仿宋" w:hAnsi="仿宋" w:eastAsia="仿宋" w:cs="仿宋"/>
                <w:color w:val="000000"/>
                <w:kern w:val="0"/>
                <w:sz w:val="24"/>
              </w:rPr>
              <w:t>%</w:t>
            </w:r>
          </w:p>
          <w:p>
            <w:pPr>
              <w:autoSpaceDN w:val="0"/>
              <w:spacing w:line="320" w:lineRule="exact"/>
              <w:jc w:val="left"/>
              <w:textAlignment w:val="center"/>
              <w:rPr>
                <w:rFonts w:hint="eastAsia" w:ascii="仿宋_GB2312" w:hAnsi="仿宋_GB2312" w:eastAsia="仿宋_GB2312" w:cs="仿宋_GB2312"/>
                <w:color w:val="000000"/>
                <w:sz w:val="24"/>
              </w:rPr>
            </w:pPr>
          </w:p>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3714" w:type="dxa"/>
            <w:gridSpan w:val="5"/>
            <w:noWrap w:val="0"/>
            <w:vAlign w:val="center"/>
          </w:tcPr>
          <w:p>
            <w:pPr>
              <w:jc w:val="center"/>
              <w:rPr>
                <w:rFonts w:hint="eastAsia" w:eastAsia="仿宋_GB2312"/>
                <w:sz w:val="24"/>
              </w:rPr>
            </w:pPr>
            <w:r>
              <w:rPr>
                <w:rFonts w:hint="eastAsia" w:eastAsia="仿宋_GB2312"/>
                <w:sz w:val="24"/>
              </w:rPr>
              <w:t>单  位</w:t>
            </w:r>
          </w:p>
        </w:tc>
        <w:tc>
          <w:tcPr>
            <w:tcW w:w="1272" w:type="dxa"/>
            <w:gridSpan w:val="2"/>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陈兴</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主任</w:t>
            </w:r>
          </w:p>
        </w:tc>
        <w:tc>
          <w:tcPr>
            <w:tcW w:w="3714" w:type="dxa"/>
            <w:gridSpan w:val="5"/>
            <w:noWrap w:val="0"/>
            <w:vAlign w:val="center"/>
          </w:tcPr>
          <w:p>
            <w:pPr>
              <w:rPr>
                <w:rFonts w:hint="eastAsia" w:eastAsia="仿宋_GB2312"/>
                <w:sz w:val="24"/>
                <w:lang w:eastAsia="zh-CN"/>
              </w:rPr>
            </w:pPr>
            <w:r>
              <w:rPr>
                <w:rFonts w:hint="eastAsia" w:eastAsia="仿宋_GB2312"/>
                <w:sz w:val="24"/>
                <w:lang w:eastAsia="zh-CN"/>
              </w:rPr>
              <w:t>华容县机关事务服务中心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陈兴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张蕊</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副主任</w:t>
            </w:r>
          </w:p>
        </w:tc>
        <w:tc>
          <w:tcPr>
            <w:tcW w:w="3714" w:type="dxa"/>
            <w:gridSpan w:val="5"/>
            <w:noWrap w:val="0"/>
            <w:vAlign w:val="center"/>
          </w:tcPr>
          <w:p>
            <w:pPr>
              <w:rPr>
                <w:rFonts w:hint="eastAsia" w:eastAsia="仿宋_GB2312"/>
                <w:sz w:val="24"/>
              </w:rPr>
            </w:pPr>
            <w:r>
              <w:rPr>
                <w:rFonts w:hint="eastAsia" w:eastAsia="仿宋_GB2312"/>
                <w:sz w:val="24"/>
                <w:lang w:eastAsia="zh-CN"/>
              </w:rPr>
              <w:t>华容县机关事务服务中心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张蕊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蔡国军</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平台中心主任</w:t>
            </w:r>
          </w:p>
        </w:tc>
        <w:tc>
          <w:tcPr>
            <w:tcW w:w="3714" w:type="dxa"/>
            <w:gridSpan w:val="5"/>
            <w:noWrap w:val="0"/>
            <w:vAlign w:val="center"/>
          </w:tcPr>
          <w:p>
            <w:pPr>
              <w:rPr>
                <w:rFonts w:hint="eastAsia" w:eastAsia="仿宋_GB2312"/>
                <w:sz w:val="24"/>
              </w:rPr>
            </w:pPr>
            <w:r>
              <w:rPr>
                <w:rFonts w:hint="eastAsia" w:eastAsia="仿宋_GB2312"/>
                <w:sz w:val="24"/>
                <w:lang w:eastAsia="zh-CN"/>
              </w:rPr>
              <w:t>华容县机关事务服务中心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蔡国军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华容县机关事务服务中心项目支出绩效评价</w:t>
            </w:r>
          </w:p>
          <w:p>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报告综述</w:t>
            </w:r>
          </w:p>
          <w:p>
            <w:pPr>
              <w:spacing w:line="590" w:lineRule="exact"/>
              <w:ind w:firstLine="640" w:firstLineChars="200"/>
              <w:rPr>
                <w:rFonts w:hint="eastAsia" w:ascii="仿宋_GB2312" w:eastAsia="仿宋_GB2312"/>
                <w:sz w:val="32"/>
                <w:szCs w:val="32"/>
              </w:rPr>
            </w:pPr>
          </w:p>
          <w:p>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2020年，县机关事务服务中心紧紧围绕县委县政府的中心工作，以提高接待服务水平为目标，充分发挥接待“载体”功能，较好的完成了接待部门的职能作用，推动了我县各项工作的顺利开展。我办把绩效理念融入到了预算、执行、监督管理的全过程，在严格管理、简化礼仪的基础上，转变服务方式，重点突出“节约化、个性化、本土化”服务。</w:t>
            </w:r>
          </w:p>
          <w:p>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根据县委、县政府部署，我办20</w:t>
            </w:r>
            <w:r>
              <w:rPr>
                <w:rFonts w:hint="eastAsia" w:ascii="仿宋_GB2312" w:eastAsia="仿宋_GB2312"/>
                <w:sz w:val="32"/>
                <w:szCs w:val="32"/>
                <w:lang w:val="en-US" w:eastAsia="zh-CN"/>
              </w:rPr>
              <w:t>17</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月开始着手筹建县公务用车平台，按照“边建设、边运行”的思路，各项工作稳步推进。</w:t>
            </w:r>
            <w:r>
              <w:rPr>
                <w:rFonts w:hint="eastAsia" w:ascii="仿宋_GB2312" w:eastAsia="仿宋_GB2312"/>
                <w:b/>
                <w:sz w:val="32"/>
                <w:szCs w:val="32"/>
              </w:rPr>
              <w:t>一是设施设备保障到位。</w:t>
            </w:r>
            <w:r>
              <w:rPr>
                <w:rFonts w:hint="eastAsia" w:ascii="仿宋_GB2312" w:eastAsia="仿宋_GB2312"/>
                <w:sz w:val="32"/>
                <w:szCs w:val="32"/>
              </w:rPr>
              <w:t>平台办公地点设政府一楼，设置了车辆调度、智能监控等五个功能室，添置了必要的办公设备，在北斗系统中设置了“华容县公务用车平台”专用系统，对公务用车轨迹进行实时监控，建立了公务用车专用停车场，公务用车实现车牌识别定点停放；</w:t>
            </w:r>
            <w:r>
              <w:rPr>
                <w:rFonts w:hint="eastAsia" w:ascii="仿宋_GB2312" w:eastAsia="仿宋_GB2312"/>
                <w:b/>
                <w:sz w:val="32"/>
                <w:szCs w:val="32"/>
              </w:rPr>
              <w:t>二是车辆移交顺利完成。</w:t>
            </w:r>
            <w:r>
              <w:rPr>
                <w:rFonts w:hint="eastAsia" w:ascii="仿宋_GB2312" w:eastAsia="仿宋_GB2312"/>
                <w:sz w:val="32"/>
                <w:szCs w:val="32"/>
              </w:rPr>
              <w:t>分两批次完成了四大家和部门单位35台保留车辆的移交，并统一“公务用车”标识等；</w:t>
            </w:r>
            <w:r>
              <w:rPr>
                <w:rFonts w:hint="eastAsia" w:ascii="仿宋_GB2312" w:eastAsia="仿宋_GB2312"/>
                <w:b/>
                <w:sz w:val="32"/>
                <w:szCs w:val="32"/>
              </w:rPr>
              <w:t>三是人员安排职责分明。</w:t>
            </w:r>
            <w:r>
              <w:rPr>
                <w:rFonts w:hint="eastAsia" w:ascii="仿宋_GB2312" w:eastAsia="仿宋_GB2312"/>
                <w:sz w:val="32"/>
                <w:szCs w:val="32"/>
              </w:rPr>
              <w:t>管理人员已全部到岗到位，分工明确，各司其职，车辆与司勤做到了“人车对应”。在不断完善硬件设施设备的同时，通过建立公务用车平台工作微信群，及时有效发布通知和反馈信息，司勤服务采取定向与机动管理相结合，既满足领导要求，又保障用车需要。全年，平台共出车</w:t>
            </w:r>
            <w:r>
              <w:rPr>
                <w:rFonts w:hint="eastAsia" w:ascii="仿宋_GB2312" w:eastAsia="仿宋_GB2312"/>
                <w:sz w:val="32"/>
                <w:szCs w:val="32"/>
                <w:lang w:val="en-US" w:eastAsia="zh-CN"/>
              </w:rPr>
              <w:t>7000</w:t>
            </w:r>
            <w:r>
              <w:rPr>
                <w:rFonts w:hint="eastAsia" w:ascii="仿宋_GB2312" w:eastAsia="仿宋_GB2312"/>
                <w:sz w:val="32"/>
                <w:szCs w:val="32"/>
              </w:rPr>
              <w:t>多次，行驶里程近</w:t>
            </w:r>
            <w:r>
              <w:rPr>
                <w:rFonts w:hint="eastAsia" w:ascii="仿宋_GB2312" w:eastAsia="仿宋_GB2312"/>
                <w:sz w:val="32"/>
                <w:szCs w:val="32"/>
                <w:lang w:val="en-US" w:eastAsia="zh-CN"/>
              </w:rPr>
              <w:t>40</w:t>
            </w:r>
            <w:r>
              <w:rPr>
                <w:rFonts w:hint="eastAsia" w:ascii="仿宋_GB2312" w:eastAsia="仿宋_GB2312"/>
                <w:sz w:val="32"/>
                <w:szCs w:val="32"/>
              </w:rPr>
              <w:t>多万公里，实现了“调度无差错、行车无事故、评价全满意”的工作目标，有力推进了全县公车改革实施步伐。</w:t>
            </w:r>
          </w:p>
          <w:p>
            <w:pPr>
              <w:spacing w:line="590" w:lineRule="exact"/>
              <w:ind w:firstLine="640" w:firstLineChars="200"/>
              <w:rPr>
                <w:rFonts w:hint="eastAsia" w:ascii="仿宋_GB2312" w:eastAsia="仿宋_GB2312"/>
                <w:sz w:val="32"/>
                <w:szCs w:val="32"/>
              </w:rPr>
            </w:pPr>
            <w:r>
              <w:rPr>
                <w:rFonts w:hint="eastAsia" w:ascii="仿宋_GB2312" w:eastAsia="仿宋_GB2312"/>
                <w:bCs/>
                <w:sz w:val="32"/>
                <w:szCs w:val="32"/>
              </w:rPr>
              <w:t>2020年5月</w:t>
            </w:r>
            <w:r>
              <w:rPr>
                <w:rFonts w:hint="eastAsia" w:ascii="仿宋_GB2312" w:eastAsia="仿宋_GB2312"/>
                <w:sz w:val="32"/>
                <w:szCs w:val="32"/>
              </w:rPr>
              <w:t>华容县机构改革，我办正式更名为县机关事务服务中心，核定全额事业编制</w:t>
            </w:r>
            <w:r>
              <w:rPr>
                <w:rFonts w:hint="eastAsia" w:ascii="仿宋_GB2312" w:eastAsia="仿宋_GB2312"/>
                <w:sz w:val="32"/>
                <w:szCs w:val="32"/>
                <w:lang w:val="en-US" w:eastAsia="zh-CN"/>
              </w:rPr>
              <w:t>34</w:t>
            </w:r>
            <w:r>
              <w:rPr>
                <w:rFonts w:hint="eastAsia" w:ascii="仿宋_GB2312" w:eastAsia="仿宋_GB2312"/>
                <w:sz w:val="32"/>
                <w:szCs w:val="32"/>
              </w:rPr>
              <w:t>人、司勤临时用工计划47人、后勤及保安人员31人。机关后勤工作切实做</w:t>
            </w:r>
            <w:r>
              <w:rPr>
                <w:rFonts w:hint="eastAsia" w:ascii="仿宋" w:hAnsi="仿宋" w:eastAsia="仿宋" w:cs="仿宋"/>
                <w:color w:val="000000"/>
                <w:kern w:val="0"/>
                <w:sz w:val="32"/>
                <w:szCs w:val="32"/>
                <w:lang w:bidi="ar"/>
              </w:rPr>
              <w:t>切实做到“真诚服务、认真负责、乐于奉献”，不断开创机关后勤服务工作新局面。</w:t>
            </w:r>
          </w:p>
          <w:p>
            <w:pPr>
              <w:spacing w:line="590" w:lineRule="exact"/>
              <w:ind w:firstLine="640" w:firstLineChars="200"/>
              <w:rPr>
                <w:rFonts w:hint="eastAsia" w:ascii="仿宋_GB2312" w:eastAsia="仿宋_GB2312"/>
                <w:sz w:val="32"/>
                <w:szCs w:val="32"/>
              </w:rPr>
            </w:pPr>
          </w:p>
          <w:p>
            <w:pPr>
              <w:spacing w:line="590" w:lineRule="exact"/>
              <w:ind w:firstLine="640" w:firstLineChars="200"/>
              <w:rPr>
                <w:rFonts w:hint="eastAsia" w:ascii="仿宋_GB2312" w:eastAsia="仿宋_GB2312"/>
                <w:sz w:val="32"/>
                <w:szCs w:val="32"/>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p>
            <w:pPr>
              <w:rPr>
                <w:rFonts w:eastAsia="楷体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43A50CF"/>
    <w:rsid w:val="082C68CC"/>
    <w:rsid w:val="083749E7"/>
    <w:rsid w:val="08657476"/>
    <w:rsid w:val="0DE528CD"/>
    <w:rsid w:val="10A676AC"/>
    <w:rsid w:val="126D0D92"/>
    <w:rsid w:val="14A532A4"/>
    <w:rsid w:val="18725427"/>
    <w:rsid w:val="1E4600FF"/>
    <w:rsid w:val="254E2FC7"/>
    <w:rsid w:val="263C173A"/>
    <w:rsid w:val="27C44DE3"/>
    <w:rsid w:val="2CA33441"/>
    <w:rsid w:val="2CE55C20"/>
    <w:rsid w:val="2F287302"/>
    <w:rsid w:val="30426D13"/>
    <w:rsid w:val="34142469"/>
    <w:rsid w:val="345B33E2"/>
    <w:rsid w:val="3A43255A"/>
    <w:rsid w:val="3BA37299"/>
    <w:rsid w:val="3C727AD3"/>
    <w:rsid w:val="3D6201A1"/>
    <w:rsid w:val="3EC46785"/>
    <w:rsid w:val="3F8A6044"/>
    <w:rsid w:val="42FE78AF"/>
    <w:rsid w:val="477245B4"/>
    <w:rsid w:val="4E4F0BB0"/>
    <w:rsid w:val="4EE36F4E"/>
    <w:rsid w:val="52BA4A7F"/>
    <w:rsid w:val="5BE95901"/>
    <w:rsid w:val="6A0A15CD"/>
    <w:rsid w:val="6DF352BD"/>
    <w:rsid w:val="705E3E6D"/>
    <w:rsid w:val="71C1048A"/>
    <w:rsid w:val="73F35F5B"/>
    <w:rsid w:val="77394F44"/>
    <w:rsid w:val="79C04582"/>
    <w:rsid w:val="7D1F0DA2"/>
    <w:rsid w:val="7D7478D8"/>
    <w:rsid w:val="7EFC2D6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2021-07-28T02:09:07Z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