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w:t>
      </w:r>
      <w:r>
        <w:rPr>
          <w:rFonts w:ascii="黑体" w:hAnsi="黑体" w:eastAsia="黑体" w:cs="黑体"/>
          <w:bCs/>
          <w:sz w:val="32"/>
          <w:szCs w:val="32"/>
        </w:rPr>
        <w:t>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w:t>
      </w:r>
      <w:r>
        <w:rPr>
          <w:rFonts w:eastAsia="方正小标宋简体"/>
          <w:bCs/>
          <w:sz w:val="46"/>
          <w:szCs w:val="46"/>
        </w:rPr>
        <w:t>20</w:t>
      </w:r>
      <w:r>
        <w:rPr>
          <w:rFonts w:hint="eastAsia" w:eastAsia="方正小标宋简体"/>
          <w:bCs/>
          <w:sz w:val="46"/>
          <w:szCs w:val="46"/>
          <w:u w:val="single"/>
        </w:rPr>
        <w:t>20</w:t>
      </w:r>
      <w:r>
        <w:rPr>
          <w:rFonts w:hint="eastAsia" w:eastAsia="方正小标宋简体"/>
          <w:bCs/>
          <w:sz w:val="46"/>
          <w:szCs w:val="46"/>
        </w:rPr>
        <w:t>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w:t>
      </w:r>
      <w:r>
        <w:rPr>
          <w:rFonts w:eastAsia="仿宋_GB2312"/>
          <w:sz w:val="32"/>
          <w:szCs w:val="32"/>
        </w:rPr>
        <w:t>(</w:t>
      </w:r>
      <w:r>
        <w:rPr>
          <w:rFonts w:hint="eastAsia" w:eastAsia="仿宋_GB2312"/>
          <w:sz w:val="32"/>
          <w:szCs w:val="32"/>
        </w:rPr>
        <w:t>单位</w:t>
      </w:r>
      <w:r>
        <w:rPr>
          <w:rFonts w:eastAsia="仿宋_GB2312"/>
          <w:sz w:val="32"/>
          <w:szCs w:val="32"/>
        </w:rPr>
        <w:t>)</w:t>
      </w:r>
      <w:r>
        <w:rPr>
          <w:rFonts w:hint="eastAsia" w:eastAsia="仿宋_GB2312"/>
          <w:sz w:val="32"/>
          <w:szCs w:val="32"/>
        </w:rPr>
        <w:t>名称：中国共产主义青年团华容县委员会</w:t>
      </w:r>
    </w:p>
    <w:p>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算编码：</w:t>
      </w:r>
      <w:r>
        <w:rPr>
          <w:rFonts w:eastAsia="仿宋_GB2312"/>
          <w:spacing w:val="30"/>
          <w:sz w:val="32"/>
          <w:szCs w:val="32"/>
        </w:rPr>
        <w:t>122001</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评价机构：部门（单位）评价组</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w:t>
      </w:r>
      <w:r>
        <w:rPr>
          <w:rFonts w:eastAsia="仿宋_GB2312"/>
          <w:sz w:val="32"/>
        </w:rPr>
        <w:t>202</w:t>
      </w:r>
      <w:r>
        <w:rPr>
          <w:rFonts w:hint="eastAsia" w:eastAsia="仿宋_GB2312"/>
          <w:sz w:val="32"/>
        </w:rPr>
        <w:t>1年7月</w:t>
      </w:r>
      <w:r>
        <w:rPr>
          <w:rFonts w:eastAsia="仿宋_GB2312"/>
          <w:sz w:val="32"/>
        </w:rPr>
        <w:t>2</w:t>
      </w:r>
      <w:r>
        <w:rPr>
          <w:rFonts w:hint="eastAsia" w:eastAsia="仿宋_GB2312"/>
          <w:sz w:val="32"/>
        </w:rPr>
        <w:t>8日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9"/>
        <w:tblW w:w="980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李航</w:t>
            </w:r>
          </w:p>
        </w:tc>
        <w:tc>
          <w:tcPr>
            <w:tcW w:w="1479" w:type="dxa"/>
            <w:noWrap/>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联络电话</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18390039098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val="en-US" w:eastAsia="zh-CN"/>
              </w:rPr>
              <w:t>4</w:t>
            </w:r>
          </w:p>
        </w:tc>
        <w:tc>
          <w:tcPr>
            <w:tcW w:w="1479" w:type="dxa"/>
            <w:noWrap/>
            <w:vAlign w:val="center"/>
          </w:tcPr>
          <w:p>
            <w:pPr>
              <w:autoSpaceDN w:val="0"/>
              <w:spacing w:line="320" w:lineRule="exact"/>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实有人数</w:t>
            </w:r>
          </w:p>
        </w:tc>
        <w:tc>
          <w:tcPr>
            <w:tcW w:w="3106" w:type="dxa"/>
            <w:gridSpan w:val="8"/>
            <w:noWrap/>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val="en-US"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150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ign w:val="center"/>
          </w:tcPr>
          <w:p>
            <w:pPr>
              <w:autoSpaceDN w:val="0"/>
              <w:spacing w:line="320" w:lineRule="exac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w:t>
            </w:r>
            <w:r>
              <w:rPr>
                <w:rFonts w:hint="eastAsia" w:ascii="仿宋_GB2312" w:hAnsi="仿宋_GB2312" w:eastAsia="仿宋_GB2312" w:cs="仿宋_GB2312"/>
                <w:color w:val="000000"/>
                <w:sz w:val="24"/>
              </w:rPr>
              <w:t>、行使中共华容县委赋予的领导全县共青团、青联和少先队工作的职权，对全县青年社团组织进行指导和管理。</w:t>
            </w:r>
          </w:p>
          <w:p>
            <w:pPr>
              <w:autoSpaceDN w:val="0"/>
              <w:spacing w:line="320" w:lineRule="exac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2</w:t>
            </w:r>
            <w:r>
              <w:rPr>
                <w:rFonts w:hint="eastAsia" w:ascii="仿宋_GB2312" w:hAnsi="仿宋_GB2312" w:eastAsia="仿宋_GB2312" w:cs="仿宋_GB2312"/>
                <w:color w:val="000000"/>
                <w:sz w:val="24"/>
              </w:rPr>
              <w:t>、贯彻落实青少年工作方针、政策，参与制订青少年事业发展规划，对青少年活动阵地、青少年报刊、青少年服务机构的建设和青少年读物出版等事务进行规划和管理。</w:t>
            </w:r>
          </w:p>
          <w:p>
            <w:pPr>
              <w:autoSpaceDN w:val="0"/>
              <w:spacing w:line="320" w:lineRule="exac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3</w:t>
            </w:r>
            <w:r>
              <w:rPr>
                <w:rFonts w:hint="eastAsia" w:ascii="仿宋_GB2312" w:hAnsi="仿宋_GB2312" w:eastAsia="仿宋_GB2312" w:cs="仿宋_GB2312"/>
                <w:color w:val="000000"/>
                <w:sz w:val="24"/>
              </w:rPr>
              <w:t>、参与有关青少年事务的法律、法规的制订和实施，协助县委、县政府处理、协调与青少年利益有关的事务。</w:t>
            </w:r>
          </w:p>
          <w:p>
            <w:pPr>
              <w:autoSpaceDN w:val="0"/>
              <w:spacing w:line="320" w:lineRule="exac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4</w:t>
            </w:r>
            <w:r>
              <w:rPr>
                <w:rFonts w:hint="eastAsia" w:ascii="仿宋_GB2312" w:hAnsi="仿宋_GB2312" w:eastAsia="仿宋_GB2312" w:cs="仿宋_GB2312"/>
                <w:color w:val="000000"/>
                <w:sz w:val="24"/>
              </w:rPr>
              <w:t>、调查青少年思想动态和</w:t>
            </w:r>
            <w:bookmarkStart w:id="0" w:name="_GoBack"/>
            <w:bookmarkEnd w:id="0"/>
            <w:r>
              <w:rPr>
                <w:rFonts w:hint="eastAsia" w:ascii="仿宋_GB2312" w:hAnsi="仿宋_GB2312" w:eastAsia="仿宋_GB2312" w:cs="仿宋_GB2312"/>
                <w:color w:val="000000"/>
                <w:sz w:val="24"/>
              </w:rPr>
              <w:t>青年工作状况，研究青少年运动、青少年工作理论和青少年思想教育问题，提出相应的对策，开展各种有益的活动；研究青少年违法犯罪问题，协同有关部门开展青少年法制教育工作，预防青少年犯罪。</w:t>
            </w:r>
          </w:p>
          <w:p>
            <w:pPr>
              <w:autoSpaceDN w:val="0"/>
              <w:spacing w:line="320" w:lineRule="exac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5</w:t>
            </w:r>
            <w:r>
              <w:rPr>
                <w:rFonts w:hint="eastAsia" w:ascii="仿宋_GB2312" w:hAnsi="仿宋_GB2312" w:eastAsia="仿宋_GB2312" w:cs="仿宋_GB2312"/>
                <w:color w:val="000000"/>
                <w:sz w:val="24"/>
              </w:rPr>
              <w:t>、协助教育部门做好学生的教育管理工作，维护学校稳定和社会安定团结。</w:t>
            </w:r>
          </w:p>
          <w:p>
            <w:pPr>
              <w:autoSpaceDN w:val="0"/>
              <w:spacing w:line="320" w:lineRule="exac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6</w:t>
            </w:r>
            <w:r>
              <w:rPr>
                <w:rFonts w:hint="eastAsia" w:ascii="仿宋_GB2312" w:hAnsi="仿宋_GB2312" w:eastAsia="仿宋_GB2312" w:cs="仿宋_GB2312"/>
                <w:color w:val="000000"/>
                <w:sz w:val="24"/>
              </w:rPr>
              <w:t>、在全县经济建设中，组织和带领青少年发挥生力军和突击队的作用。</w:t>
            </w:r>
          </w:p>
          <w:p>
            <w:pPr>
              <w:autoSpaceDN w:val="0"/>
              <w:spacing w:line="320" w:lineRule="exac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7</w:t>
            </w:r>
            <w:r>
              <w:rPr>
                <w:rFonts w:hint="eastAsia" w:ascii="仿宋_GB2312" w:hAnsi="仿宋_GB2312" w:eastAsia="仿宋_GB2312" w:cs="仿宋_GB2312"/>
                <w:color w:val="000000"/>
                <w:sz w:val="24"/>
              </w:rPr>
              <w:t>、会同有关部门负责青少年外事工作和县外青少年组织、团体的交流工作；做好青年统战对象的团结教育工作。</w:t>
            </w:r>
          </w:p>
          <w:p>
            <w:pPr>
              <w:autoSpaceDN w:val="0"/>
              <w:spacing w:line="320" w:lineRule="exac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8</w:t>
            </w:r>
            <w:r>
              <w:rPr>
                <w:rFonts w:hint="eastAsia" w:ascii="仿宋_GB2312" w:hAnsi="仿宋_GB2312" w:eastAsia="仿宋_GB2312" w:cs="仿宋_GB2312"/>
                <w:color w:val="000000"/>
                <w:sz w:val="24"/>
              </w:rPr>
              <w:t>、承办县委、县政府交办的其他事项。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464"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年度主要</w:t>
            </w:r>
          </w:p>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工作内容</w:t>
            </w:r>
          </w:p>
        </w:tc>
        <w:tc>
          <w:tcPr>
            <w:tcW w:w="8146" w:type="dxa"/>
            <w:gridSpan w:val="15"/>
            <w:noWrap/>
            <w:vAlign w:val="center"/>
          </w:tcPr>
          <w:p>
            <w:pPr>
              <w:autoSpaceDN w:val="0"/>
              <w:spacing w:line="40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任务</w:t>
            </w:r>
            <w:r>
              <w:rPr>
                <w:rFonts w:ascii="仿宋_GB2312" w:hAnsi="仿宋_GB2312" w:eastAsia="仿宋_GB2312" w:cs="仿宋_GB2312"/>
                <w:color w:val="auto"/>
                <w:sz w:val="24"/>
              </w:rPr>
              <w:t>1</w:t>
            </w:r>
            <w:r>
              <w:rPr>
                <w:rFonts w:hint="eastAsia" w:ascii="仿宋_GB2312" w:hAnsi="仿宋_GB2312" w:eastAsia="仿宋_GB2312" w:cs="仿宋_GB2312"/>
                <w:color w:val="auto"/>
                <w:sz w:val="24"/>
              </w:rPr>
              <w:t>：实施青年培养工程，筑牢团员青年成长梦</w:t>
            </w:r>
          </w:p>
          <w:p>
            <w:pPr>
              <w:autoSpaceDN w:val="0"/>
              <w:spacing w:line="40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任务</w:t>
            </w:r>
            <w:r>
              <w:rPr>
                <w:rFonts w:ascii="仿宋_GB2312" w:hAnsi="仿宋_GB2312" w:eastAsia="仿宋_GB2312" w:cs="仿宋_GB2312"/>
                <w:color w:val="auto"/>
                <w:sz w:val="24"/>
              </w:rPr>
              <w:t>2</w:t>
            </w:r>
            <w:r>
              <w:rPr>
                <w:rFonts w:hint="eastAsia" w:ascii="仿宋_GB2312" w:hAnsi="仿宋_GB2312" w:eastAsia="仿宋_GB2312" w:cs="仿宋_GB2312"/>
                <w:color w:val="auto"/>
                <w:sz w:val="24"/>
              </w:rPr>
              <w:t>：突出青年创新创业实践、招商引资实践、精准扶贫实践</w:t>
            </w:r>
          </w:p>
          <w:p>
            <w:pPr>
              <w:autoSpaceDN w:val="0"/>
              <w:spacing w:line="40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任务</w:t>
            </w:r>
            <w:r>
              <w:rPr>
                <w:rFonts w:ascii="仿宋_GB2312" w:hAnsi="仿宋_GB2312" w:eastAsia="仿宋_GB2312" w:cs="仿宋_GB2312"/>
                <w:color w:val="auto"/>
                <w:sz w:val="24"/>
              </w:rPr>
              <w:t>3</w:t>
            </w:r>
            <w:r>
              <w:rPr>
                <w:rFonts w:hint="eastAsia" w:ascii="仿宋_GB2312" w:hAnsi="仿宋_GB2312" w:eastAsia="仿宋_GB2312" w:cs="仿宋_GB2312"/>
                <w:color w:val="auto"/>
                <w:sz w:val="24"/>
              </w:rPr>
              <w:t>：丰富和发展服务青年的载体，提升共青团的服务能力</w:t>
            </w:r>
          </w:p>
          <w:p>
            <w:pPr>
              <w:autoSpaceDN w:val="0"/>
              <w:spacing w:line="40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任务</w:t>
            </w:r>
            <w:r>
              <w:rPr>
                <w:rFonts w:ascii="仿宋_GB2312" w:hAnsi="仿宋_GB2312" w:eastAsia="仿宋_GB2312" w:cs="仿宋_GB2312"/>
                <w:color w:val="auto"/>
                <w:sz w:val="24"/>
              </w:rPr>
              <w:t>4</w:t>
            </w:r>
            <w:r>
              <w:rPr>
                <w:rFonts w:hint="eastAsia" w:ascii="仿宋_GB2312" w:hAnsi="仿宋_GB2312" w:eastAsia="仿宋_GB2312" w:cs="仿宋_GB2312"/>
                <w:color w:val="auto"/>
                <w:sz w:val="24"/>
              </w:rPr>
              <w:t>：协助政府做好青年事务，积极推进社会建设和管理</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任务</w:t>
            </w:r>
            <w:r>
              <w:rPr>
                <w:rFonts w:ascii="仿宋_GB2312" w:hAnsi="仿宋_GB2312" w:eastAsia="仿宋_GB2312" w:cs="仿宋_GB2312"/>
                <w:color w:val="auto"/>
                <w:sz w:val="24"/>
              </w:rPr>
              <w:t>5</w:t>
            </w:r>
            <w:r>
              <w:rPr>
                <w:rFonts w:hint="eastAsia" w:ascii="仿宋_GB2312" w:hAnsi="仿宋_GB2312" w:eastAsia="仿宋_GB2312" w:cs="仿宋_GB2312"/>
                <w:color w:val="auto"/>
                <w:sz w:val="24"/>
              </w:rPr>
              <w:t>：加强团的自身建设，不断增强共青团组织的吸引力、凝聚力和战斗力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26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auto"/>
                <w:spacing w:val="-6"/>
                <w:sz w:val="24"/>
              </w:rPr>
            </w:pPr>
            <w:r>
              <w:rPr>
                <w:rFonts w:hint="eastAsia" w:ascii="仿宋_GB2312" w:hAnsi="仿宋_GB2312" w:eastAsia="仿宋_GB2312" w:cs="仿宋_GB2312"/>
                <w:color w:val="auto"/>
                <w:spacing w:val="-6"/>
                <w:sz w:val="24"/>
              </w:rPr>
              <w:t>年度部门（单位）总体运行情况及取得的成绩</w:t>
            </w:r>
          </w:p>
        </w:tc>
        <w:tc>
          <w:tcPr>
            <w:tcW w:w="8146" w:type="dxa"/>
            <w:gridSpan w:val="15"/>
            <w:noWrap/>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团县委围绕县委、县政府中心任务和共青团重点工作，全面履行团组织各项职能。</w:t>
            </w:r>
          </w:p>
          <w:p>
            <w:pPr>
              <w:autoSpaceDN w:val="0"/>
              <w:spacing w:line="320" w:lineRule="exact"/>
              <w:jc w:val="left"/>
              <w:textAlignment w:val="center"/>
              <w:rPr>
                <w:rFonts w:ascii="仿宋_GB2312" w:hAnsi="仿宋_GB2312" w:eastAsia="仿宋_GB2312" w:cs="仿宋_GB2312"/>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1014" w:hRule="atLeast"/>
          <w:jc w:val="center"/>
        </w:trPr>
        <w:tc>
          <w:tcPr>
            <w:tcW w:w="1700" w:type="dxa"/>
            <w:gridSpan w:val="3"/>
            <w:vMerge w:val="continue"/>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772" w:hRule="atLeast"/>
          <w:jc w:val="center"/>
        </w:trPr>
        <w:tc>
          <w:tcPr>
            <w:tcW w:w="170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56.4</w:t>
            </w: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56.4</w:t>
            </w: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sz w:val="24"/>
              </w:rPr>
            </w:pPr>
            <w:r>
              <w:rPr>
                <w:rFonts w:ascii="仿宋_GB2312" w:hAnsi="仿宋_GB2312" w:eastAsia="仿宋_GB2312" w:cs="仿宋_GB2312"/>
                <w:sz w:val="24"/>
              </w:rPr>
              <w:t>1</w:t>
            </w:r>
            <w:r>
              <w:rPr>
                <w:rFonts w:hint="eastAsia" w:ascii="仿宋_GB2312" w:hAnsi="仿宋_GB2312" w:eastAsia="仿宋_GB2312" w:cs="仿宋_GB2312"/>
                <w:sz w:val="24"/>
              </w:rPr>
              <w:t>、局机关</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sz w:val="24"/>
              </w:rPr>
            </w:pPr>
            <w:r>
              <w:rPr>
                <w:rFonts w:ascii="仿宋_GB2312" w:hAnsi="仿宋_GB2312" w:eastAsia="仿宋_GB2312" w:cs="仿宋_GB2312"/>
                <w:sz w:val="24"/>
              </w:rPr>
              <w:t>2</w:t>
            </w:r>
            <w:r>
              <w:rPr>
                <w:rFonts w:hint="eastAsia" w:ascii="仿宋_GB2312" w:hAnsi="仿宋_GB2312" w:eastAsia="仿宋_GB2312" w:cs="仿宋_GB2312"/>
                <w:sz w:val="24"/>
              </w:rPr>
              <w:t>、二级机构</w:t>
            </w:r>
            <w:r>
              <w:rPr>
                <w:rFonts w:ascii="仿宋_GB2312" w:hAnsi="仿宋_GB2312" w:eastAsia="仿宋_GB2312" w:cs="仿宋_GB2312"/>
                <w:sz w:val="24"/>
              </w:rPr>
              <w:t>1</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sz w:val="24"/>
              </w:rPr>
            </w:pPr>
            <w:r>
              <w:rPr>
                <w:rFonts w:ascii="仿宋_GB2312" w:hAnsi="仿宋_GB2312" w:eastAsia="仿宋_GB2312" w:cs="仿宋_GB2312"/>
                <w:sz w:val="24"/>
              </w:rPr>
              <w:t>3</w:t>
            </w:r>
            <w:r>
              <w:rPr>
                <w:rFonts w:hint="eastAsia" w:ascii="仿宋_GB2312" w:hAnsi="仿宋_GB2312" w:eastAsia="仿宋_GB2312" w:cs="仿宋_GB2312"/>
                <w:sz w:val="24"/>
              </w:rPr>
              <w:t>、二级机构</w:t>
            </w:r>
            <w:r>
              <w:rPr>
                <w:rFonts w:ascii="仿宋_GB2312" w:hAnsi="仿宋_GB2312" w:eastAsia="仿宋_GB2312" w:cs="仿宋_GB2312"/>
                <w:sz w:val="24"/>
              </w:rPr>
              <w:t>2</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877"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56.4</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56.4</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25.5</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30.9</w:t>
            </w: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r>
              <w:rPr>
                <w:rFonts w:ascii="仿宋_GB2312" w:hAnsi="仿宋_GB2312" w:eastAsia="仿宋_GB2312" w:cs="仿宋_GB2312"/>
                <w:sz w:val="24"/>
              </w:rPr>
              <w:t>1</w:t>
            </w:r>
            <w:r>
              <w:rPr>
                <w:rFonts w:hint="eastAsia" w:ascii="仿宋_GB2312" w:hAnsi="仿宋_GB2312" w:eastAsia="仿宋_GB2312" w:cs="仿宋_GB2312"/>
                <w:sz w:val="24"/>
              </w:rPr>
              <w:t>、局机关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r>
              <w:rPr>
                <w:rFonts w:ascii="仿宋_GB2312" w:hAnsi="仿宋_GB2312" w:eastAsia="仿宋_GB2312" w:cs="仿宋_GB2312"/>
                <w:sz w:val="24"/>
              </w:rPr>
              <w:t>2</w:t>
            </w:r>
            <w:r>
              <w:rPr>
                <w:rFonts w:hint="eastAsia" w:ascii="仿宋_GB2312" w:hAnsi="仿宋_GB2312" w:eastAsia="仿宋_GB2312" w:cs="仿宋_GB2312"/>
                <w:sz w:val="24"/>
              </w:rPr>
              <w:t>、二级机构</w:t>
            </w:r>
            <w:r>
              <w:rPr>
                <w:rFonts w:ascii="仿宋_GB2312" w:hAnsi="仿宋_GB2312" w:eastAsia="仿宋_GB2312" w:cs="仿宋_GB2312"/>
                <w:sz w:val="24"/>
              </w:rPr>
              <w:t>1</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r>
              <w:rPr>
                <w:rFonts w:ascii="仿宋_GB2312" w:hAnsi="仿宋_GB2312" w:eastAsia="仿宋_GB2312" w:cs="仿宋_GB2312"/>
                <w:sz w:val="24"/>
              </w:rPr>
              <w:t>3</w:t>
            </w:r>
            <w:r>
              <w:rPr>
                <w:rFonts w:hint="eastAsia" w:ascii="仿宋_GB2312" w:hAnsi="仿宋_GB2312" w:eastAsia="仿宋_GB2312" w:cs="仿宋_GB2312"/>
                <w:sz w:val="24"/>
              </w:rPr>
              <w:t>、二级机构</w:t>
            </w:r>
            <w:r>
              <w:rPr>
                <w:rFonts w:ascii="仿宋_GB2312" w:hAnsi="仿宋_GB2312" w:eastAsia="仿宋_GB2312" w:cs="仿宋_GB2312"/>
                <w:sz w:val="24"/>
              </w:rPr>
              <w:t>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858"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1</w:t>
            </w:r>
            <w:r>
              <w:rPr>
                <w:rFonts w:hint="eastAsia" w:ascii="仿宋_GB2312" w:hAnsi="仿宋_GB2312" w:eastAsia="仿宋_GB2312" w:cs="仿宋_GB2312"/>
                <w:sz w:val="24"/>
              </w:rPr>
              <w:t>、局机关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2</w:t>
            </w:r>
            <w:r>
              <w:rPr>
                <w:rFonts w:hint="eastAsia" w:ascii="仿宋_GB2312" w:hAnsi="仿宋_GB2312" w:eastAsia="仿宋_GB2312" w:cs="仿宋_GB2312"/>
                <w:sz w:val="24"/>
              </w:rPr>
              <w:t>、二级机构</w:t>
            </w:r>
            <w:r>
              <w:rPr>
                <w:rFonts w:ascii="仿宋_GB2312" w:hAnsi="仿宋_GB2312" w:eastAsia="仿宋_GB2312" w:cs="仿宋_GB2312"/>
                <w:sz w:val="24"/>
              </w:rPr>
              <w:t>1</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3</w:t>
            </w:r>
            <w:r>
              <w:rPr>
                <w:rFonts w:hint="eastAsia" w:ascii="仿宋_GB2312" w:hAnsi="仿宋_GB2312" w:eastAsia="仿宋_GB2312" w:cs="仿宋_GB2312"/>
                <w:sz w:val="24"/>
              </w:rPr>
              <w:t>、二级机构</w:t>
            </w:r>
            <w:r>
              <w:rPr>
                <w:rFonts w:ascii="仿宋_GB2312" w:hAnsi="仿宋_GB2312" w:eastAsia="仿宋_GB2312" w:cs="仿宋_GB2312"/>
                <w:sz w:val="24"/>
              </w:rPr>
              <w:t>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855"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6.4</w:t>
            </w: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6.4</w:t>
            </w: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1</w:t>
            </w:r>
            <w:r>
              <w:rPr>
                <w:rFonts w:hint="eastAsia" w:ascii="仿宋_GB2312" w:hAnsi="仿宋_GB2312" w:eastAsia="仿宋_GB2312" w:cs="仿宋_GB2312"/>
                <w:sz w:val="24"/>
              </w:rPr>
              <w:t>、局机关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2</w:t>
            </w:r>
            <w:r>
              <w:rPr>
                <w:rFonts w:hint="eastAsia" w:ascii="仿宋_GB2312" w:hAnsi="仿宋_GB2312" w:eastAsia="仿宋_GB2312" w:cs="仿宋_GB2312"/>
                <w:sz w:val="24"/>
              </w:rPr>
              <w:t>、二级机构</w:t>
            </w:r>
            <w:r>
              <w:rPr>
                <w:rFonts w:ascii="仿宋_GB2312" w:hAnsi="仿宋_GB2312" w:eastAsia="仿宋_GB2312" w:cs="仿宋_GB2312"/>
                <w:sz w:val="24"/>
              </w:rPr>
              <w:t>1</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3</w:t>
            </w:r>
            <w:r>
              <w:rPr>
                <w:rFonts w:hint="eastAsia" w:ascii="仿宋_GB2312" w:hAnsi="仿宋_GB2312" w:eastAsia="仿宋_GB2312" w:cs="仿宋_GB2312"/>
                <w:sz w:val="24"/>
              </w:rPr>
              <w:t>、二级机构</w:t>
            </w:r>
            <w:r>
              <w:rPr>
                <w:rFonts w:ascii="仿宋_GB2312" w:hAnsi="仿宋_GB2312" w:eastAsia="仿宋_GB2312" w:cs="仿宋_GB2312"/>
                <w:sz w:val="24"/>
              </w:rPr>
              <w:t>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441" w:type="dxa"/>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1172" w:hRule="atLeast"/>
          <w:jc w:val="center"/>
        </w:trPr>
        <w:tc>
          <w:tcPr>
            <w:tcW w:w="1441" w:type="dxa"/>
            <w:vMerge w:val="continue"/>
            <w:noWrap/>
            <w:vAlign w:val="center"/>
          </w:tcPr>
          <w:p>
            <w:pPr>
              <w:spacing w:line="320" w:lineRule="exact"/>
              <w:rPr>
                <w:rFonts w:ascii="仿宋_GB2312" w:hAnsi="仿宋_GB2312" w:eastAsia="仿宋_GB2312" w:cs="仿宋_GB2312"/>
                <w:color w:val="000000"/>
                <w:sz w:val="24"/>
              </w:rPr>
            </w:pPr>
          </w:p>
        </w:tc>
        <w:tc>
          <w:tcPr>
            <w:tcW w:w="3774" w:type="dxa"/>
            <w:gridSpan w:val="7"/>
            <w:noWrap/>
            <w:vAlign w:val="center"/>
          </w:tcPr>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目标</w:t>
            </w:r>
            <w:r>
              <w:rPr>
                <w:rFonts w:ascii="仿宋_GB2312" w:hAnsi="仿宋_GB2312" w:eastAsia="仿宋_GB2312" w:cs="仿宋_GB2312"/>
                <w:color w:val="auto"/>
                <w:sz w:val="24"/>
              </w:rPr>
              <w:t>1</w:t>
            </w:r>
            <w:r>
              <w:rPr>
                <w:rFonts w:hint="eastAsia" w:ascii="仿宋_GB2312" w:hAnsi="仿宋_GB2312" w:eastAsia="仿宋_GB2312" w:cs="仿宋_GB2312"/>
                <w:color w:val="auto"/>
                <w:sz w:val="24"/>
              </w:rPr>
              <w:t>：实施青年培养工程，筑牢团员青年成长梦</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目标</w:t>
            </w:r>
            <w:r>
              <w:rPr>
                <w:rFonts w:ascii="仿宋_GB2312" w:hAnsi="仿宋_GB2312" w:eastAsia="仿宋_GB2312" w:cs="仿宋_GB2312"/>
                <w:color w:val="auto"/>
                <w:sz w:val="24"/>
              </w:rPr>
              <w:t>2</w:t>
            </w:r>
            <w:r>
              <w:rPr>
                <w:rFonts w:hint="eastAsia" w:ascii="仿宋_GB2312" w:hAnsi="仿宋_GB2312" w:eastAsia="仿宋_GB2312" w:cs="仿宋_GB2312"/>
                <w:color w:val="auto"/>
                <w:sz w:val="24"/>
              </w:rPr>
              <w:t>：实施青年建功工程，谱写魅力华容新篇章</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目标</w:t>
            </w:r>
            <w:r>
              <w:rPr>
                <w:rFonts w:ascii="仿宋_GB2312" w:hAnsi="仿宋_GB2312" w:eastAsia="仿宋_GB2312" w:cs="仿宋_GB2312"/>
                <w:color w:val="auto"/>
                <w:sz w:val="24"/>
              </w:rPr>
              <w:t>3</w:t>
            </w:r>
            <w:r>
              <w:rPr>
                <w:rFonts w:hint="eastAsia" w:ascii="仿宋_GB2312" w:hAnsi="仿宋_GB2312" w:eastAsia="仿宋_GB2312" w:cs="仿宋_GB2312"/>
                <w:color w:val="auto"/>
                <w:sz w:val="24"/>
              </w:rPr>
              <w:t>：实施青年圆梦工程，唱响关爱成长主旋律</w:t>
            </w:r>
          </w:p>
          <w:p>
            <w:pPr>
              <w:autoSpaceDN w:val="0"/>
              <w:spacing w:line="320" w:lineRule="exact"/>
              <w:jc w:val="left"/>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目标</w:t>
            </w:r>
            <w:r>
              <w:rPr>
                <w:rFonts w:ascii="仿宋_GB2312" w:hAnsi="仿宋_GB2312" w:eastAsia="仿宋_GB2312" w:cs="仿宋_GB2312"/>
                <w:color w:val="auto"/>
                <w:sz w:val="24"/>
              </w:rPr>
              <w:t>:4</w:t>
            </w:r>
            <w:r>
              <w:rPr>
                <w:rFonts w:hint="eastAsia" w:ascii="仿宋_GB2312" w:hAnsi="仿宋_GB2312" w:eastAsia="仿宋_GB2312" w:cs="仿宋_GB2312"/>
                <w:color w:val="auto"/>
                <w:sz w:val="24"/>
              </w:rPr>
              <w:t>：实施青年和谐工程，传递文明新风正能量</w:t>
            </w:r>
          </w:p>
          <w:p>
            <w:pPr>
              <w:autoSpaceDN w:val="0"/>
              <w:spacing w:line="320" w:lineRule="exact"/>
              <w:jc w:val="left"/>
              <w:textAlignment w:val="center"/>
              <w:rPr>
                <w:rFonts w:ascii="仿宋_GB2312" w:hAnsi="仿宋_GB2312" w:eastAsia="仿宋_GB2312" w:cs="仿宋_GB2312"/>
                <w:color w:val="FF0000"/>
                <w:sz w:val="24"/>
              </w:rPr>
            </w:pPr>
            <w:r>
              <w:rPr>
                <w:rFonts w:hint="eastAsia" w:ascii="仿宋_GB2312" w:hAnsi="仿宋_GB2312" w:eastAsia="仿宋_GB2312" w:cs="仿宋_GB2312"/>
                <w:color w:val="auto"/>
                <w:sz w:val="24"/>
              </w:rPr>
              <w:t>目标</w:t>
            </w:r>
            <w:r>
              <w:rPr>
                <w:rFonts w:ascii="仿宋_GB2312" w:hAnsi="仿宋_GB2312" w:eastAsia="仿宋_GB2312" w:cs="仿宋_GB2312"/>
                <w:color w:val="auto"/>
                <w:sz w:val="24"/>
              </w:rPr>
              <w:t>5</w:t>
            </w:r>
            <w:r>
              <w:rPr>
                <w:rFonts w:hint="eastAsia" w:ascii="仿宋_GB2312" w:hAnsi="仿宋_GB2312" w:eastAsia="仿宋_GB2312" w:cs="仿宋_GB2312"/>
                <w:color w:val="auto"/>
                <w:sz w:val="24"/>
              </w:rPr>
              <w:t>：实施青年塑性工程，打造基层组织强堡垒</w:t>
            </w:r>
          </w:p>
        </w:tc>
        <w:tc>
          <w:tcPr>
            <w:tcW w:w="4585" w:type="dxa"/>
            <w:gridSpan w:val="9"/>
            <w:noWrap/>
            <w:vAlign w:val="center"/>
          </w:tcPr>
          <w:p>
            <w:pPr>
              <w:widowControl/>
              <w:spacing w:line="0" w:lineRule="atLeast"/>
              <w:ind w:firstLine="482" w:firstLineChars="200"/>
              <w:jc w:val="left"/>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b/>
                <w:bCs/>
                <w:color w:val="000000"/>
                <w:kern w:val="0"/>
                <w:sz w:val="24"/>
                <w:szCs w:val="24"/>
                <w:lang w:val="en-US" w:eastAsia="zh-CN"/>
              </w:rPr>
              <w:t>1、坚持党建带团建，基层基础更加夯实。</w:t>
            </w:r>
            <w:r>
              <w:rPr>
                <w:rFonts w:hint="eastAsia" w:ascii="仿宋_GB2312" w:hAnsi="仿宋_GB2312" w:eastAsia="仿宋_GB2312" w:cs="仿宋_GB2312"/>
                <w:color w:val="000000"/>
                <w:kern w:val="0"/>
                <w:sz w:val="24"/>
                <w:szCs w:val="24"/>
                <w:lang w:val="en-US" w:eastAsia="zh-CN"/>
              </w:rPr>
              <w:t>组建“青年讲师团”，开展7场</w:t>
            </w:r>
            <w:r>
              <w:rPr>
                <w:rFonts w:hint="eastAsia" w:ascii="仿宋_GB2312" w:hAnsi="仿宋_GB2312" w:eastAsia="仿宋_GB2312" w:cs="仿宋_GB2312"/>
                <w:color w:val="000000"/>
                <w:kern w:val="0"/>
                <w:sz w:val="24"/>
                <w:szCs w:val="24"/>
                <w:lang w:eastAsia="zh-CN"/>
              </w:rPr>
              <w:t>集中宣讲，</w:t>
            </w:r>
            <w:r>
              <w:rPr>
                <w:rFonts w:hint="eastAsia" w:ascii="仿宋_GB2312" w:hAnsi="仿宋_GB2312" w:eastAsia="仿宋_GB2312" w:cs="仿宋_GB2312"/>
                <w:color w:val="000000"/>
                <w:kern w:val="0"/>
                <w:sz w:val="24"/>
                <w:szCs w:val="24"/>
                <w:lang w:val="en-US" w:eastAsia="zh-CN"/>
              </w:rPr>
              <w:t>覆盖青少年1500人次。组织开展“青年大学习”网上团课活动，参与学习人员累计达12万人，参与志愿服务学生团员突破1000人。强化非公经济组织和社会组织等社会领域新型青年群体建团，新建“两新”组织75个、社会组织2个，2020年新发展团员900人。</w:t>
            </w:r>
          </w:p>
          <w:p>
            <w:pPr>
              <w:widowControl/>
              <w:spacing w:line="0" w:lineRule="atLeast"/>
              <w:ind w:firstLine="482" w:firstLineChars="200"/>
              <w:jc w:val="left"/>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b/>
                <w:bCs/>
                <w:color w:val="000000"/>
                <w:kern w:val="0"/>
                <w:sz w:val="24"/>
                <w:szCs w:val="24"/>
                <w:lang w:val="en-US" w:eastAsia="zh-CN"/>
              </w:rPr>
              <w:t>2、坚持正面引导，青年活力有效激发。</w:t>
            </w:r>
            <w:r>
              <w:rPr>
                <w:rFonts w:hint="eastAsia" w:ascii="仿宋_GB2312" w:hAnsi="仿宋_GB2312" w:eastAsia="仿宋_GB2312" w:cs="仿宋_GB2312"/>
                <w:color w:val="000000"/>
                <w:kern w:val="0"/>
                <w:sz w:val="24"/>
                <w:szCs w:val="24"/>
                <w:lang w:val="en-US" w:eastAsia="zh-CN"/>
              </w:rPr>
              <w:t>疫情防控期间，组织青少年参与“防疫微展示”活动；开展网上探店活动，助力复工复产。建立“华容青年”融媒体平台，微信公众号阅读量达40万余次；抖音作品浏览量达300余万。组织“普法进校园”公益课堂活动，印制普法宣传册近2万份；全力推进“三防”课程、预防艾滋病和心理健康教育，提升青少年自我保护意识和防范能力。</w:t>
            </w:r>
          </w:p>
          <w:p>
            <w:pPr>
              <w:widowControl/>
              <w:spacing w:line="0" w:lineRule="atLeast"/>
              <w:ind w:firstLine="482" w:firstLineChars="200"/>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b/>
                <w:bCs/>
                <w:color w:val="000000"/>
                <w:kern w:val="0"/>
                <w:sz w:val="24"/>
                <w:szCs w:val="24"/>
                <w:lang w:val="en-US" w:eastAsia="zh-CN"/>
              </w:rPr>
              <w:t>3、坚持创新争先，服务大局积极有为。</w:t>
            </w:r>
            <w:r>
              <w:rPr>
                <w:rFonts w:hint="eastAsia" w:ascii="仿宋_GB2312" w:hAnsi="仿宋_GB2312" w:eastAsia="仿宋_GB2312" w:cs="仿宋_GB2312"/>
                <w:color w:val="000000"/>
                <w:kern w:val="0"/>
                <w:sz w:val="24"/>
                <w:szCs w:val="24"/>
                <w:lang w:val="en-US" w:eastAsia="zh-CN"/>
              </w:rPr>
              <w:t>一是助力脱贫攻坚。以“助力精准扶贫--青年在行动”主题活动为抓手，推进“1+100+1”</w:t>
            </w:r>
            <w:r>
              <w:rPr>
                <w:rFonts w:hint="eastAsia" w:ascii="仿宋_GB2312" w:hAnsi="仿宋_GB2312" w:eastAsia="仿宋_GB2312" w:cs="仿宋_GB2312"/>
                <w:color w:val="000000"/>
                <w:kern w:val="0"/>
                <w:sz w:val="24"/>
                <w:szCs w:val="24"/>
                <w:lang w:eastAsia="zh-CN"/>
              </w:rPr>
              <w:t>联系青年工作制度，</w:t>
            </w:r>
            <w:r>
              <w:rPr>
                <w:rFonts w:hint="eastAsia" w:ascii="仿宋_GB2312" w:hAnsi="仿宋_GB2312" w:eastAsia="仿宋_GB2312" w:cs="仿宋_GB2312"/>
                <w:color w:val="000000"/>
                <w:kern w:val="0"/>
                <w:sz w:val="24"/>
                <w:szCs w:val="24"/>
                <w:lang w:val="en-US" w:eastAsia="zh-CN"/>
              </w:rPr>
              <w:t>共帮扶贫困户200多户，提供物资10多万元。二是组织志愿活动。组织开展“青清家园”、“青春无毒”、“闪耀容城 青年筑梦”、“怦然心动”青年联谊交友、“联通未来·报考无忧”等系列活动。特别是疫情防控期间招募73名志愿者，服务时长13750小时，其中7名志愿者获省级荣誉。三是开展爱心帮扶。积极引进省市级项目，争取助学金18万元，累计资助贫困学子45名。开展“情暖童心”、“团暖冬日”等关爱留守儿童扶贫助学活动，为200余名贫困学子和留守儿童捐赠爱心款物10多万元。</w:t>
            </w:r>
          </w:p>
          <w:p>
            <w:pPr>
              <w:numPr>
                <w:ilvl w:val="0"/>
                <w:numId w:val="0"/>
              </w:numPr>
              <w:autoSpaceDN w:val="0"/>
              <w:spacing w:line="320" w:lineRule="exact"/>
              <w:jc w:val="left"/>
              <w:textAlignment w:val="center"/>
              <w:rPr>
                <w:color w:val="FF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441" w:type="dxa"/>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000000"/>
                <w:sz w:val="24"/>
              </w:rPr>
            </w:pPr>
          </w:p>
        </w:tc>
        <w:tc>
          <w:tcPr>
            <w:tcW w:w="1549" w:type="dxa"/>
            <w:gridSpan w:val="4"/>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1</w:t>
            </w:r>
            <w:r>
              <w:rPr>
                <w:rFonts w:hint="eastAsia" w:ascii="仿宋_GB2312" w:hAnsi="仿宋_GB2312" w:eastAsia="仿宋_GB2312" w:cs="仿宋_GB2312"/>
                <w:color w:val="000000"/>
                <w:sz w:val="24"/>
              </w:rPr>
              <w:t>：服务党政中心，精准扶贫见成效</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按期完成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000000"/>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000000"/>
                <w:sz w:val="24"/>
              </w:rPr>
            </w:pPr>
          </w:p>
        </w:tc>
        <w:tc>
          <w:tcPr>
            <w:tcW w:w="1417" w:type="dxa"/>
            <w:gridSpan w:val="2"/>
            <w:vMerge w:val="continue"/>
            <w:noWrap/>
            <w:vAlign w:val="center"/>
          </w:tcPr>
          <w:p>
            <w:pPr>
              <w:spacing w:line="320" w:lineRule="exact"/>
              <w:rPr>
                <w:rFonts w:ascii="仿宋_GB2312" w:hAnsi="仿宋_GB2312" w:eastAsia="仿宋_GB2312" w:cs="仿宋_GB2312"/>
                <w:color w:val="000000"/>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2</w:t>
            </w:r>
            <w:r>
              <w:rPr>
                <w:rFonts w:hint="eastAsia" w:ascii="仿宋_GB2312" w:hAnsi="仿宋_GB2312" w:eastAsia="仿宋_GB2312" w:cs="仿宋_GB2312"/>
                <w:color w:val="000000"/>
                <w:sz w:val="24"/>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FF0000"/>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000000"/>
                <w:sz w:val="24"/>
              </w:rPr>
            </w:pPr>
          </w:p>
        </w:tc>
        <w:tc>
          <w:tcPr>
            <w:tcW w:w="1417" w:type="dxa"/>
            <w:gridSpan w:val="2"/>
            <w:vMerge w:val="continue"/>
            <w:noWrap/>
            <w:vAlign w:val="center"/>
          </w:tcPr>
          <w:p>
            <w:pPr>
              <w:spacing w:line="320" w:lineRule="exact"/>
              <w:rPr>
                <w:rFonts w:ascii="仿宋_GB2312" w:hAnsi="仿宋_GB2312" w:eastAsia="仿宋_GB2312" w:cs="仿宋_GB2312"/>
                <w:color w:val="000000"/>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FF0000"/>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000000"/>
                <w:sz w:val="24"/>
              </w:rPr>
            </w:pP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1</w:t>
            </w:r>
            <w:r>
              <w:rPr>
                <w:rFonts w:hint="eastAsia" w:ascii="仿宋_GB2312" w:hAnsi="仿宋_GB2312" w:eastAsia="仿宋_GB2312" w:cs="仿宋_GB2312"/>
                <w:color w:val="000000"/>
                <w:sz w:val="24"/>
              </w:rPr>
              <w:t>：慰问贫困家庭，关爱留守儿童，扶贫助学</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超额完成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61" w:hRule="atLeast"/>
          <w:jc w:val="center"/>
        </w:trPr>
        <w:tc>
          <w:tcPr>
            <w:tcW w:w="1441" w:type="dxa"/>
            <w:vMerge w:val="continue"/>
            <w:noWrap/>
            <w:vAlign w:val="center"/>
          </w:tcPr>
          <w:p>
            <w:pPr>
              <w:spacing w:line="320" w:lineRule="exact"/>
              <w:rPr>
                <w:rFonts w:ascii="仿宋_GB2312" w:hAnsi="仿宋_GB2312" w:eastAsia="仿宋_GB2312" w:cs="仿宋_GB2312"/>
                <w:color w:val="FF0000"/>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000000"/>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2</w:t>
            </w:r>
            <w:r>
              <w:rPr>
                <w:rFonts w:hint="eastAsia" w:ascii="仿宋_GB2312" w:hAnsi="仿宋_GB2312" w:eastAsia="仿宋_GB2312" w:cs="仿宋_GB2312"/>
                <w:color w:val="000000"/>
                <w:sz w:val="24"/>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61" w:hRule="atLeast"/>
          <w:jc w:val="center"/>
        </w:trPr>
        <w:tc>
          <w:tcPr>
            <w:tcW w:w="1441" w:type="dxa"/>
            <w:vMerge w:val="continue"/>
            <w:noWrap/>
            <w:vAlign w:val="center"/>
          </w:tcPr>
          <w:p>
            <w:pPr>
              <w:spacing w:line="320" w:lineRule="exact"/>
              <w:rPr>
                <w:rFonts w:ascii="仿宋_GB2312" w:hAnsi="仿宋_GB2312" w:eastAsia="仿宋_GB2312" w:cs="仿宋_GB2312"/>
                <w:color w:val="FF0000"/>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000000"/>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FF0000"/>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000000"/>
                <w:sz w:val="24"/>
              </w:rPr>
            </w:pP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1</w:t>
            </w:r>
            <w:r>
              <w:rPr>
                <w:rFonts w:hint="eastAsia" w:ascii="仿宋_GB2312" w:hAnsi="仿宋_GB2312" w:eastAsia="仿宋_GB2312" w:cs="仿宋_GB2312"/>
                <w:color w:val="000000"/>
                <w:sz w:val="24"/>
              </w:rPr>
              <w:t>：年度内完成情况</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年度内完成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FF0000"/>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000000"/>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2</w:t>
            </w:r>
            <w:r>
              <w:rPr>
                <w:rFonts w:hint="eastAsia" w:ascii="仿宋_GB2312" w:hAnsi="仿宋_GB2312" w:eastAsia="仿宋_GB2312" w:cs="仿宋_GB2312"/>
                <w:color w:val="000000"/>
                <w:sz w:val="24"/>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FF0000"/>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000000"/>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FF0000"/>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000000"/>
                <w:sz w:val="24"/>
              </w:rPr>
            </w:pPr>
          </w:p>
        </w:tc>
        <w:tc>
          <w:tcPr>
            <w:tcW w:w="1417" w:type="dxa"/>
            <w:gridSpan w:val="2"/>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1</w:t>
            </w:r>
            <w:r>
              <w:rPr>
                <w:rFonts w:hint="eastAsia" w:ascii="仿宋_GB2312" w:hAnsi="仿宋_GB2312" w:eastAsia="仿宋_GB2312" w:cs="仿宋_GB2312"/>
                <w:color w:val="000000"/>
                <w:sz w:val="24"/>
              </w:rPr>
              <w:t>：经费预算</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控制在预算内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FF0000"/>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000000"/>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2</w:t>
            </w:r>
            <w:r>
              <w:rPr>
                <w:rFonts w:hint="eastAsia" w:ascii="仿宋_GB2312" w:hAnsi="仿宋_GB2312" w:eastAsia="仿宋_GB2312" w:cs="仿宋_GB2312"/>
                <w:color w:val="000000"/>
                <w:sz w:val="24"/>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FF0000"/>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000000"/>
                <w:sz w:val="24"/>
              </w:rPr>
            </w:pPr>
          </w:p>
        </w:tc>
        <w:tc>
          <w:tcPr>
            <w:tcW w:w="1417" w:type="dxa"/>
            <w:gridSpan w:val="2"/>
            <w:vMerge w:val="continue"/>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FF0000"/>
                <w:sz w:val="24"/>
              </w:rPr>
            </w:pPr>
          </w:p>
        </w:tc>
        <w:tc>
          <w:tcPr>
            <w:tcW w:w="1549" w:type="dxa"/>
            <w:gridSpan w:val="4"/>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1</w:t>
            </w:r>
            <w:r>
              <w:rPr>
                <w:rFonts w:hint="eastAsia" w:ascii="仿宋_GB2312" w:hAnsi="仿宋_GB2312" w:eastAsia="仿宋_GB2312" w:cs="仿宋_GB2312"/>
                <w:color w:val="000000"/>
                <w:sz w:val="24"/>
              </w:rPr>
              <w:t>：湖南好人活动</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2</w:t>
            </w:r>
            <w:r>
              <w:rPr>
                <w:rFonts w:hint="eastAsia" w:ascii="仿宋_GB2312" w:hAnsi="仿宋_GB2312" w:eastAsia="仿宋_GB2312" w:cs="仿宋_GB2312"/>
                <w:color w:val="000000"/>
                <w:sz w:val="24"/>
              </w:rPr>
              <w:t>：党建共创金融普惠活动</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圆满完成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FF0000"/>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000000"/>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1</w:t>
            </w:r>
            <w:r>
              <w:rPr>
                <w:rFonts w:hint="eastAsia" w:ascii="仿宋_GB2312" w:hAnsi="仿宋_GB2312" w:eastAsia="仿宋_GB2312" w:cs="仿宋_GB2312"/>
                <w:color w:val="000000"/>
                <w:sz w:val="24"/>
              </w:rPr>
              <w:t>：</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2</w:t>
            </w:r>
            <w:r>
              <w:rPr>
                <w:rFonts w:hint="eastAsia" w:ascii="仿宋_GB2312" w:hAnsi="仿宋_GB2312" w:eastAsia="仿宋_GB2312" w:cs="仿宋_GB2312"/>
                <w:color w:val="000000"/>
                <w:sz w:val="24"/>
              </w:rPr>
              <w:t>：</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FF0000"/>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000000"/>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1</w:t>
            </w:r>
            <w:r>
              <w:rPr>
                <w:rFonts w:hint="eastAsia" w:ascii="仿宋_GB2312" w:hAnsi="仿宋_GB2312" w:eastAsia="仿宋_GB2312" w:cs="仿宋_GB2312"/>
                <w:color w:val="000000"/>
                <w:sz w:val="24"/>
              </w:rPr>
              <w:t>：</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2</w:t>
            </w:r>
            <w:r>
              <w:rPr>
                <w:rFonts w:hint="eastAsia" w:ascii="仿宋_GB2312" w:hAnsi="仿宋_GB2312" w:eastAsia="仿宋_GB2312" w:cs="仿宋_GB2312"/>
                <w:color w:val="000000"/>
                <w:sz w:val="24"/>
              </w:rPr>
              <w:t>：</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FF0000"/>
                <w:sz w:val="24"/>
              </w:rPr>
            </w:pPr>
          </w:p>
        </w:tc>
        <w:tc>
          <w:tcPr>
            <w:tcW w:w="1549" w:type="dxa"/>
            <w:gridSpan w:val="4"/>
            <w:vMerge w:val="continue"/>
            <w:noWrap/>
            <w:vAlign w:val="center"/>
          </w:tcPr>
          <w:p>
            <w:pPr>
              <w:autoSpaceDN w:val="0"/>
              <w:spacing w:line="320" w:lineRule="exact"/>
              <w:rPr>
                <w:rFonts w:ascii="仿宋_GB2312" w:hAnsi="仿宋_GB2312" w:eastAsia="仿宋_GB2312" w:cs="仿宋_GB2312"/>
                <w:color w:val="000000"/>
                <w:sz w:val="24"/>
              </w:rPr>
            </w:pPr>
          </w:p>
        </w:tc>
        <w:tc>
          <w:tcPr>
            <w:tcW w:w="1417"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1</w:t>
            </w:r>
            <w:r>
              <w:rPr>
                <w:rFonts w:hint="eastAsia" w:ascii="仿宋_GB2312" w:hAnsi="仿宋_GB2312" w:eastAsia="仿宋_GB2312" w:cs="仿宋_GB2312"/>
                <w:color w:val="000000"/>
                <w:sz w:val="24"/>
              </w:rPr>
              <w:t>：步步行善助学捐步</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2</w:t>
            </w:r>
            <w:r>
              <w:rPr>
                <w:rFonts w:hint="eastAsia" w:ascii="仿宋_GB2312" w:hAnsi="仿宋_GB2312" w:eastAsia="仿宋_GB2312" w:cs="仿宋_GB2312"/>
                <w:color w:val="000000"/>
                <w:sz w:val="24"/>
              </w:rPr>
              <w:t>：社会公众和服务对象满意度</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95%以上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2990"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2990"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姓名</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w:t>
            </w:r>
            <w:r>
              <w:rPr>
                <w:rFonts w:ascii="仿宋_GB2312" w:hAnsi="仿宋_GB2312" w:eastAsia="仿宋_GB2312" w:cs="仿宋_GB2312"/>
                <w:color w:val="000000"/>
                <w:sz w:val="24"/>
              </w:rPr>
              <w:t>/</w:t>
            </w:r>
            <w:r>
              <w:rPr>
                <w:rFonts w:hint="eastAsia" w:ascii="仿宋_GB2312" w:hAnsi="仿宋_GB2312" w:eastAsia="仿宋_GB2312" w:cs="仿宋_GB2312"/>
                <w:color w:val="000000"/>
                <w:sz w:val="24"/>
              </w:rPr>
              <w:t>职称</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单位</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黎舒曼</w:t>
            </w:r>
          </w:p>
        </w:tc>
        <w:tc>
          <w:tcPr>
            <w:tcW w:w="3561" w:type="dxa"/>
            <w:gridSpan w:val="6"/>
            <w:noWrap/>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副书记</w:t>
            </w:r>
            <w:r>
              <w:rPr>
                <w:rFonts w:hint="eastAsia" w:ascii="仿宋_GB2312" w:hAnsi="仿宋_GB2312" w:eastAsia="仿宋_GB2312" w:cs="仿宋_GB2312"/>
                <w:color w:val="000000"/>
                <w:sz w:val="24"/>
                <w:lang w:eastAsia="zh-CN"/>
              </w:rPr>
              <w:t>（主持工作）</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团县委</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谢</w:t>
            </w:r>
            <w:r>
              <w:rPr>
                <w:rFonts w:hint="eastAsia" w:ascii="仿宋_GB2312" w:hAnsi="仿宋_GB2312" w:eastAsia="仿宋_GB2312" w:cs="仿宋_GB2312"/>
                <w:color w:val="000000"/>
                <w:sz w:val="24"/>
                <w:lang w:val="en-US" w:eastAsia="zh-CN"/>
              </w:rPr>
              <w:t xml:space="preserve"> </w:t>
            </w:r>
            <w:r>
              <w:rPr>
                <w:rFonts w:hint="eastAsia" w:ascii="仿宋_GB2312" w:hAnsi="仿宋_GB2312" w:eastAsia="仿宋_GB2312" w:cs="仿宋_GB2312"/>
                <w:color w:val="000000"/>
                <w:sz w:val="24"/>
                <w:lang w:eastAsia="zh-CN"/>
              </w:rPr>
              <w:t>龙</w:t>
            </w:r>
          </w:p>
        </w:tc>
        <w:tc>
          <w:tcPr>
            <w:tcW w:w="3561" w:type="dxa"/>
            <w:gridSpan w:val="6"/>
            <w:noWrap/>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副书记</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团县委</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李</w:t>
            </w:r>
            <w:r>
              <w:rPr>
                <w:rFonts w:hint="eastAsia" w:ascii="仿宋_GB2312" w:hAnsi="仿宋_GB2312" w:eastAsia="仿宋_GB2312" w:cs="仿宋_GB2312"/>
                <w:color w:val="000000"/>
                <w:sz w:val="24"/>
                <w:lang w:val="en-US" w:eastAsia="zh-CN"/>
              </w:rPr>
              <w:t xml:space="preserve"> </w:t>
            </w:r>
            <w:r>
              <w:rPr>
                <w:rFonts w:hint="eastAsia" w:ascii="仿宋_GB2312" w:hAnsi="仿宋_GB2312" w:eastAsia="仿宋_GB2312" w:cs="仿宋_GB2312"/>
                <w:color w:val="000000"/>
                <w:sz w:val="24"/>
              </w:rPr>
              <w:t>航</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办公室主任</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团县委</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722" w:hRule="atLeast"/>
          <w:jc w:val="center"/>
        </w:trPr>
        <w:tc>
          <w:tcPr>
            <w:tcW w:w="9800" w:type="dxa"/>
            <w:gridSpan w:val="17"/>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 xml:space="preserve">  </w:t>
            </w:r>
          </w:p>
          <w:p>
            <w:pPr>
              <w:autoSpaceDN w:val="0"/>
              <w:spacing w:line="320" w:lineRule="exact"/>
              <w:ind w:firstLine="7200" w:firstLineChars="3000"/>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w:t>
            </w:r>
            <w:r>
              <w:rPr>
                <w:rFonts w:hint="eastAsia" w:ascii="仿宋_GB2312" w:hAnsi="仿宋_GB2312" w:eastAsia="仿宋_GB2312" w:cs="仿宋_GB2312"/>
                <w:color w:val="000000"/>
                <w:sz w:val="24"/>
                <w:lang w:val="en-US" w:eastAsia="zh-CN"/>
              </w:rPr>
              <w:t xml:space="preserve">   </w:t>
            </w:r>
            <w:r>
              <w:rPr>
                <w:rFonts w:hint="eastAsia" w:ascii="仿宋_GB2312" w:hAnsi="仿宋_GB2312" w:eastAsia="仿宋_GB2312" w:cs="仿宋_GB2312"/>
                <w:color w:val="000000"/>
                <w:sz w:val="24"/>
              </w:rPr>
              <w:t>月</w:t>
            </w:r>
            <w:r>
              <w:rPr>
                <w:rFonts w:hint="eastAsia" w:ascii="仿宋_GB2312" w:hAnsi="仿宋_GB2312" w:eastAsia="仿宋_GB2312" w:cs="仿宋_GB2312"/>
                <w:color w:val="000000"/>
                <w:sz w:val="24"/>
                <w:lang w:val="en-US" w:eastAsia="zh-CN"/>
              </w:rPr>
              <w:t xml:space="preserve">   </w:t>
            </w:r>
            <w:r>
              <w:rPr>
                <w:rFonts w:hint="eastAsia" w:ascii="仿宋_GB2312" w:hAnsi="仿宋_GB2312" w:eastAsia="仿宋_GB2312" w:cs="仿宋_GB2312"/>
                <w:color w:val="000000"/>
                <w:sz w:val="24"/>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722" w:hRule="atLeast"/>
          <w:jc w:val="center"/>
        </w:trPr>
        <w:tc>
          <w:tcPr>
            <w:tcW w:w="9800" w:type="dxa"/>
            <w:gridSpan w:val="17"/>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部门（单位）负责人（签章）：</w:t>
            </w:r>
          </w:p>
          <w:p>
            <w:pPr>
              <w:autoSpaceDN w:val="0"/>
              <w:spacing w:line="320" w:lineRule="exact"/>
              <w:ind w:firstLine="7440" w:firstLineChars="3100"/>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w:t>
            </w:r>
            <w:r>
              <w:rPr>
                <w:rFonts w:hint="eastAsia" w:ascii="仿宋_GB2312" w:hAnsi="仿宋_GB2312" w:eastAsia="仿宋_GB2312" w:cs="仿宋_GB2312"/>
                <w:color w:val="000000"/>
                <w:sz w:val="24"/>
                <w:lang w:val="en-US" w:eastAsia="zh-CN"/>
              </w:rPr>
              <w:t xml:space="preserve">   </w:t>
            </w:r>
            <w:r>
              <w:rPr>
                <w:rFonts w:hint="eastAsia" w:ascii="仿宋_GB2312" w:hAnsi="仿宋_GB2312" w:eastAsia="仿宋_GB2312" w:cs="仿宋_GB2312"/>
                <w:color w:val="000000"/>
                <w:sz w:val="24"/>
              </w:rPr>
              <w:t>月</w:t>
            </w:r>
            <w:r>
              <w:rPr>
                <w:rFonts w:hint="eastAsia" w:ascii="仿宋_GB2312" w:hAnsi="仿宋_GB2312" w:eastAsia="仿宋_GB2312" w:cs="仿宋_GB2312"/>
                <w:color w:val="000000"/>
                <w:sz w:val="24"/>
                <w:lang w:val="en-US" w:eastAsia="zh-CN"/>
              </w:rPr>
              <w:t xml:space="preserve">  </w:t>
            </w:r>
            <w:r>
              <w:rPr>
                <w:rFonts w:hint="eastAsia" w:ascii="仿宋_GB2312" w:hAnsi="仿宋_GB2312" w:eastAsia="仿宋_GB2312" w:cs="仿宋_GB2312"/>
                <w:color w:val="000000"/>
                <w:sz w:val="24"/>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794" w:hRule="atLeast"/>
          <w:jc w:val="center"/>
        </w:trPr>
        <w:tc>
          <w:tcPr>
            <w:tcW w:w="9800" w:type="dxa"/>
            <w:gridSpan w:val="17"/>
            <w:noWrap/>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hint="eastAsia" w:eastAsia="仿宋_GB2312"/>
                <w:sz w:val="24"/>
              </w:rPr>
              <w:t>财政部门归口业务科室负责人（签章）：</w:t>
            </w:r>
          </w:p>
          <w:p>
            <w:pPr>
              <w:autoSpaceDN w:val="0"/>
              <w:spacing w:line="320" w:lineRule="exact"/>
              <w:ind w:firstLine="7440" w:firstLineChars="3100"/>
              <w:jc w:val="left"/>
              <w:textAlignment w:val="center"/>
              <w:rPr>
                <w:rFonts w:ascii="仿宋_GB2312" w:hAnsi="仿宋_GB2312" w:eastAsia="仿宋_GB2312" w:cs="仿宋_GB2312"/>
                <w:color w:val="000000"/>
                <w:sz w:val="24"/>
              </w:rPr>
            </w:pPr>
            <w:r>
              <w:rPr>
                <w:rFonts w:hint="eastAsia" w:eastAsia="仿宋_GB2312"/>
                <w:sz w:val="24"/>
              </w:rPr>
              <w:t>年</w:t>
            </w:r>
            <w:r>
              <w:rPr>
                <w:rFonts w:hint="eastAsia" w:eastAsia="仿宋_GB2312"/>
                <w:sz w:val="24"/>
                <w:lang w:val="en-US" w:eastAsia="zh-CN"/>
              </w:rPr>
              <w:t xml:space="preserve">   </w:t>
            </w:r>
            <w:r>
              <w:rPr>
                <w:rFonts w:hint="eastAsia" w:eastAsia="仿宋_GB2312"/>
                <w:sz w:val="24"/>
              </w:rPr>
              <w:t>月</w:t>
            </w:r>
            <w:r>
              <w:rPr>
                <w:rFonts w:hint="eastAsia" w:eastAsia="仿宋_GB2312"/>
                <w:sz w:val="24"/>
                <w:lang w:val="en-US" w:eastAsia="zh-CN"/>
              </w:rPr>
              <w:t xml:space="preserve">  </w:t>
            </w:r>
            <w:r>
              <w:rPr>
                <w:rFonts w:hint="eastAsia" w:eastAsia="仿宋_GB2312"/>
                <w:sz w:val="24"/>
              </w:rPr>
              <w:t>日</w:t>
            </w:r>
          </w:p>
        </w:tc>
      </w:tr>
    </w:tbl>
    <w:p>
      <w:pPr>
        <w:rPr>
          <w:rFonts w:eastAsia="仿宋_GB2312" w:cs="仿宋_GB2312"/>
          <w:bCs/>
          <w:sz w:val="28"/>
          <w:szCs w:val="28"/>
        </w:rPr>
      </w:pPr>
      <w:r>
        <w:rPr>
          <w:rFonts w:hint="eastAsia" w:eastAsia="仿宋_GB2312" w:cs="仿宋_GB2312"/>
          <w:bCs/>
          <w:sz w:val="28"/>
          <w:szCs w:val="28"/>
        </w:rPr>
        <w:t>填报人（签名）：李航                   联系电话：</w:t>
      </w:r>
      <w:r>
        <w:rPr>
          <w:rFonts w:hint="eastAsia" w:ascii="仿宋_GB2312" w:hAnsi="仿宋_GB2312" w:eastAsia="仿宋_GB2312" w:cs="仿宋_GB2312"/>
          <w:color w:val="000000"/>
          <w:sz w:val="28"/>
          <w:szCs w:val="28"/>
        </w:rPr>
        <w:t>18390039098</w:t>
      </w:r>
    </w:p>
    <w:tbl>
      <w:tblPr>
        <w:tblStyle w:val="9"/>
        <w:tblW w:w="955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98" w:hRule="atLeast"/>
          <w:jc w:val="center"/>
        </w:trPr>
        <w:tc>
          <w:tcPr>
            <w:tcW w:w="9558" w:type="dxa"/>
            <w:noWrap/>
          </w:tcPr>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五、评价报告综述（文字部分）</w:t>
            </w:r>
          </w:p>
          <w:p>
            <w:pPr>
              <w:spacing w:line="560" w:lineRule="exact"/>
              <w:ind w:firstLine="560" w:firstLineChars="200"/>
              <w:rPr>
                <w:rFonts w:ascii="仿宋_GB2312" w:hAnsi="仿宋_GB2312" w:eastAsia="仿宋_GB2312" w:cs="仿宋_GB2312"/>
                <w:bCs/>
                <w:sz w:val="28"/>
                <w:szCs w:val="28"/>
              </w:rPr>
            </w:pP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一、部门（单位）概况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单位为财政全额预算拨款单位，核定人员编制</w:t>
            </w:r>
            <w:r>
              <w:rPr>
                <w:rFonts w:hint="eastAsia" w:ascii="仿宋_GB2312" w:hAnsi="仿宋_GB2312" w:eastAsia="仿宋_GB2312" w:cs="仿宋_GB2312"/>
                <w:bCs/>
                <w:sz w:val="28"/>
                <w:szCs w:val="28"/>
                <w:lang w:val="en-US" w:eastAsia="zh-CN"/>
              </w:rPr>
              <w:t>4</w:t>
            </w:r>
            <w:r>
              <w:rPr>
                <w:rFonts w:hint="eastAsia" w:ascii="仿宋_GB2312" w:hAnsi="仿宋_GB2312" w:eastAsia="仿宋_GB2312" w:cs="仿宋_GB2312"/>
                <w:bCs/>
                <w:sz w:val="28"/>
                <w:szCs w:val="28"/>
              </w:rPr>
              <w:t>人，实有人数为</w:t>
            </w:r>
            <w:r>
              <w:rPr>
                <w:rFonts w:hint="eastAsia" w:ascii="仿宋_GB2312" w:hAnsi="仿宋_GB2312" w:eastAsia="仿宋_GB2312" w:cs="仿宋_GB2312"/>
                <w:bCs/>
                <w:sz w:val="28"/>
                <w:szCs w:val="28"/>
                <w:lang w:val="en-US" w:eastAsia="zh-CN"/>
              </w:rPr>
              <w:t>2</w:t>
            </w:r>
            <w:r>
              <w:rPr>
                <w:rFonts w:hint="eastAsia" w:ascii="仿宋_GB2312" w:hAnsi="仿宋_GB2312" w:eastAsia="仿宋_GB2312" w:cs="仿宋_GB2312"/>
                <w:bCs/>
                <w:sz w:val="28"/>
                <w:szCs w:val="28"/>
              </w:rPr>
              <w:t>人。</w:t>
            </w:r>
          </w:p>
          <w:p>
            <w:pPr>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1</w:t>
            </w:r>
            <w:r>
              <w:rPr>
                <w:rFonts w:hint="eastAsia" w:ascii="仿宋_GB2312" w:hAnsi="仿宋_GB2312" w:eastAsia="仿宋_GB2312" w:cs="仿宋_GB2312"/>
                <w:bCs/>
                <w:sz w:val="28"/>
                <w:szCs w:val="28"/>
              </w:rPr>
              <w:t>）职责职能：</w:t>
            </w:r>
          </w:p>
          <w:p>
            <w:pPr>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1</w:t>
            </w:r>
            <w:r>
              <w:rPr>
                <w:rFonts w:hint="eastAsia" w:ascii="仿宋_GB2312" w:hAnsi="仿宋_GB2312" w:eastAsia="仿宋_GB2312" w:cs="仿宋_GB2312"/>
                <w:bCs/>
                <w:sz w:val="28"/>
                <w:szCs w:val="28"/>
              </w:rPr>
              <w:t>、行使中共华容县委赋予的领导全县共青团、青联和少先队工作的职权，对全县青年社团组织进行指导和管理。</w:t>
            </w:r>
          </w:p>
          <w:p>
            <w:pPr>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2</w:t>
            </w:r>
            <w:r>
              <w:rPr>
                <w:rFonts w:hint="eastAsia" w:ascii="仿宋_GB2312" w:hAnsi="仿宋_GB2312" w:eastAsia="仿宋_GB2312" w:cs="仿宋_GB2312"/>
                <w:bCs/>
                <w:sz w:val="28"/>
                <w:szCs w:val="28"/>
              </w:rPr>
              <w:t>、贯彻落实青少年工作方针、政策，参与制订青少年事业发展规划，对青少年活动阵地、青少年报刊、青少年服务机构的建设和青少年读物出版等事务进行规划和管理。</w:t>
            </w:r>
          </w:p>
          <w:p>
            <w:pPr>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3</w:t>
            </w:r>
            <w:r>
              <w:rPr>
                <w:rFonts w:hint="eastAsia" w:ascii="仿宋_GB2312" w:hAnsi="仿宋_GB2312" w:eastAsia="仿宋_GB2312" w:cs="仿宋_GB2312"/>
                <w:bCs/>
                <w:sz w:val="28"/>
                <w:szCs w:val="28"/>
              </w:rPr>
              <w:t>、参与有关青少年事务的法律、法规的制订和实施，协助县委、县政府处理、协调与青少年利益有关的事务。</w:t>
            </w:r>
          </w:p>
          <w:p>
            <w:pPr>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4</w:t>
            </w:r>
            <w:r>
              <w:rPr>
                <w:rFonts w:hint="eastAsia" w:ascii="仿宋_GB2312" w:hAnsi="仿宋_GB2312" w:eastAsia="仿宋_GB2312" w:cs="仿宋_GB2312"/>
                <w:bCs/>
                <w:sz w:val="28"/>
                <w:szCs w:val="28"/>
              </w:rPr>
              <w:t>、调查青少年思想动态和青年工作状况，研究青少年运动、青少年工作理论和青少年思想教育问题，提出相应的对策，开展各种有益的活动；研究青少年违法犯罪问题，协同有关部门开展青少年法制教育工作，预防青少年犯罪。</w:t>
            </w:r>
          </w:p>
          <w:p>
            <w:pPr>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5</w:t>
            </w:r>
            <w:r>
              <w:rPr>
                <w:rFonts w:hint="eastAsia" w:ascii="仿宋_GB2312" w:hAnsi="仿宋_GB2312" w:eastAsia="仿宋_GB2312" w:cs="仿宋_GB2312"/>
                <w:bCs/>
                <w:sz w:val="28"/>
                <w:szCs w:val="28"/>
              </w:rPr>
              <w:t>、协助教育部门做好学生的教育管理工作，维护学校稳定和社会安定团结。</w:t>
            </w:r>
          </w:p>
          <w:p>
            <w:pPr>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6</w:t>
            </w:r>
            <w:r>
              <w:rPr>
                <w:rFonts w:hint="eastAsia" w:ascii="仿宋_GB2312" w:hAnsi="仿宋_GB2312" w:eastAsia="仿宋_GB2312" w:cs="仿宋_GB2312"/>
                <w:bCs/>
                <w:sz w:val="28"/>
                <w:szCs w:val="28"/>
              </w:rPr>
              <w:t>、在全县经济建设中，组织和带领青少年发挥生力军和突击队的作用。</w:t>
            </w:r>
          </w:p>
          <w:p>
            <w:pPr>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7</w:t>
            </w:r>
            <w:r>
              <w:rPr>
                <w:rFonts w:hint="eastAsia" w:ascii="仿宋_GB2312" w:hAnsi="仿宋_GB2312" w:eastAsia="仿宋_GB2312" w:cs="仿宋_GB2312"/>
                <w:bCs/>
                <w:sz w:val="28"/>
                <w:szCs w:val="28"/>
              </w:rPr>
              <w:t>、会同有关部门负责青少年外事工作和县外青少年组织、团体的交流工作；做好青年统战对象的团结教育工作。</w:t>
            </w:r>
          </w:p>
          <w:p>
            <w:pPr>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8</w:t>
            </w:r>
            <w:r>
              <w:rPr>
                <w:rFonts w:hint="eastAsia" w:ascii="仿宋_GB2312" w:hAnsi="仿宋_GB2312" w:eastAsia="仿宋_GB2312" w:cs="仿宋_GB2312"/>
                <w:bCs/>
                <w:sz w:val="28"/>
                <w:szCs w:val="28"/>
              </w:rPr>
              <w:t>、承办县委、县政府交办的其他事项。</w:t>
            </w:r>
          </w:p>
          <w:p>
            <w:pPr>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2</w:t>
            </w:r>
            <w:r>
              <w:rPr>
                <w:rFonts w:hint="eastAsia" w:ascii="仿宋_GB2312" w:hAnsi="仿宋_GB2312" w:eastAsia="仿宋_GB2312" w:cs="仿宋_GB2312"/>
                <w:bCs/>
                <w:sz w:val="28"/>
                <w:szCs w:val="28"/>
              </w:rPr>
              <w:t>）内设机构：未设置内设机构。</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（二）部门（单位）整体支出规模</w:t>
            </w:r>
          </w:p>
          <w:p>
            <w:pPr>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1</w:t>
            </w:r>
            <w:r>
              <w:rPr>
                <w:rFonts w:hint="eastAsia" w:ascii="仿宋_GB2312" w:hAnsi="仿宋_GB2312" w:eastAsia="仿宋_GB2312" w:cs="仿宋_GB2312"/>
                <w:bCs/>
                <w:sz w:val="28"/>
                <w:szCs w:val="28"/>
              </w:rPr>
              <w:t>、收入情况：全年收入56.4万元，其中：财政拨款收入56.4万元。</w:t>
            </w:r>
          </w:p>
          <w:p>
            <w:pPr>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2</w:t>
            </w:r>
            <w:r>
              <w:rPr>
                <w:rFonts w:hint="eastAsia" w:ascii="仿宋_GB2312" w:hAnsi="仿宋_GB2312" w:eastAsia="仿宋_GB2312" w:cs="仿宋_GB2312"/>
                <w:bCs/>
                <w:sz w:val="28"/>
                <w:szCs w:val="28"/>
              </w:rPr>
              <w:t>、支出情况</w:t>
            </w:r>
            <w:r>
              <w:rPr>
                <w:rFonts w:ascii="仿宋_GB2312" w:hAnsi="仿宋_GB2312" w:eastAsia="仿宋_GB2312" w:cs="仿宋_GB2312"/>
                <w:bCs/>
                <w:sz w:val="28"/>
                <w:szCs w:val="28"/>
              </w:rPr>
              <w:t>:</w:t>
            </w:r>
            <w:r>
              <w:rPr>
                <w:rFonts w:hint="eastAsia" w:ascii="仿宋_GB2312" w:hAnsi="仿宋_GB2312" w:eastAsia="仿宋_GB2312" w:cs="仿宋_GB2312"/>
                <w:bCs/>
                <w:sz w:val="28"/>
                <w:szCs w:val="28"/>
              </w:rPr>
              <w:t>全年支出56.4万元，其中：基本支出56.4万元，项目支出</w:t>
            </w:r>
            <w:r>
              <w:rPr>
                <w:rFonts w:ascii="仿宋_GB2312" w:hAnsi="仿宋_GB2312" w:eastAsia="仿宋_GB2312" w:cs="仿宋_GB2312"/>
                <w:bCs/>
                <w:sz w:val="28"/>
                <w:szCs w:val="28"/>
              </w:rPr>
              <w:t>0</w:t>
            </w:r>
            <w:r>
              <w:rPr>
                <w:rFonts w:hint="eastAsia" w:ascii="仿宋_GB2312" w:hAnsi="仿宋_GB2312" w:eastAsia="仿宋_GB2312" w:cs="仿宋_GB2312"/>
                <w:bCs/>
                <w:sz w:val="28"/>
                <w:szCs w:val="28"/>
              </w:rPr>
              <w:t>万元。</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二、部门（单位）整体支出管理及使用情况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1</w:t>
            </w:r>
            <w:r>
              <w:rPr>
                <w:rFonts w:hint="eastAsia" w:ascii="仿宋_GB2312" w:hAnsi="仿宋_GB2312" w:eastAsia="仿宋_GB2312" w:cs="仿宋_GB2312"/>
                <w:bCs/>
                <w:sz w:val="28"/>
                <w:szCs w:val="28"/>
              </w:rPr>
              <w:t>、部门整体支出情况分析</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2020年整体支出56.4万元，其中基本支出56.4万元，人员支出25.5万元，占基本支出45.2</w:t>
            </w:r>
            <w:r>
              <w:rPr>
                <w:rFonts w:ascii="仿宋_GB2312" w:hAnsi="仿宋_GB2312" w:eastAsia="仿宋_GB2312" w:cs="仿宋_GB2312"/>
                <w:bCs/>
                <w:sz w:val="28"/>
                <w:szCs w:val="28"/>
              </w:rPr>
              <w:t>%</w:t>
            </w:r>
            <w:r>
              <w:rPr>
                <w:rFonts w:hint="eastAsia" w:ascii="仿宋_GB2312" w:hAnsi="仿宋_GB2312" w:eastAsia="仿宋_GB2312" w:cs="仿宋_GB2312"/>
                <w:bCs/>
                <w:sz w:val="28"/>
                <w:szCs w:val="28"/>
              </w:rPr>
              <w:t>，公用支出30.9万元，占基本支出54.8</w:t>
            </w:r>
            <w:r>
              <w:rPr>
                <w:rFonts w:ascii="仿宋_GB2312" w:hAnsi="仿宋_GB2312" w:eastAsia="仿宋_GB2312" w:cs="仿宋_GB2312"/>
                <w:bCs/>
                <w:sz w:val="28"/>
                <w:szCs w:val="28"/>
              </w:rPr>
              <w:t>%</w:t>
            </w:r>
            <w:r>
              <w:rPr>
                <w:rFonts w:hint="eastAsia" w:ascii="仿宋_GB2312" w:hAnsi="仿宋_GB2312" w:eastAsia="仿宋_GB2312" w:cs="仿宋_GB2312"/>
                <w:bCs/>
                <w:sz w:val="28"/>
                <w:szCs w:val="28"/>
              </w:rPr>
              <w:t>；项目支出</w:t>
            </w:r>
            <w:r>
              <w:rPr>
                <w:rFonts w:ascii="仿宋_GB2312" w:hAnsi="仿宋_GB2312" w:eastAsia="仿宋_GB2312" w:cs="仿宋_GB2312"/>
                <w:bCs/>
                <w:sz w:val="28"/>
                <w:szCs w:val="28"/>
              </w:rPr>
              <w:t>0</w:t>
            </w:r>
            <w:r>
              <w:rPr>
                <w:rFonts w:hint="eastAsia" w:ascii="仿宋_GB2312" w:hAnsi="仿宋_GB2312" w:eastAsia="仿宋_GB2312" w:cs="仿宋_GB2312"/>
                <w:bCs/>
                <w:sz w:val="28"/>
                <w:szCs w:val="28"/>
              </w:rPr>
              <w:t>万元。</w:t>
            </w:r>
          </w:p>
          <w:p>
            <w:pPr>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2</w:t>
            </w:r>
            <w:r>
              <w:rPr>
                <w:rFonts w:hint="eastAsia" w:ascii="仿宋_GB2312" w:hAnsi="仿宋_GB2312" w:eastAsia="仿宋_GB2312" w:cs="仿宋_GB2312"/>
                <w:bCs/>
                <w:sz w:val="28"/>
                <w:szCs w:val="28"/>
              </w:rPr>
              <w:t>、“三公经费”支出情况分析</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2020年“三公经费”预算</w:t>
            </w:r>
            <w:r>
              <w:rPr>
                <w:rFonts w:ascii="仿宋_GB2312" w:hAnsi="仿宋_GB2312" w:eastAsia="仿宋_GB2312" w:cs="仿宋_GB2312"/>
                <w:bCs/>
                <w:sz w:val="28"/>
                <w:szCs w:val="28"/>
              </w:rPr>
              <w:t>0.</w:t>
            </w:r>
            <w:r>
              <w:rPr>
                <w:rFonts w:hint="eastAsia" w:ascii="仿宋_GB2312" w:hAnsi="仿宋_GB2312" w:eastAsia="仿宋_GB2312" w:cs="仿宋_GB2312"/>
                <w:bCs/>
                <w:sz w:val="28"/>
                <w:szCs w:val="28"/>
              </w:rPr>
              <w:t>2万元，实际开支0万元，“三公经费”与去年基本持平，控制在预算之内。</w:t>
            </w:r>
          </w:p>
          <w:p>
            <w:pPr>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3</w:t>
            </w:r>
            <w:r>
              <w:rPr>
                <w:rFonts w:hint="eastAsia" w:ascii="仿宋_GB2312" w:hAnsi="仿宋_GB2312" w:eastAsia="仿宋_GB2312" w:cs="仿宋_GB2312"/>
                <w:bCs/>
                <w:sz w:val="28"/>
                <w:szCs w:val="28"/>
              </w:rPr>
              <w:t>、固定资产管理情况分析</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按照例行节约，物尽其用的原则，资产管理采取统一建账，统一核算管理，对每件固定资产使用明确保管职责，闲置的资产，由办公室统一调整，合理流动，发挥其效益；至2020年</w:t>
            </w:r>
            <w:r>
              <w:rPr>
                <w:rFonts w:ascii="仿宋_GB2312" w:hAnsi="仿宋_GB2312" w:eastAsia="仿宋_GB2312" w:cs="仿宋_GB2312"/>
                <w:bCs/>
                <w:sz w:val="28"/>
                <w:szCs w:val="28"/>
              </w:rPr>
              <w:t>12</w:t>
            </w:r>
            <w:r>
              <w:rPr>
                <w:rFonts w:hint="eastAsia" w:ascii="仿宋_GB2312" w:hAnsi="仿宋_GB2312" w:eastAsia="仿宋_GB2312" w:cs="仿宋_GB2312"/>
                <w:bCs/>
                <w:sz w:val="28"/>
                <w:szCs w:val="28"/>
              </w:rPr>
              <w:t>月末固定资产</w:t>
            </w:r>
            <w:r>
              <w:rPr>
                <w:rFonts w:ascii="仿宋_GB2312" w:hAnsi="仿宋_GB2312" w:eastAsia="仿宋_GB2312" w:cs="仿宋_GB2312"/>
                <w:bCs/>
                <w:sz w:val="28"/>
                <w:szCs w:val="28"/>
              </w:rPr>
              <w:t>6.4</w:t>
            </w:r>
            <w:r>
              <w:rPr>
                <w:rFonts w:hint="eastAsia" w:ascii="仿宋_GB2312" w:hAnsi="仿宋_GB2312" w:eastAsia="仿宋_GB2312" w:cs="仿宋_GB2312"/>
                <w:bCs/>
                <w:sz w:val="28"/>
                <w:szCs w:val="28"/>
              </w:rPr>
              <w:t>万元</w:t>
            </w:r>
            <w:r>
              <w:rPr>
                <w:rFonts w:ascii="仿宋_GB2312" w:hAnsi="仿宋_GB2312" w:eastAsia="仿宋_GB2312" w:cs="仿宋_GB2312"/>
                <w:bCs/>
                <w:sz w:val="28"/>
                <w:szCs w:val="28"/>
              </w:rPr>
              <w:t>.</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（二）专项支出</w:t>
            </w:r>
          </w:p>
          <w:p>
            <w:pPr>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1</w:t>
            </w:r>
            <w:r>
              <w:rPr>
                <w:rFonts w:hint="eastAsia" w:ascii="仿宋_GB2312" w:hAnsi="仿宋_GB2312" w:eastAsia="仿宋_GB2312" w:cs="仿宋_GB2312"/>
                <w:bCs/>
                <w:sz w:val="28"/>
                <w:szCs w:val="28"/>
              </w:rPr>
              <w:t>、专项资金安排落实、总投入等情况分析</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2020年项目支出</w:t>
            </w:r>
            <w:r>
              <w:rPr>
                <w:rFonts w:ascii="仿宋_GB2312" w:hAnsi="仿宋_GB2312" w:eastAsia="仿宋_GB2312" w:cs="仿宋_GB2312"/>
                <w:bCs/>
                <w:sz w:val="28"/>
                <w:szCs w:val="28"/>
              </w:rPr>
              <w:t xml:space="preserve">  0  </w:t>
            </w:r>
            <w:r>
              <w:rPr>
                <w:rFonts w:hint="eastAsia" w:ascii="仿宋_GB2312" w:hAnsi="仿宋_GB2312" w:eastAsia="仿宋_GB2312" w:cs="仿宋_GB2312"/>
                <w:bCs/>
                <w:sz w:val="28"/>
                <w:szCs w:val="28"/>
              </w:rPr>
              <w:t>万元。</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三、部门（单位）整体支出绩效情况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2020年，根据年初工作规划和重点工作，围绕县委、县政府的工作部署，积极履行职责，强化管理，较好地完成了年度工作目标，同时加强预算收支的管理，建立健全内部管理制度，严格内部管理流程，部门整体支出管理得到了提升。2020年度部门整体支出绩效情况如下：</w:t>
            </w:r>
          </w:p>
          <w:p>
            <w:pPr>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1.</w:t>
            </w:r>
            <w:r>
              <w:rPr>
                <w:rFonts w:hint="eastAsia" w:ascii="仿宋_GB2312" w:hAnsi="仿宋_GB2312" w:eastAsia="仿宋_GB2312" w:cs="仿宋_GB2312"/>
                <w:bCs/>
                <w:sz w:val="28"/>
                <w:szCs w:val="28"/>
              </w:rPr>
              <w:t>严格预算支出管理。在支出预算编制上，人员经费按照配置定额，逐人核定编制，公用经费分类分档，按定额编制；根据“总量控制、计划管理”的要求从严控制行政经费，压缩一般性支出，严格控制“三公”经费，资产的配置严格政府采购，按照预算科目和项目资金的规定使用财政资金，保障部门整体支出的规范化、制度化。</w:t>
            </w:r>
          </w:p>
          <w:p>
            <w:pPr>
              <w:spacing w:line="560" w:lineRule="exact"/>
              <w:ind w:firstLine="560" w:firstLineChars="200"/>
              <w:rPr>
                <w:rFonts w:ascii="仿宋_GB2312" w:hAnsi="仿宋_GB2312" w:eastAsia="仿宋_GB2312" w:cs="仿宋_GB2312"/>
                <w:bCs/>
                <w:sz w:val="28"/>
                <w:szCs w:val="28"/>
              </w:rPr>
            </w:pPr>
            <w:r>
              <w:rPr>
                <w:rFonts w:ascii="仿宋_GB2312" w:hAnsi="仿宋_GB2312" w:eastAsia="仿宋_GB2312" w:cs="仿宋_GB2312"/>
                <w:bCs/>
                <w:sz w:val="28"/>
                <w:szCs w:val="28"/>
              </w:rPr>
              <w:t>2.</w:t>
            </w:r>
            <w:r>
              <w:rPr>
                <w:rFonts w:hint="eastAsia" w:ascii="仿宋_GB2312" w:hAnsi="仿宋_GB2312" w:eastAsia="仿宋_GB2312" w:cs="仿宋_GB2312"/>
                <w:bCs/>
                <w:sz w:val="28"/>
                <w:szCs w:val="28"/>
              </w:rPr>
              <w:t>财务管理上，按照国家相关法律法规，制定了机关财务、公物购置使用、接待、会务、差旅等管理制度，并严格按照制度管理和执行，防范风险，保证财政资金的安全和高效运行。</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根据考核评分细则，严格按照国家的相关财务管理制度规定，财务制度健全、会计核算规范，依照计划管理使用，整体支出对保障正常运行、贯彻执行国家方针、政策、法律法规，发挥了重要作用，强化部门的责任，取得了一定的成绩，确保全县各项社会稳定。</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四、存在的主要问题</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一是“三公经费”有待更严格控制</w:t>
            </w:r>
            <w:r>
              <w:rPr>
                <w:rFonts w:ascii="仿宋_GB2312" w:hAnsi="仿宋_GB2312" w:eastAsia="仿宋_GB2312" w:cs="仿宋_GB2312"/>
                <w:bCs/>
                <w:sz w:val="28"/>
                <w:szCs w:val="28"/>
              </w:rPr>
              <w:t>,</w:t>
            </w:r>
            <w:r>
              <w:rPr>
                <w:rFonts w:hint="eastAsia" w:ascii="仿宋_GB2312" w:hAnsi="仿宋_GB2312" w:eastAsia="仿宋_GB2312" w:cs="仿宋_GB2312"/>
                <w:bCs/>
                <w:sz w:val="28"/>
                <w:szCs w:val="28"/>
              </w:rPr>
              <w:t>进一步加强厉行节约机制。</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二是预算编制与实际支出项目有的存在差异，有待进一步优化预算，提升预算编制的准确性。</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五、改进措施和有关建议</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一是按照预算规定的项目和用途严格财务审核，经费支出严格按预算规定项目的财务支出内容进行财务核算，在预算金额内严格控制费用的支出。</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二是严格控制“三公经费”支出，杜绝挪用和挤占其他预算资金；进一步细化“三公经费”管理，压缩“三公经费”支出。</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三是预算财务分析常态化，定期做好预算支出财务分析，做好部门整体支出预算评价工作。</w:t>
            </w:r>
          </w:p>
        </w:tc>
      </w:tr>
    </w:tbl>
    <w:p>
      <w:pPr>
        <w:rPr>
          <w:rFonts w:ascii="黑体" w:hAnsi="黑体" w:eastAsia="黑体"/>
          <w:sz w:val="32"/>
          <w:szCs w:val="32"/>
        </w:rPr>
      </w:pPr>
      <w:r>
        <w:rPr>
          <w:rFonts w:hint="eastAsia" w:ascii="黑体" w:hAnsi="黑体" w:eastAsia="黑体"/>
          <w:sz w:val="32"/>
          <w:szCs w:val="32"/>
        </w:rPr>
        <w:t>附件3-1</w:t>
      </w:r>
    </w:p>
    <w:p>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9"/>
        <w:tblW w:w="9900" w:type="dxa"/>
        <w:jc w:val="center"/>
        <w:tblInd w:w="0" w:type="dxa"/>
        <w:tblLayout w:type="fixed"/>
        <w:tblCellMar>
          <w:top w:w="0" w:type="dxa"/>
          <w:left w:w="108" w:type="dxa"/>
          <w:bottom w:w="0" w:type="dxa"/>
          <w:right w:w="108" w:type="dxa"/>
        </w:tblCellMar>
      </w:tblPr>
      <w:tblGrid>
        <w:gridCol w:w="976"/>
        <w:gridCol w:w="940"/>
        <w:gridCol w:w="1390"/>
        <w:gridCol w:w="4174"/>
        <w:gridCol w:w="619"/>
        <w:gridCol w:w="720"/>
        <w:gridCol w:w="1081"/>
      </w:tblGrid>
      <w:tr>
        <w:tblPrEx>
          <w:tblLayout w:type="fixed"/>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0"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0"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4"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1"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Layout w:type="fixed"/>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940"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9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4"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94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139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4"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94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139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4"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（40分）</w:t>
            </w:r>
          </w:p>
        </w:tc>
        <w:tc>
          <w:tcPr>
            <w:tcW w:w="940"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9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4"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108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94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139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4"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94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139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4"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94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139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4"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108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940"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9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4"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94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139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4"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hint="eastAsia"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94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139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4"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1"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940"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9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4"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081"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94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139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4"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1"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9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940"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9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4"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1"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bl>
    <w:p/>
    <w:tbl>
      <w:tblPr>
        <w:tblStyle w:val="9"/>
        <w:tblW w:w="9930" w:type="dxa"/>
        <w:jc w:val="center"/>
        <w:tblInd w:w="0" w:type="dxa"/>
        <w:tblLayout w:type="fixed"/>
        <w:tblCellMar>
          <w:top w:w="0" w:type="dxa"/>
          <w:left w:w="108" w:type="dxa"/>
          <w:bottom w:w="0" w:type="dxa"/>
          <w:right w:w="108" w:type="dxa"/>
        </w:tblCellMar>
      </w:tblPr>
      <w:tblGrid>
        <w:gridCol w:w="979"/>
        <w:gridCol w:w="942"/>
        <w:gridCol w:w="1394"/>
        <w:gridCol w:w="4187"/>
        <w:gridCol w:w="621"/>
        <w:gridCol w:w="723"/>
        <w:gridCol w:w="1084"/>
      </w:tblGrid>
      <w:tr>
        <w:tblPrEx>
          <w:tblLayout w:type="fixed"/>
          <w:tblCellMar>
            <w:top w:w="0" w:type="dxa"/>
            <w:left w:w="108" w:type="dxa"/>
            <w:bottom w:w="0" w:type="dxa"/>
            <w:right w:w="108" w:type="dxa"/>
          </w:tblCellMar>
        </w:tblPrEx>
        <w:trPr>
          <w:trHeight w:val="678" w:hRule="atLeast"/>
          <w:jc w:val="center"/>
        </w:trPr>
        <w:tc>
          <w:tcPr>
            <w:tcW w:w="979"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2"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4"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87"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4"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Layout w:type="fixed"/>
          <w:tblCellMar>
            <w:top w:w="0" w:type="dxa"/>
            <w:left w:w="108" w:type="dxa"/>
            <w:bottom w:w="0" w:type="dxa"/>
            <w:right w:w="108" w:type="dxa"/>
          </w:tblCellMar>
        </w:tblPrEx>
        <w:trPr>
          <w:trHeight w:val="2216" w:hRule="atLeast"/>
          <w:jc w:val="center"/>
        </w:trPr>
        <w:tc>
          <w:tcPr>
            <w:tcW w:w="979"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2"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94"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87" w:type="dxa"/>
            <w:tcBorders>
              <w:top w:val="single" w:color="auto" w:sz="4" w:space="0"/>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③资产处置规范；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4"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859" w:hRule="atLeast"/>
          <w:jc w:val="center"/>
        </w:trPr>
        <w:tc>
          <w:tcPr>
            <w:tcW w:w="97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94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1394"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87"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4"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998" w:hRule="atLeast"/>
          <w:jc w:val="center"/>
        </w:trPr>
        <w:tc>
          <w:tcPr>
            <w:tcW w:w="979"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2"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（25分）</w:t>
            </w:r>
          </w:p>
        </w:tc>
        <w:tc>
          <w:tcPr>
            <w:tcW w:w="1394"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87"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r>
              <w:rPr>
                <w:rFonts w:hint="eastAsia" w:ascii="仿宋_GB2312" w:hAnsi="宋体" w:cs="宋体"/>
                <w:kern w:val="0"/>
                <w:sz w:val="18"/>
                <w:szCs w:val="18"/>
              </w:rPr>
              <w:br w:type="textWrapping"/>
            </w: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1084"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998" w:hRule="atLeast"/>
          <w:jc w:val="center"/>
        </w:trPr>
        <w:tc>
          <w:tcPr>
            <w:tcW w:w="97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94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1394"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8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4"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756" w:hRule="atLeast"/>
          <w:jc w:val="center"/>
        </w:trPr>
        <w:tc>
          <w:tcPr>
            <w:tcW w:w="97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94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1394"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8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4"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998" w:hRule="atLeast"/>
          <w:jc w:val="center"/>
        </w:trPr>
        <w:tc>
          <w:tcPr>
            <w:tcW w:w="97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94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1394"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8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4"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888" w:hRule="atLeast"/>
          <w:jc w:val="center"/>
        </w:trPr>
        <w:tc>
          <w:tcPr>
            <w:tcW w:w="97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94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1394"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8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4"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69" w:hRule="atLeast"/>
          <w:jc w:val="center"/>
        </w:trPr>
        <w:tc>
          <w:tcPr>
            <w:tcW w:w="979"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942"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1394"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87"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4"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69" w:hRule="atLeast"/>
          <w:jc w:val="center"/>
        </w:trPr>
        <w:tc>
          <w:tcPr>
            <w:tcW w:w="979"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942"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1394"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87"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4"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69" w:hRule="atLeast"/>
          <w:jc w:val="center"/>
        </w:trPr>
        <w:tc>
          <w:tcPr>
            <w:tcW w:w="979"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942"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1394"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87"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4"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1231" w:hRule="atLeast"/>
          <w:jc w:val="center"/>
        </w:trPr>
        <w:tc>
          <w:tcPr>
            <w:tcW w:w="979"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942"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p>
        </w:tc>
        <w:tc>
          <w:tcPr>
            <w:tcW w:w="1394"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87"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4"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756" w:hRule="atLeast"/>
          <w:jc w:val="center"/>
        </w:trPr>
        <w:tc>
          <w:tcPr>
            <w:tcW w:w="979"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2"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1394"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4187"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98</w:t>
            </w:r>
          </w:p>
        </w:tc>
        <w:tc>
          <w:tcPr>
            <w:tcW w:w="1084"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p>
      <w:pPr>
        <w:spacing w:line="200" w:lineRule="exact"/>
        <w:rPr>
          <w:rFonts w:eastAsia="仿宋_GB2312"/>
          <w:sz w:val="32"/>
        </w:rPr>
      </w:pPr>
    </w:p>
    <w:p>
      <w:pPr>
        <w:spacing w:line="200" w:lineRule="exact"/>
        <w:rPr>
          <w:rFonts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8"/>
        <w:sz w:val="24"/>
        <w:szCs w:val="24"/>
      </w:rPr>
    </w:pPr>
    <w:r>
      <w:rPr>
        <w:rStyle w:val="8"/>
        <w:sz w:val="24"/>
        <w:szCs w:val="24"/>
      </w:rPr>
      <w:t xml:space="preserve">— </w:t>
    </w:r>
    <w:r>
      <w:rPr>
        <w:rStyle w:val="8"/>
        <w:sz w:val="24"/>
        <w:szCs w:val="24"/>
      </w:rPr>
      <w:fldChar w:fldCharType="begin"/>
    </w:r>
    <w:r>
      <w:rPr>
        <w:rStyle w:val="8"/>
        <w:sz w:val="24"/>
        <w:szCs w:val="24"/>
      </w:rPr>
      <w:instrText xml:space="preserve">PAGE  </w:instrText>
    </w:r>
    <w:r>
      <w:rPr>
        <w:rStyle w:val="8"/>
        <w:sz w:val="24"/>
        <w:szCs w:val="24"/>
      </w:rPr>
      <w:fldChar w:fldCharType="separate"/>
    </w:r>
    <w:r>
      <w:rPr>
        <w:rStyle w:val="8"/>
        <w:sz w:val="24"/>
        <w:szCs w:val="24"/>
      </w:rPr>
      <w:t>1</w:t>
    </w:r>
    <w:r>
      <w:rPr>
        <w:rStyle w:val="8"/>
        <w:sz w:val="24"/>
        <w:szCs w:val="24"/>
      </w:rPr>
      <w:fldChar w:fldCharType="end"/>
    </w:r>
    <w:r>
      <w:rPr>
        <w:rStyle w:val="8"/>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8"/>
        <w:sz w:val="24"/>
        <w:szCs w:val="24"/>
      </w:rPr>
    </w:pPr>
    <w:r>
      <w:rPr>
        <w:rStyle w:val="8"/>
        <w:sz w:val="24"/>
        <w:szCs w:val="24"/>
      </w:rPr>
      <w:t xml:space="preserve">— </w:t>
    </w:r>
    <w:r>
      <w:rPr>
        <w:rStyle w:val="8"/>
        <w:sz w:val="24"/>
        <w:szCs w:val="24"/>
      </w:rPr>
      <w:fldChar w:fldCharType="begin"/>
    </w:r>
    <w:r>
      <w:rPr>
        <w:rStyle w:val="8"/>
        <w:sz w:val="24"/>
        <w:szCs w:val="24"/>
      </w:rPr>
      <w:instrText xml:space="preserve">PAGE  </w:instrText>
    </w:r>
    <w:r>
      <w:rPr>
        <w:rStyle w:val="8"/>
        <w:sz w:val="24"/>
        <w:szCs w:val="24"/>
      </w:rPr>
      <w:fldChar w:fldCharType="separate"/>
    </w:r>
    <w:r>
      <w:rPr>
        <w:rStyle w:val="8"/>
        <w:sz w:val="24"/>
        <w:szCs w:val="24"/>
      </w:rPr>
      <w:t>2</w:t>
    </w:r>
    <w:r>
      <w:rPr>
        <w:rStyle w:val="8"/>
        <w:sz w:val="24"/>
        <w:szCs w:val="24"/>
      </w:rPr>
      <w:fldChar w:fldCharType="end"/>
    </w:r>
    <w:r>
      <w:rPr>
        <w:rStyle w:val="8"/>
        <w:sz w:val="24"/>
        <w:szCs w:val="24"/>
      </w:rPr>
      <w:t xml:space="preserve"> —</w:t>
    </w:r>
  </w:p>
  <w:p>
    <w:pPr>
      <w:pStyle w:val="5"/>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8"/>
      </w:rPr>
    </w:pPr>
    <w:r>
      <w:rPr>
        <w:rStyle w:val="8"/>
      </w:rPr>
      <w:fldChar w:fldCharType="begin"/>
    </w:r>
    <w:r>
      <w:rPr>
        <w:rStyle w:val="8"/>
      </w:rPr>
      <w:instrText xml:space="preserve">PAGE  </w:instrText>
    </w:r>
    <w:r>
      <w:rPr>
        <w:rStyle w:val="8"/>
      </w:rPr>
      <w:fldChar w:fldCharType="end"/>
    </w:r>
  </w:p>
  <w:p>
    <w:pPr>
      <w:pStyle w:val="5"/>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C6F79"/>
    <w:multiLevelType w:val="multilevel"/>
    <w:tmpl w:val="014C6F79"/>
    <w:lvl w:ilvl="0" w:tentative="0">
      <w:start w:val="1"/>
      <w:numFmt w:val="japaneseCounting"/>
      <w:pStyle w:val="3"/>
      <w:lvlText w:val="%1、"/>
      <w:lvlJc w:val="left"/>
      <w:pPr>
        <w:ind w:left="720" w:hanging="720"/>
      </w:pPr>
      <w:rPr>
        <w:rFonts w:hint="default" w:cs="Times New Roman"/>
        <w:u w:val="none"/>
      </w:rPr>
    </w:lvl>
    <w:lvl w:ilvl="1" w:tentative="0">
      <w:start w:val="1"/>
      <w:numFmt w:val="lowerLetter"/>
      <w:lvlText w:val="%2)"/>
      <w:lvlJc w:val="left"/>
      <w:pPr>
        <w:ind w:left="840" w:hanging="420"/>
      </w:pPr>
      <w:rPr>
        <w:rFonts w:hint="default" w:cs="Times New Roman"/>
        <w:u w:val="none"/>
      </w:rPr>
    </w:lvl>
    <w:lvl w:ilvl="2" w:tentative="0">
      <w:start w:val="1"/>
      <w:numFmt w:val="lowerRoman"/>
      <w:lvlText w:val="%3."/>
      <w:lvlJc w:val="right"/>
      <w:pPr>
        <w:ind w:left="1260" w:hanging="420"/>
      </w:pPr>
      <w:rPr>
        <w:rFonts w:hint="default" w:cs="Times New Roman"/>
        <w:u w:val="none"/>
      </w:rPr>
    </w:lvl>
    <w:lvl w:ilvl="3" w:tentative="0">
      <w:start w:val="1"/>
      <w:numFmt w:val="decimal"/>
      <w:lvlText w:val="%4."/>
      <w:lvlJc w:val="left"/>
      <w:pPr>
        <w:ind w:left="1680" w:hanging="420"/>
      </w:pPr>
      <w:rPr>
        <w:rFonts w:hint="default" w:cs="Times New Roman"/>
        <w:u w:val="none"/>
      </w:rPr>
    </w:lvl>
    <w:lvl w:ilvl="4" w:tentative="0">
      <w:start w:val="1"/>
      <w:numFmt w:val="lowerLetter"/>
      <w:lvlText w:val="%5)"/>
      <w:lvlJc w:val="left"/>
      <w:pPr>
        <w:ind w:left="2100" w:hanging="420"/>
      </w:pPr>
      <w:rPr>
        <w:rFonts w:hint="default" w:cs="Times New Roman"/>
        <w:u w:val="none"/>
      </w:rPr>
    </w:lvl>
    <w:lvl w:ilvl="5" w:tentative="0">
      <w:start w:val="1"/>
      <w:numFmt w:val="lowerRoman"/>
      <w:lvlText w:val="%6."/>
      <w:lvlJc w:val="right"/>
      <w:pPr>
        <w:ind w:left="2520" w:hanging="420"/>
      </w:pPr>
      <w:rPr>
        <w:rFonts w:hint="default" w:cs="Times New Roman"/>
        <w:u w:val="none"/>
      </w:rPr>
    </w:lvl>
    <w:lvl w:ilvl="6" w:tentative="0">
      <w:start w:val="1"/>
      <w:numFmt w:val="decimal"/>
      <w:lvlText w:val="%7."/>
      <w:lvlJc w:val="left"/>
      <w:pPr>
        <w:ind w:left="2940" w:hanging="420"/>
      </w:pPr>
      <w:rPr>
        <w:rFonts w:hint="default" w:cs="Times New Roman"/>
        <w:u w:val="none"/>
      </w:rPr>
    </w:lvl>
    <w:lvl w:ilvl="7" w:tentative="0">
      <w:start w:val="1"/>
      <w:numFmt w:val="lowerLetter"/>
      <w:lvlText w:val="%8)"/>
      <w:lvlJc w:val="left"/>
      <w:pPr>
        <w:ind w:left="3360" w:hanging="420"/>
      </w:pPr>
      <w:rPr>
        <w:rFonts w:hint="default" w:cs="Times New Roman"/>
        <w:u w:val="none"/>
      </w:rPr>
    </w:lvl>
    <w:lvl w:ilvl="8" w:tentative="0">
      <w:start w:val="1"/>
      <w:numFmt w:val="lowerRoman"/>
      <w:lvlText w:val="%9."/>
      <w:lvlJc w:val="right"/>
      <w:pPr>
        <w:ind w:left="3780" w:hanging="420"/>
      </w:pPr>
      <w:rPr>
        <w:rFonts w:hint="default" w:cs="Times New Roman"/>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NotTrackMoves/>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E55C20"/>
    <w:rsid w:val="0001199A"/>
    <w:rsid w:val="000F37B0"/>
    <w:rsid w:val="001365E4"/>
    <w:rsid w:val="001D5EE5"/>
    <w:rsid w:val="0024633C"/>
    <w:rsid w:val="00273688"/>
    <w:rsid w:val="00295987"/>
    <w:rsid w:val="002A73E0"/>
    <w:rsid w:val="003166C9"/>
    <w:rsid w:val="0040463C"/>
    <w:rsid w:val="00423810"/>
    <w:rsid w:val="004816FF"/>
    <w:rsid w:val="004B1D50"/>
    <w:rsid w:val="004D4951"/>
    <w:rsid w:val="0053470F"/>
    <w:rsid w:val="005753FC"/>
    <w:rsid w:val="005B5F71"/>
    <w:rsid w:val="0065028A"/>
    <w:rsid w:val="0068697F"/>
    <w:rsid w:val="00691C1D"/>
    <w:rsid w:val="007441BB"/>
    <w:rsid w:val="00766B61"/>
    <w:rsid w:val="007B2063"/>
    <w:rsid w:val="008067BC"/>
    <w:rsid w:val="00810E70"/>
    <w:rsid w:val="00815687"/>
    <w:rsid w:val="008277A9"/>
    <w:rsid w:val="00835293"/>
    <w:rsid w:val="0087115D"/>
    <w:rsid w:val="00950495"/>
    <w:rsid w:val="00991691"/>
    <w:rsid w:val="009E45B1"/>
    <w:rsid w:val="009F42D4"/>
    <w:rsid w:val="00A51B72"/>
    <w:rsid w:val="00A61C52"/>
    <w:rsid w:val="00AA484A"/>
    <w:rsid w:val="00AB1214"/>
    <w:rsid w:val="00AD126F"/>
    <w:rsid w:val="00B256FE"/>
    <w:rsid w:val="00BE088B"/>
    <w:rsid w:val="00C3666C"/>
    <w:rsid w:val="00CA75EA"/>
    <w:rsid w:val="00D24A94"/>
    <w:rsid w:val="00D266C9"/>
    <w:rsid w:val="00D913B5"/>
    <w:rsid w:val="00DA75C1"/>
    <w:rsid w:val="00DF70C7"/>
    <w:rsid w:val="00DF7FA3"/>
    <w:rsid w:val="00E52945"/>
    <w:rsid w:val="00F167F3"/>
    <w:rsid w:val="00F229A3"/>
    <w:rsid w:val="083749E7"/>
    <w:rsid w:val="0DE528CD"/>
    <w:rsid w:val="14B4617F"/>
    <w:rsid w:val="17855C08"/>
    <w:rsid w:val="18725427"/>
    <w:rsid w:val="20055F38"/>
    <w:rsid w:val="247B0DFF"/>
    <w:rsid w:val="263C173A"/>
    <w:rsid w:val="2CA33441"/>
    <w:rsid w:val="2CE55C20"/>
    <w:rsid w:val="2F287302"/>
    <w:rsid w:val="30426D13"/>
    <w:rsid w:val="3A43255A"/>
    <w:rsid w:val="3D6201A1"/>
    <w:rsid w:val="3D915710"/>
    <w:rsid w:val="477245B4"/>
    <w:rsid w:val="4E4F0BB0"/>
    <w:rsid w:val="5BE95901"/>
    <w:rsid w:val="6A0A15CD"/>
    <w:rsid w:val="6DF352BD"/>
    <w:rsid w:val="705E3E6D"/>
    <w:rsid w:val="71C1048A"/>
    <w:rsid w:val="73F35F5B"/>
    <w:rsid w:val="79C04582"/>
    <w:rsid w:val="7D1F0DA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uiPriority="99" w:name="header" w:locked="1"/>
    <w:lsdException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qFormat="1" w:unhideWhenUsed="0" w:uiPriority="0" w:semiHidden="0" w:name="Body Text First Indent 2" w:locked="1"/>
    <w:lsdException w:uiPriority="99" w:name="Note Heading" w:locked="1"/>
    <w:lsdException w:uiPriority="99" w:name="Body Text 2" w:locked="1"/>
    <w:lsdException w:uiPriority="99" w:name="Body Text 3" w:locked="1"/>
    <w:lsdException w:unhideWhenUsed="0" w:uiPriority="99" w:semiHidden="0" w:name="Body Text Indent 2"/>
    <w:lsdException w:uiPriority="99" w:name="Body Text Indent 3" w:locked="1"/>
    <w:lsdException w:uiPriority="99" w:name="Block Text" w:locked="1"/>
    <w:lsdException w:uiPriority="99" w:name="Hyperlink" w:locked="1"/>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0"/>
    <w:qFormat/>
    <w:uiPriority w:val="99"/>
    <w:pPr>
      <w:numPr>
        <w:ilvl w:val="0"/>
        <w:numId w:val="1"/>
      </w:numPr>
      <w:outlineLvl w:val="0"/>
    </w:pPr>
    <w:rPr>
      <w:rFonts w:ascii="黑体" w:hAnsi="黑体" w:eastAsia="黑体"/>
      <w:sz w:val="30"/>
    </w:rPr>
  </w:style>
  <w:style w:type="character" w:default="1" w:styleId="7">
    <w:name w:val="Default Paragraph Font"/>
    <w:semiHidden/>
    <w:unhideWhenUsed/>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qFormat/>
    <w:locked/>
    <w:uiPriority w:val="0"/>
    <w:pPr>
      <w:widowControl w:val="0"/>
      <w:spacing w:before="100" w:beforeAutospacing="1" w:after="0"/>
      <w:ind w:left="0" w:leftChars="200" w:firstLine="420" w:firstLineChars="200"/>
      <w:jc w:val="both"/>
    </w:pPr>
    <w:rPr>
      <w:rFonts w:ascii="Calibri" w:hAnsi="Calibri" w:eastAsia="宋体" w:cs="Times New Roman"/>
      <w:kern w:val="2"/>
      <w:sz w:val="21"/>
      <w:szCs w:val="22"/>
      <w:lang w:val="en-US" w:eastAsia="zh-CN" w:bidi="ar-SA"/>
    </w:rPr>
  </w:style>
  <w:style w:type="paragraph" w:styleId="4">
    <w:name w:val="Body Text Indent 2"/>
    <w:basedOn w:val="1"/>
    <w:link w:val="11"/>
    <w:uiPriority w:val="99"/>
    <w:pPr>
      <w:ind w:firstLine="588" w:firstLineChars="200"/>
    </w:pPr>
    <w:rPr>
      <w:rFonts w:ascii="仿宋_GB2312" w:hAnsi="Calibri" w:eastAsia="仿宋_GB2312"/>
      <w:sz w:val="32"/>
    </w:rPr>
  </w:style>
  <w:style w:type="paragraph" w:styleId="5">
    <w:name w:val="footer"/>
    <w:basedOn w:val="1"/>
    <w:link w:val="12"/>
    <w:uiPriority w:val="99"/>
    <w:pPr>
      <w:tabs>
        <w:tab w:val="center" w:pos="4153"/>
        <w:tab w:val="right" w:pos="8306"/>
      </w:tabs>
      <w:snapToGrid w:val="0"/>
      <w:jc w:val="left"/>
    </w:pPr>
    <w:rPr>
      <w:kern w:val="0"/>
      <w:sz w:val="18"/>
      <w:szCs w:val="18"/>
    </w:rPr>
  </w:style>
  <w:style w:type="paragraph" w:styleId="6">
    <w:name w:val="header"/>
    <w:basedOn w:val="1"/>
    <w:link w:val="14"/>
    <w:semiHidden/>
    <w:unhideWhenUsed/>
    <w:locked/>
    <w:uiPriority w:val="99"/>
    <w:pPr>
      <w:pBdr>
        <w:bottom w:val="single" w:color="auto" w:sz="6" w:space="1"/>
      </w:pBdr>
      <w:tabs>
        <w:tab w:val="center" w:pos="4153"/>
        <w:tab w:val="right" w:pos="8306"/>
      </w:tabs>
      <w:snapToGrid w:val="0"/>
      <w:jc w:val="center"/>
    </w:pPr>
    <w:rPr>
      <w:sz w:val="18"/>
      <w:szCs w:val="18"/>
    </w:rPr>
  </w:style>
  <w:style w:type="character" w:styleId="8">
    <w:name w:val="page number"/>
    <w:basedOn w:val="7"/>
    <w:uiPriority w:val="99"/>
    <w:rPr>
      <w:rFonts w:cs="Times New Roman"/>
    </w:rPr>
  </w:style>
  <w:style w:type="character" w:customStyle="1" w:styleId="10">
    <w:name w:val="标题 1 Char"/>
    <w:basedOn w:val="7"/>
    <w:link w:val="3"/>
    <w:uiPriority w:val="9"/>
    <w:rPr>
      <w:b/>
      <w:bCs/>
      <w:kern w:val="44"/>
      <w:sz w:val="44"/>
      <w:szCs w:val="44"/>
    </w:rPr>
  </w:style>
  <w:style w:type="character" w:customStyle="1" w:styleId="11">
    <w:name w:val="正文文本缩进 2 Char"/>
    <w:basedOn w:val="7"/>
    <w:link w:val="4"/>
    <w:semiHidden/>
    <w:locked/>
    <w:uiPriority w:val="99"/>
    <w:rPr>
      <w:rFonts w:cs="Times New Roman"/>
      <w:sz w:val="24"/>
      <w:szCs w:val="24"/>
    </w:rPr>
  </w:style>
  <w:style w:type="character" w:customStyle="1" w:styleId="12">
    <w:name w:val="页脚 Char"/>
    <w:basedOn w:val="7"/>
    <w:link w:val="5"/>
    <w:semiHidden/>
    <w:locked/>
    <w:uiPriority w:val="99"/>
    <w:rPr>
      <w:rFonts w:cs="Times New Roman"/>
      <w:sz w:val="18"/>
      <w:szCs w:val="18"/>
    </w:rPr>
  </w:style>
  <w:style w:type="character" w:customStyle="1" w:styleId="13">
    <w:name w:val="标题 3 Char Char"/>
    <w:uiPriority w:val="99"/>
    <w:rPr>
      <w:rFonts w:eastAsia="楷体_GB2312"/>
      <w:b/>
      <w:kern w:val="2"/>
      <w:sz w:val="24"/>
      <w:lang w:val="en-US" w:eastAsia="zh-CN"/>
    </w:rPr>
  </w:style>
  <w:style w:type="character" w:customStyle="1" w:styleId="14">
    <w:name w:val="页眉 Char"/>
    <w:basedOn w:val="7"/>
    <w:link w:val="6"/>
    <w:semiHidden/>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940</Words>
  <Characters>5364</Characters>
  <Lines>44</Lines>
  <Paragraphs>12</Paragraphs>
  <TotalTime>13</TotalTime>
  <ScaleCrop>false</ScaleCrop>
  <LinksUpToDate>false</LinksUpToDate>
  <CharactersWithSpaces>6292</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2021-07-28T06:33:00Z</cp:lastPrinted>
  <dcterms:modified xsi:type="dcterms:W3CDTF">2021-07-29T00:56:50Z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