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hint="eastAsia" w:ascii="黑体" w:hAnsi="黑体" w:eastAsia="黑体"/>
          <w:sz w:val="32"/>
          <w:szCs w:val="32"/>
        </w:rPr>
        <w:t>附件</w:t>
      </w:r>
      <w:r>
        <w:rPr>
          <w:rFonts w:ascii="黑体" w:hAnsi="黑体" w:eastAsia="黑体"/>
          <w:sz w:val="32"/>
          <w:szCs w:val="32"/>
        </w:rPr>
        <w:t>2-1</w:t>
      </w:r>
    </w:p>
    <w:p>
      <w:pPr>
        <w:spacing w:line="348" w:lineRule="auto"/>
        <w:jc w:val="center"/>
        <w:rPr>
          <w:sz w:val="42"/>
          <w:szCs w:val="42"/>
        </w:rPr>
      </w:pPr>
      <w:r>
        <w:rPr>
          <w:sz w:val="42"/>
          <w:szCs w:val="42"/>
        </w:rPr>
        <w:t xml:space="preserve"> </w:t>
      </w:r>
    </w:p>
    <w:p>
      <w:pPr>
        <w:spacing w:line="800" w:lineRule="exact"/>
        <w:jc w:val="center"/>
        <w:rPr>
          <w:rFonts w:hint="eastAsia" w:ascii="华文中宋" w:hAnsi="华文中宋" w:eastAsia="华文中宋" w:cs="华文中宋"/>
          <w:sz w:val="48"/>
          <w:szCs w:val="48"/>
        </w:rPr>
      </w:pPr>
      <w:r>
        <w:rPr>
          <w:rFonts w:hint="eastAsia" w:ascii="华文中宋" w:hAnsi="华文中宋" w:eastAsia="华文中宋" w:cs="华文中宋"/>
          <w:sz w:val="48"/>
          <w:szCs w:val="48"/>
        </w:rPr>
        <w:t>华容县</w:t>
      </w:r>
      <w:r>
        <w:rPr>
          <w:rFonts w:hint="eastAsia" w:ascii="华文中宋" w:hAnsi="华文中宋" w:eastAsia="华文中宋" w:cs="华文中宋"/>
          <w:sz w:val="48"/>
          <w:szCs w:val="48"/>
          <w:u w:val="single"/>
        </w:rPr>
        <w:t>201</w:t>
      </w:r>
      <w:r>
        <w:rPr>
          <w:rFonts w:hint="eastAsia" w:ascii="华文中宋" w:hAnsi="华文中宋" w:eastAsia="华文中宋" w:cs="华文中宋"/>
          <w:sz w:val="48"/>
          <w:szCs w:val="48"/>
          <w:u w:val="single"/>
          <w:lang w:val="en-US" w:eastAsia="zh-CN"/>
        </w:rPr>
        <w:t>8</w:t>
      </w:r>
      <w:r>
        <w:rPr>
          <w:rFonts w:hint="eastAsia" w:ascii="华文中宋" w:hAnsi="华文中宋" w:eastAsia="华文中宋" w:cs="华文中宋"/>
          <w:sz w:val="48"/>
          <w:szCs w:val="48"/>
        </w:rPr>
        <w:t>年度部门（单位）整体支出</w:t>
      </w:r>
    </w:p>
    <w:p>
      <w:pPr>
        <w:spacing w:line="800" w:lineRule="exact"/>
        <w:jc w:val="center"/>
        <w:rPr>
          <w:rFonts w:hint="eastAsia" w:ascii="华文中宋" w:hAnsi="华文中宋" w:eastAsia="华文中宋" w:cs="华文中宋"/>
          <w:sz w:val="48"/>
          <w:szCs w:val="48"/>
        </w:rPr>
      </w:pPr>
      <w:r>
        <w:rPr>
          <w:rFonts w:hint="eastAsia" w:ascii="华文中宋" w:hAnsi="华文中宋" w:eastAsia="华文中宋" w:cs="华文中宋"/>
          <w:sz w:val="48"/>
          <w:szCs w:val="48"/>
        </w:rPr>
        <w:t>绩效评价自评报告</w:t>
      </w:r>
    </w:p>
    <w:p>
      <w:pPr>
        <w:rPr>
          <w:rFonts w:hint="eastAsia" w:ascii="华文中宋" w:hAnsi="华文中宋" w:eastAsia="华文中宋" w:cs="华文中宋"/>
          <w:b/>
          <w:bCs/>
          <w:sz w:val="36"/>
          <w:szCs w:val="36"/>
        </w:rPr>
      </w:pPr>
      <w:r>
        <w:rPr>
          <w:rFonts w:hint="eastAsia" w:ascii="华文中宋" w:hAnsi="华文中宋" w:eastAsia="华文中宋" w:cs="华文中宋"/>
          <w:b/>
          <w:bCs/>
          <w:sz w:val="36"/>
          <w:szCs w:val="36"/>
        </w:rPr>
        <w:t xml:space="preserve"> </w:t>
      </w:r>
    </w:p>
    <w:p>
      <w:pPr>
        <w:rPr>
          <w:b/>
          <w:bCs/>
          <w:sz w:val="32"/>
          <w:szCs w:val="32"/>
        </w:rPr>
      </w:pPr>
      <w:r>
        <w:rPr>
          <w:b/>
          <w:bCs/>
          <w:sz w:val="32"/>
          <w:szCs w:val="32"/>
        </w:rPr>
        <w:t xml:space="preserve"> </w:t>
      </w:r>
    </w:p>
    <w:p>
      <w:pPr>
        <w:rPr>
          <w:b/>
          <w:bCs/>
          <w:sz w:val="32"/>
          <w:szCs w:val="32"/>
        </w:rPr>
      </w:pPr>
      <w:r>
        <w:rPr>
          <w:b/>
          <w:bCs/>
          <w:sz w:val="32"/>
          <w:szCs w:val="32"/>
        </w:rPr>
        <w:t xml:space="preserve"> </w:t>
      </w:r>
    </w:p>
    <w:p>
      <w:pPr>
        <w:spacing w:beforeLines="50" w:line="348" w:lineRule="auto"/>
        <w:ind w:firstLine="542" w:firstLineChars="150"/>
        <w:rPr>
          <w:rFonts w:hint="eastAsia" w:ascii="楷体" w:hAnsi="楷体" w:eastAsia="楷体" w:cs="楷体"/>
          <w:b/>
          <w:bCs/>
          <w:sz w:val="36"/>
          <w:szCs w:val="36"/>
          <w:u w:val="single"/>
        </w:rPr>
      </w:pPr>
      <w:r>
        <w:rPr>
          <w:rFonts w:hint="eastAsia" w:ascii="楷体" w:hAnsi="楷体" w:eastAsia="楷体" w:cs="楷体"/>
          <w:b/>
          <w:bCs/>
          <w:sz w:val="36"/>
          <w:szCs w:val="36"/>
        </w:rPr>
        <w:t>部门(单位)名称：</w:t>
      </w:r>
      <w:r>
        <w:rPr>
          <w:rFonts w:hint="eastAsia" w:ascii="楷体" w:hAnsi="楷体" w:eastAsia="楷体" w:cs="楷体"/>
          <w:b/>
          <w:bCs/>
          <w:sz w:val="36"/>
          <w:szCs w:val="36"/>
          <w:u w:val="single"/>
        </w:rPr>
        <w:t xml:space="preserve">华容县政法委  </w:t>
      </w:r>
    </w:p>
    <w:p>
      <w:pPr>
        <w:spacing w:beforeLines="50" w:line="348" w:lineRule="auto"/>
        <w:ind w:firstLine="542" w:firstLineChars="150"/>
        <w:rPr>
          <w:rFonts w:hint="eastAsia" w:ascii="楷体" w:hAnsi="楷体" w:eastAsia="楷体" w:cs="楷体"/>
          <w:b/>
          <w:bCs/>
          <w:spacing w:val="20"/>
          <w:sz w:val="36"/>
          <w:szCs w:val="36"/>
        </w:rPr>
      </w:pPr>
      <w:r>
        <w:rPr>
          <w:rFonts w:hint="eastAsia" w:ascii="楷体" w:hAnsi="楷体" w:eastAsia="楷体" w:cs="楷体"/>
          <w:b/>
          <w:bCs/>
          <w:sz w:val="36"/>
          <w:szCs w:val="36"/>
        </w:rPr>
        <w:t>预</w:t>
      </w:r>
      <w:r>
        <w:rPr>
          <w:rFonts w:hint="eastAsia" w:ascii="楷体" w:hAnsi="楷体" w:eastAsia="楷体" w:cs="楷体"/>
          <w:b/>
          <w:bCs/>
          <w:spacing w:val="30"/>
          <w:sz w:val="36"/>
          <w:szCs w:val="36"/>
        </w:rPr>
        <w:t xml:space="preserve"> 算 编 码：</w:t>
      </w:r>
      <w:r>
        <w:rPr>
          <w:rFonts w:hint="eastAsia" w:ascii="楷体" w:hAnsi="楷体" w:eastAsia="楷体" w:cs="楷体"/>
          <w:b/>
          <w:bCs/>
          <w:spacing w:val="20"/>
          <w:sz w:val="36"/>
          <w:szCs w:val="36"/>
          <w:u w:val="single"/>
        </w:rPr>
        <w:t xml:space="preserve"> 114</w:t>
      </w:r>
    </w:p>
    <w:p>
      <w:pPr>
        <w:spacing w:beforeLines="50" w:line="348" w:lineRule="auto"/>
        <w:ind w:firstLine="542" w:firstLineChars="150"/>
        <w:rPr>
          <w:rFonts w:hint="eastAsia" w:ascii="楷体" w:hAnsi="楷体" w:eastAsia="楷体" w:cs="楷体"/>
          <w:b/>
          <w:bCs/>
          <w:sz w:val="36"/>
          <w:szCs w:val="36"/>
        </w:rPr>
      </w:pPr>
      <w:r>
        <w:rPr>
          <w:rFonts w:hint="eastAsia" w:ascii="楷体" w:hAnsi="楷体" w:eastAsia="楷体" w:cs="楷体"/>
          <w:b/>
          <w:bCs/>
          <w:sz w:val="36"/>
          <w:szCs w:val="36"/>
        </w:rPr>
        <w:t>评价方式：部门（单位）绩效自评</w:t>
      </w:r>
    </w:p>
    <w:p>
      <w:pPr>
        <w:spacing w:beforeLines="50" w:line="348" w:lineRule="auto"/>
        <w:ind w:firstLine="542" w:firstLineChars="150"/>
        <w:rPr>
          <w:rFonts w:hint="eastAsia" w:ascii="楷体" w:hAnsi="楷体" w:eastAsia="楷体" w:cs="楷体"/>
          <w:b/>
          <w:bCs/>
          <w:sz w:val="36"/>
          <w:szCs w:val="36"/>
        </w:rPr>
      </w:pPr>
      <w:r>
        <w:rPr>
          <w:rFonts w:hint="eastAsia" w:ascii="楷体" w:hAnsi="楷体" w:eastAsia="楷体" w:cs="楷体"/>
          <w:b/>
          <w:bCs/>
          <w:sz w:val="36"/>
          <w:szCs w:val="36"/>
        </w:rPr>
        <w:t xml:space="preserve">评价机构：部门（单位）评价组   </w:t>
      </w:r>
    </w:p>
    <w:p>
      <w:pPr>
        <w:spacing w:line="348" w:lineRule="auto"/>
        <w:ind w:firstLine="2494" w:firstLineChars="690"/>
        <w:rPr>
          <w:rFonts w:hint="eastAsia" w:ascii="楷体" w:hAnsi="楷体" w:eastAsia="楷体" w:cs="楷体"/>
          <w:b/>
          <w:bCs/>
          <w:sz w:val="36"/>
          <w:szCs w:val="36"/>
        </w:rPr>
      </w:pPr>
      <w:r>
        <w:rPr>
          <w:rFonts w:hint="eastAsia" w:ascii="楷体" w:hAnsi="楷体" w:eastAsia="楷体" w:cs="楷体"/>
          <w:b/>
          <w:bCs/>
          <w:sz w:val="36"/>
          <w:szCs w:val="36"/>
        </w:rPr>
        <w:t xml:space="preserve"> </w:t>
      </w:r>
    </w:p>
    <w:p>
      <w:pPr>
        <w:spacing w:line="348" w:lineRule="auto"/>
        <w:ind w:firstLine="2494" w:firstLineChars="690"/>
        <w:rPr>
          <w:rFonts w:hint="eastAsia" w:ascii="楷体" w:hAnsi="楷体" w:eastAsia="楷体" w:cs="楷体"/>
          <w:b/>
          <w:bCs/>
          <w:sz w:val="36"/>
          <w:szCs w:val="36"/>
        </w:rPr>
      </w:pPr>
      <w:r>
        <w:rPr>
          <w:rFonts w:hint="eastAsia" w:ascii="楷体" w:hAnsi="楷体" w:eastAsia="楷体" w:cs="楷体"/>
          <w:b/>
          <w:bCs/>
          <w:sz w:val="36"/>
          <w:szCs w:val="36"/>
        </w:rPr>
        <w:t xml:space="preserve"> </w:t>
      </w:r>
    </w:p>
    <w:p>
      <w:pPr>
        <w:spacing w:line="348" w:lineRule="auto"/>
        <w:jc w:val="center"/>
        <w:rPr>
          <w:rFonts w:hint="eastAsia" w:ascii="楷体" w:hAnsi="楷体" w:eastAsia="楷体" w:cs="楷体"/>
          <w:b/>
          <w:bCs/>
          <w:sz w:val="36"/>
          <w:szCs w:val="36"/>
        </w:rPr>
      </w:pPr>
      <w:r>
        <w:rPr>
          <w:rFonts w:hint="eastAsia" w:ascii="楷体" w:hAnsi="楷体" w:eastAsia="楷体" w:cs="楷体"/>
          <w:b/>
          <w:bCs/>
          <w:sz w:val="36"/>
          <w:szCs w:val="36"/>
        </w:rPr>
        <w:t>报告日期：201</w:t>
      </w:r>
      <w:r>
        <w:rPr>
          <w:rFonts w:hint="eastAsia" w:ascii="楷体" w:hAnsi="楷体" w:eastAsia="楷体" w:cs="楷体"/>
          <w:b/>
          <w:bCs/>
          <w:sz w:val="36"/>
          <w:szCs w:val="36"/>
          <w:lang w:val="en-US" w:eastAsia="zh-CN"/>
        </w:rPr>
        <w:t>9</w:t>
      </w:r>
      <w:r>
        <w:rPr>
          <w:rFonts w:hint="eastAsia" w:ascii="楷体" w:hAnsi="楷体" w:eastAsia="楷体" w:cs="楷体"/>
          <w:b/>
          <w:bCs/>
          <w:sz w:val="36"/>
          <w:szCs w:val="36"/>
        </w:rPr>
        <w:t>年</w:t>
      </w:r>
      <w:r>
        <w:rPr>
          <w:rFonts w:hint="eastAsia" w:ascii="楷体" w:hAnsi="楷体" w:eastAsia="楷体" w:cs="楷体"/>
          <w:b/>
          <w:bCs/>
          <w:sz w:val="36"/>
          <w:szCs w:val="36"/>
          <w:lang w:val="en-US" w:eastAsia="zh-CN"/>
        </w:rPr>
        <w:t>8</w:t>
      </w:r>
      <w:r>
        <w:rPr>
          <w:rFonts w:hint="eastAsia" w:ascii="楷体" w:hAnsi="楷体" w:eastAsia="楷体" w:cs="楷体"/>
          <w:b/>
          <w:bCs/>
          <w:sz w:val="36"/>
          <w:szCs w:val="36"/>
        </w:rPr>
        <w:t>月1</w:t>
      </w:r>
      <w:r>
        <w:rPr>
          <w:rFonts w:hint="eastAsia" w:ascii="楷体" w:hAnsi="楷体" w:eastAsia="楷体" w:cs="楷体"/>
          <w:b/>
          <w:bCs/>
          <w:sz w:val="36"/>
          <w:szCs w:val="36"/>
          <w:lang w:val="en-US" w:eastAsia="zh-CN"/>
        </w:rPr>
        <w:t>8</w:t>
      </w:r>
      <w:r>
        <w:rPr>
          <w:rFonts w:hint="eastAsia" w:ascii="楷体" w:hAnsi="楷体" w:eastAsia="楷体" w:cs="楷体"/>
          <w:b/>
          <w:bCs/>
          <w:sz w:val="36"/>
          <w:szCs w:val="36"/>
        </w:rPr>
        <w:t>日</w:t>
      </w:r>
    </w:p>
    <w:p>
      <w:pPr>
        <w:jc w:val="center"/>
        <w:textAlignment w:val="center"/>
        <w:rPr>
          <w:rFonts w:hint="eastAsia" w:ascii="楷体" w:hAnsi="楷体" w:eastAsia="楷体" w:cs="楷体"/>
          <w:b/>
          <w:bCs/>
          <w:sz w:val="36"/>
          <w:szCs w:val="36"/>
        </w:rPr>
      </w:pPr>
      <w:r>
        <w:rPr>
          <w:rFonts w:hint="eastAsia" w:ascii="楷体" w:hAnsi="楷体" w:eastAsia="楷体" w:cs="楷体"/>
          <w:b/>
          <w:bCs/>
          <w:sz w:val="36"/>
          <w:szCs w:val="36"/>
        </w:rPr>
        <w:t>华容县财政局（制）</w:t>
      </w:r>
    </w:p>
    <w:p>
      <w:pPr>
        <w:widowControl/>
        <w:jc w:val="left"/>
        <w:rPr>
          <w:rFonts w:hint="eastAsia" w:ascii="楷体" w:hAnsi="楷体" w:eastAsia="楷体" w:cs="楷体"/>
          <w:b/>
          <w:bCs/>
          <w:color w:val="000000"/>
          <w:sz w:val="32"/>
          <w:szCs w:val="32"/>
        </w:rPr>
        <w:sectPr>
          <w:pgSz w:w="11906" w:h="16838"/>
          <w:pgMar w:top="1588" w:right="1588" w:bottom="1588" w:left="1588" w:header="720" w:footer="720" w:gutter="0"/>
          <w:cols w:space="720" w:num="1"/>
          <w:docGrid w:type="lines" w:linePitch="602" w:charSpace="0"/>
        </w:sectPr>
      </w:pPr>
    </w:p>
    <w:tbl>
      <w:tblPr>
        <w:tblStyle w:val="3"/>
        <w:tblW w:w="9800" w:type="dxa"/>
        <w:jc w:val="center"/>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tblPrEx>
          <w:tblCellMar>
            <w:top w:w="0" w:type="dxa"/>
            <w:left w:w="15" w:type="dxa"/>
            <w:bottom w:w="0" w:type="dxa"/>
            <w:right w:w="15" w:type="dxa"/>
          </w:tblCellMar>
        </w:tblPrEx>
        <w:trPr>
          <w:trHeight w:val="567" w:hRule="atLeast"/>
          <w:jc w:val="center"/>
        </w:trPr>
        <w:tc>
          <w:tcPr>
            <w:tcW w:w="9800" w:type="dxa"/>
            <w:gridSpan w:val="17"/>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黑体" w:hAnsi="黑体" w:eastAsia="黑体"/>
                <w:color w:val="000000"/>
                <w:sz w:val="28"/>
                <w:szCs w:val="28"/>
              </w:rPr>
              <w:t>一、部门（单位）基本概况</w:t>
            </w:r>
          </w:p>
        </w:tc>
      </w:tr>
      <w:tr>
        <w:tblPrEx>
          <w:tblCellMar>
            <w:top w:w="0" w:type="dxa"/>
            <w:left w:w="15" w:type="dxa"/>
            <w:bottom w:w="0" w:type="dxa"/>
            <w:right w:w="15" w:type="dxa"/>
          </w:tblCellMar>
        </w:tblPrEx>
        <w:trPr>
          <w:trHeight w:val="567" w:hRule="atLeast"/>
          <w:jc w:val="center"/>
        </w:trPr>
        <w:tc>
          <w:tcPr>
            <w:tcW w:w="1654" w:type="dxa"/>
            <w:gridSpan w:val="2"/>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联系人</w:t>
            </w:r>
          </w:p>
        </w:tc>
        <w:tc>
          <w:tcPr>
            <w:tcW w:w="3561" w:type="dxa"/>
            <w:gridSpan w:val="6"/>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张国文</w:t>
            </w:r>
          </w:p>
        </w:tc>
        <w:tc>
          <w:tcPr>
            <w:tcW w:w="1479"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联络电话</w:t>
            </w:r>
          </w:p>
        </w:tc>
        <w:tc>
          <w:tcPr>
            <w:tcW w:w="3106" w:type="dxa"/>
            <w:gridSpan w:val="8"/>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default" w:ascii="??_GB2312" w:hAnsi="??_GB2312" w:eastAsia="宋体"/>
                <w:color w:val="000000"/>
                <w:sz w:val="24"/>
                <w:szCs w:val="24"/>
                <w:lang w:val="en-US" w:eastAsia="zh-CN"/>
              </w:rPr>
            </w:pPr>
            <w:r>
              <w:rPr>
                <w:rFonts w:hint="eastAsia" w:ascii="??_GB2312" w:hAnsi="??_GB2312"/>
                <w:color w:val="000000"/>
                <w:sz w:val="24"/>
                <w:szCs w:val="24"/>
                <w:lang w:val="en-US" w:eastAsia="zh-CN"/>
              </w:rPr>
              <w:t>13762768886</w:t>
            </w:r>
          </w:p>
        </w:tc>
      </w:tr>
      <w:tr>
        <w:trPr>
          <w:trHeight w:val="567" w:hRule="atLeast"/>
          <w:jc w:val="center"/>
        </w:trPr>
        <w:tc>
          <w:tcPr>
            <w:tcW w:w="1654" w:type="dxa"/>
            <w:gridSpan w:val="2"/>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人员编制</w:t>
            </w:r>
          </w:p>
        </w:tc>
        <w:tc>
          <w:tcPr>
            <w:tcW w:w="3561" w:type="dxa"/>
            <w:gridSpan w:val="6"/>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eastAsia" w:ascii="??_GB2312" w:hAnsi="??_GB2312" w:eastAsia="宋体"/>
                <w:color w:val="000000"/>
                <w:sz w:val="24"/>
                <w:szCs w:val="24"/>
                <w:lang w:val="en-US" w:eastAsia="zh-CN"/>
              </w:rPr>
            </w:pPr>
            <w:r>
              <w:rPr>
                <w:rFonts w:ascii="??_GB2312" w:hAnsi="??_GB2312"/>
                <w:color w:val="000000"/>
                <w:sz w:val="24"/>
                <w:szCs w:val="24"/>
              </w:rPr>
              <w:t>1</w:t>
            </w:r>
            <w:r>
              <w:rPr>
                <w:rFonts w:hint="eastAsia" w:ascii="??_GB2312" w:hAnsi="??_GB2312"/>
                <w:color w:val="000000"/>
                <w:sz w:val="24"/>
                <w:szCs w:val="24"/>
                <w:lang w:val="en-US" w:eastAsia="zh-CN"/>
              </w:rPr>
              <w:t>2</w:t>
            </w:r>
          </w:p>
        </w:tc>
        <w:tc>
          <w:tcPr>
            <w:tcW w:w="1479"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实有人数</w:t>
            </w:r>
          </w:p>
        </w:tc>
        <w:tc>
          <w:tcPr>
            <w:tcW w:w="3106" w:type="dxa"/>
            <w:gridSpan w:val="8"/>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default" w:ascii="??_GB2312" w:hAnsi="??_GB2312" w:eastAsia="宋体"/>
                <w:color w:val="000000"/>
                <w:sz w:val="24"/>
                <w:szCs w:val="24"/>
                <w:lang w:val="en-US" w:eastAsia="zh-CN"/>
              </w:rPr>
            </w:pPr>
            <w:r>
              <w:rPr>
                <w:rFonts w:hint="eastAsia" w:ascii="??_GB2312" w:hAnsi="??_GB2312"/>
                <w:color w:val="000000"/>
                <w:sz w:val="24"/>
                <w:szCs w:val="24"/>
                <w:lang w:val="en-US" w:eastAsia="zh-CN"/>
              </w:rPr>
              <w:t>24</w:t>
            </w:r>
          </w:p>
        </w:tc>
      </w:tr>
      <w:tr>
        <w:tblPrEx>
          <w:tblCellMar>
            <w:top w:w="0" w:type="dxa"/>
            <w:left w:w="15" w:type="dxa"/>
            <w:bottom w:w="0" w:type="dxa"/>
            <w:right w:w="15" w:type="dxa"/>
          </w:tblCellMar>
        </w:tblPrEx>
        <w:trPr>
          <w:trHeight w:val="1617" w:hRule="atLeast"/>
          <w:jc w:val="center"/>
        </w:trPr>
        <w:tc>
          <w:tcPr>
            <w:tcW w:w="1654" w:type="dxa"/>
            <w:gridSpan w:val="2"/>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职能职责概述</w:t>
            </w:r>
          </w:p>
        </w:tc>
        <w:tc>
          <w:tcPr>
            <w:tcW w:w="8146" w:type="dxa"/>
            <w:gridSpan w:val="15"/>
            <w:tcBorders>
              <w:top w:val="single" w:color="000000" w:sz="4" w:space="0"/>
              <w:left w:val="nil"/>
              <w:bottom w:val="single" w:color="000000" w:sz="4" w:space="0"/>
              <w:right w:val="single" w:color="000000" w:sz="4" w:space="0"/>
            </w:tcBorders>
            <w:vAlign w:val="center"/>
          </w:tcPr>
          <w:p>
            <w:pPr>
              <w:numPr>
                <w:ilvl w:val="0"/>
                <w:numId w:val="0"/>
              </w:numPr>
              <w:spacing w:line="320" w:lineRule="exact"/>
              <w:ind w:firstLine="560" w:firstLineChars="200"/>
              <w:jc w:val="left"/>
              <w:textAlignment w:val="center"/>
              <w:rPr>
                <w:rFonts w:hint="eastAsia" w:ascii="楷体" w:hAnsi="楷体" w:eastAsia="楷体" w:cs="楷体"/>
                <w:b w:val="0"/>
                <w:bCs w:val="0"/>
                <w:color w:val="000000"/>
                <w:sz w:val="28"/>
                <w:szCs w:val="28"/>
                <w:lang w:val="en-US" w:eastAsia="zh-CN"/>
              </w:rPr>
            </w:pPr>
            <w:r>
              <w:rPr>
                <w:rFonts w:hint="eastAsia" w:ascii="楷体" w:hAnsi="楷体" w:eastAsia="楷体" w:cs="楷体"/>
                <w:b w:val="0"/>
                <w:bCs w:val="0"/>
                <w:color w:val="000000"/>
                <w:sz w:val="28"/>
                <w:szCs w:val="28"/>
                <w:lang w:val="en-US" w:eastAsia="zh-CN"/>
              </w:rPr>
              <w:t>1、深入贯彻习近平新时代中国特色社会主义思想，深入贯彻党的路线方针政策和决策部署，统一政法各部门思想和行动，坚决对政法工作的绝对领导，坚决维护党中央权威和集中统一领导。</w:t>
            </w:r>
          </w:p>
          <w:p>
            <w:pPr>
              <w:numPr>
                <w:ilvl w:val="0"/>
                <w:numId w:val="0"/>
              </w:numPr>
              <w:spacing w:line="320" w:lineRule="exact"/>
              <w:ind w:firstLine="560" w:firstLineChars="200"/>
              <w:jc w:val="left"/>
              <w:textAlignment w:val="center"/>
              <w:rPr>
                <w:rFonts w:hint="eastAsia" w:ascii="楷体" w:hAnsi="楷体" w:eastAsia="楷体" w:cs="楷体"/>
                <w:b w:val="0"/>
                <w:bCs w:val="0"/>
                <w:color w:val="000000"/>
                <w:sz w:val="28"/>
                <w:szCs w:val="28"/>
                <w:lang w:val="en-US" w:eastAsia="zh-CN"/>
              </w:rPr>
            </w:pPr>
            <w:r>
              <w:rPr>
                <w:rFonts w:hint="eastAsia" w:ascii="楷体" w:hAnsi="楷体" w:eastAsia="楷体" w:cs="楷体"/>
                <w:b w:val="0"/>
                <w:bCs w:val="0"/>
                <w:color w:val="000000"/>
                <w:sz w:val="28"/>
                <w:szCs w:val="28"/>
                <w:lang w:val="en-US" w:eastAsia="zh-CN"/>
              </w:rPr>
              <w:t>2、深入贯彻党中央决定和省委、市委、县委决策，对全县政法工作研究提出全局性部署，推进平安华容、法治华容建设，加强过硬队伍建设，深化智能化建设，坚决维护国家政治安全，确保社会大局稳定、促进社会公平正义，保障人民安居乐业。</w:t>
            </w:r>
          </w:p>
          <w:p>
            <w:pPr>
              <w:numPr>
                <w:ilvl w:val="0"/>
                <w:numId w:val="0"/>
              </w:numPr>
              <w:spacing w:line="320" w:lineRule="exact"/>
              <w:ind w:firstLine="560" w:firstLineChars="200"/>
              <w:jc w:val="left"/>
              <w:textAlignment w:val="center"/>
              <w:rPr>
                <w:rFonts w:hint="eastAsia" w:ascii="楷体" w:hAnsi="楷体" w:eastAsia="楷体" w:cs="楷体"/>
                <w:b w:val="0"/>
                <w:bCs w:val="0"/>
                <w:color w:val="000000"/>
                <w:sz w:val="28"/>
                <w:szCs w:val="28"/>
                <w:lang w:val="en-US" w:eastAsia="zh-CN"/>
              </w:rPr>
            </w:pPr>
            <w:r>
              <w:rPr>
                <w:rFonts w:hint="eastAsia" w:ascii="楷体" w:hAnsi="楷体" w:eastAsia="楷体" w:cs="楷体"/>
                <w:b w:val="0"/>
                <w:bCs w:val="0"/>
                <w:color w:val="000000"/>
                <w:sz w:val="28"/>
                <w:szCs w:val="28"/>
                <w:lang w:val="en-US" w:eastAsia="zh-CN"/>
              </w:rPr>
              <w:t>3、了解和掌握分析研判政法工作情况动态，分析社会稳定形势，创新完善多部门参与的综治维稳工作机制，协调推动预防、化解影响稳定的社会矛盾和风险，协调应对和处置重大突发事件，牵头开展涉疆服务管理工作。</w:t>
            </w:r>
          </w:p>
          <w:p>
            <w:pPr>
              <w:numPr>
                <w:ilvl w:val="0"/>
                <w:numId w:val="0"/>
              </w:numPr>
              <w:spacing w:line="320" w:lineRule="exact"/>
              <w:ind w:firstLine="560" w:firstLineChars="200"/>
              <w:jc w:val="left"/>
              <w:textAlignment w:val="center"/>
              <w:rPr>
                <w:rFonts w:hint="eastAsia" w:ascii="楷体" w:hAnsi="楷体" w:eastAsia="楷体" w:cs="楷体"/>
                <w:b w:val="0"/>
                <w:bCs w:val="0"/>
                <w:color w:val="000000"/>
                <w:sz w:val="28"/>
                <w:szCs w:val="28"/>
                <w:lang w:val="en-US" w:eastAsia="zh-CN"/>
              </w:rPr>
            </w:pPr>
            <w:r>
              <w:rPr>
                <w:rFonts w:hint="eastAsia" w:ascii="楷体" w:hAnsi="楷体" w:eastAsia="楷体" w:cs="楷体"/>
                <w:b w:val="0"/>
                <w:bCs w:val="0"/>
                <w:color w:val="000000"/>
                <w:sz w:val="28"/>
                <w:szCs w:val="28"/>
                <w:lang w:val="en-US" w:eastAsia="zh-CN"/>
              </w:rPr>
              <w:t>4、加强对政法工作的自查，统筹协调社会治安综合治理、维护社会稳定、反邪教有关法律法规政策的实施工作。</w:t>
            </w:r>
          </w:p>
          <w:p>
            <w:pPr>
              <w:numPr>
                <w:ilvl w:val="0"/>
                <w:numId w:val="0"/>
              </w:numPr>
              <w:spacing w:line="320" w:lineRule="exact"/>
              <w:ind w:firstLine="560" w:firstLineChars="200"/>
              <w:jc w:val="left"/>
              <w:textAlignment w:val="center"/>
              <w:rPr>
                <w:rFonts w:hint="eastAsia" w:ascii="楷体" w:hAnsi="楷体" w:eastAsia="楷体" w:cs="楷体"/>
                <w:b w:val="0"/>
                <w:bCs w:val="0"/>
                <w:color w:val="000000"/>
                <w:sz w:val="28"/>
                <w:szCs w:val="28"/>
                <w:lang w:val="en-US" w:eastAsia="zh-CN"/>
              </w:rPr>
            </w:pPr>
            <w:r>
              <w:rPr>
                <w:rFonts w:hint="eastAsia" w:ascii="楷体" w:hAnsi="楷体" w:eastAsia="楷体" w:cs="楷体"/>
                <w:b w:val="0"/>
                <w:bCs w:val="0"/>
                <w:color w:val="000000"/>
                <w:sz w:val="28"/>
                <w:szCs w:val="28"/>
                <w:lang w:val="en-US" w:eastAsia="zh-CN"/>
              </w:rPr>
              <w:t>5、组织开展政法领域的调查研究，研究拟订政法工作的重要措施，及时向县委提出建议，参与政法领域有关规范性文件的起草、修改工作。</w:t>
            </w:r>
          </w:p>
          <w:p>
            <w:pPr>
              <w:numPr>
                <w:ilvl w:val="0"/>
                <w:numId w:val="0"/>
              </w:numPr>
              <w:spacing w:line="320" w:lineRule="exact"/>
              <w:ind w:firstLine="560" w:firstLineChars="200"/>
              <w:jc w:val="left"/>
              <w:textAlignment w:val="center"/>
              <w:rPr>
                <w:rFonts w:hint="eastAsia" w:ascii="楷体" w:hAnsi="楷体" w:eastAsia="楷体" w:cs="楷体"/>
                <w:b w:val="0"/>
                <w:bCs w:val="0"/>
                <w:color w:val="000000"/>
                <w:sz w:val="28"/>
                <w:szCs w:val="28"/>
                <w:lang w:val="en-US" w:eastAsia="zh-CN"/>
              </w:rPr>
            </w:pPr>
            <w:r>
              <w:rPr>
                <w:rFonts w:hint="eastAsia" w:ascii="楷体" w:hAnsi="楷体" w:eastAsia="楷体" w:cs="楷体"/>
                <w:b w:val="0"/>
                <w:bCs w:val="0"/>
                <w:color w:val="000000"/>
                <w:sz w:val="28"/>
                <w:szCs w:val="28"/>
                <w:lang w:val="en-US" w:eastAsia="zh-CN"/>
              </w:rPr>
              <w:t>6、掌握分析政法舆情动态，指导协调政法部门媒体网络宣传工作，指导政法部门做好涉及政法工作的重大宣传工作。</w:t>
            </w:r>
          </w:p>
          <w:p>
            <w:pPr>
              <w:numPr>
                <w:ilvl w:val="0"/>
                <w:numId w:val="0"/>
              </w:numPr>
              <w:spacing w:line="320" w:lineRule="exact"/>
              <w:ind w:firstLine="560" w:firstLineChars="200"/>
              <w:jc w:val="left"/>
              <w:textAlignment w:val="center"/>
              <w:rPr>
                <w:rFonts w:hint="eastAsia" w:ascii="楷体" w:hAnsi="楷体" w:eastAsia="楷体" w:cs="楷体"/>
                <w:b w:val="0"/>
                <w:bCs w:val="0"/>
                <w:color w:val="000000"/>
                <w:sz w:val="28"/>
                <w:szCs w:val="28"/>
                <w:lang w:val="en-US" w:eastAsia="zh-CN"/>
              </w:rPr>
            </w:pPr>
            <w:r>
              <w:rPr>
                <w:rFonts w:hint="eastAsia" w:ascii="楷体" w:hAnsi="楷体" w:eastAsia="楷体" w:cs="楷体"/>
                <w:b w:val="0"/>
                <w:bCs w:val="0"/>
                <w:color w:val="000000"/>
                <w:sz w:val="28"/>
                <w:szCs w:val="28"/>
                <w:lang w:val="en-US" w:eastAsia="zh-CN"/>
              </w:rPr>
              <w:t>7、监督和支持政法各部门依法行使职权，指导和协调政法各部门密切配合，研究和协调重大、疑难案件，推进严格执法、公正司法。</w:t>
            </w:r>
          </w:p>
          <w:p>
            <w:pPr>
              <w:numPr>
                <w:ilvl w:val="0"/>
                <w:numId w:val="0"/>
              </w:numPr>
              <w:spacing w:line="320" w:lineRule="exact"/>
              <w:ind w:firstLine="560" w:firstLineChars="200"/>
              <w:jc w:val="left"/>
              <w:textAlignment w:val="center"/>
              <w:rPr>
                <w:rFonts w:hint="eastAsia" w:ascii="楷体" w:hAnsi="楷体" w:eastAsia="楷体" w:cs="楷体"/>
                <w:b w:val="0"/>
                <w:bCs w:val="0"/>
                <w:color w:val="000000"/>
                <w:sz w:val="28"/>
                <w:szCs w:val="28"/>
                <w:lang w:val="en-US" w:eastAsia="zh-CN"/>
              </w:rPr>
            </w:pPr>
            <w:r>
              <w:rPr>
                <w:rFonts w:hint="eastAsia" w:ascii="楷体" w:hAnsi="楷体" w:eastAsia="楷体" w:cs="楷体"/>
                <w:b w:val="0"/>
                <w:bCs w:val="0"/>
                <w:color w:val="000000"/>
                <w:sz w:val="28"/>
                <w:szCs w:val="28"/>
                <w:lang w:val="en-US" w:eastAsia="zh-CN"/>
              </w:rPr>
              <w:t>8、组织研究政法改革中带有方向性、倾向性和普遍性的重大问题，深化政法改革。</w:t>
            </w:r>
          </w:p>
          <w:p>
            <w:pPr>
              <w:numPr>
                <w:ilvl w:val="0"/>
                <w:numId w:val="0"/>
              </w:numPr>
              <w:spacing w:line="320" w:lineRule="exact"/>
              <w:ind w:firstLine="560" w:firstLineChars="200"/>
              <w:jc w:val="left"/>
              <w:textAlignment w:val="center"/>
              <w:rPr>
                <w:rFonts w:hint="eastAsia" w:ascii="??_GB2312" w:hAnsi="??_GB2312"/>
                <w:color w:val="000000"/>
                <w:sz w:val="24"/>
                <w:szCs w:val="24"/>
                <w:lang w:val="en-US" w:eastAsia="zh-CN"/>
              </w:rPr>
            </w:pPr>
            <w:r>
              <w:rPr>
                <w:rFonts w:hint="eastAsia" w:ascii="楷体" w:hAnsi="楷体" w:eastAsia="楷体" w:cs="楷体"/>
                <w:b w:val="0"/>
                <w:bCs w:val="0"/>
                <w:color w:val="000000"/>
                <w:sz w:val="28"/>
                <w:szCs w:val="28"/>
                <w:lang w:val="en-US" w:eastAsia="zh-CN"/>
              </w:rPr>
              <w:t>9、指导推动政法系统党的建设和政法队伍建设。</w:t>
            </w:r>
          </w:p>
        </w:tc>
      </w:tr>
      <w:tr>
        <w:tblPrEx>
          <w:tblCellMar>
            <w:top w:w="0" w:type="dxa"/>
            <w:left w:w="15" w:type="dxa"/>
            <w:bottom w:w="0" w:type="dxa"/>
            <w:right w:w="15" w:type="dxa"/>
          </w:tblCellMar>
        </w:tblPrEx>
        <w:trPr>
          <w:trHeight w:val="2464" w:hRule="atLeast"/>
          <w:jc w:val="center"/>
        </w:trPr>
        <w:tc>
          <w:tcPr>
            <w:tcW w:w="1654" w:type="dxa"/>
            <w:gridSpan w:val="2"/>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年度主要</w:t>
            </w:r>
          </w:p>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工作内容</w:t>
            </w:r>
          </w:p>
        </w:tc>
        <w:tc>
          <w:tcPr>
            <w:tcW w:w="8146" w:type="dxa"/>
            <w:gridSpan w:val="15"/>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仿宋_GB2312" w:hAnsi="Arial" w:eastAsia="仿宋_GB2312" w:cs="仿宋_GB2312"/>
                <w:color w:val="000000"/>
                <w:sz w:val="24"/>
                <w:szCs w:val="24"/>
                <w:shd w:val="clear" w:color="auto" w:fill="FFFFFF"/>
              </w:rPr>
            </w:pPr>
            <w:r>
              <w:rPr>
                <w:rFonts w:ascii="仿宋_GB2312" w:hAnsi="Arial" w:eastAsia="仿宋_GB2312" w:cs="仿宋_GB2312"/>
                <w:color w:val="000000"/>
                <w:sz w:val="24"/>
                <w:szCs w:val="24"/>
                <w:shd w:val="clear" w:color="auto" w:fill="FFFFFF"/>
              </w:rPr>
              <w:t>——</w:t>
            </w:r>
            <w:r>
              <w:rPr>
                <w:rFonts w:hint="eastAsia" w:ascii="仿宋_GB2312" w:hAnsi="Arial" w:eastAsia="仿宋_GB2312" w:cs="仿宋_GB2312"/>
                <w:color w:val="000000"/>
                <w:sz w:val="24"/>
                <w:szCs w:val="24"/>
                <w:shd w:val="clear" w:color="auto" w:fill="FFFFFF"/>
              </w:rPr>
              <w:t>突出主责主业，信访维稳形势总体平稳可控。</w:t>
            </w:r>
          </w:p>
          <w:p>
            <w:pPr>
              <w:spacing w:line="320" w:lineRule="exact"/>
              <w:jc w:val="left"/>
              <w:textAlignment w:val="center"/>
              <w:rPr>
                <w:rFonts w:ascii="仿宋_GB2312" w:hAnsi="Arial" w:eastAsia="仿宋_GB2312" w:cs="仿宋_GB2312"/>
                <w:color w:val="000000"/>
                <w:sz w:val="24"/>
                <w:szCs w:val="24"/>
                <w:shd w:val="clear" w:color="auto" w:fill="FFFFFF"/>
              </w:rPr>
            </w:pPr>
            <w:r>
              <w:rPr>
                <w:rFonts w:ascii="仿宋_GB2312" w:hAnsi="Arial" w:eastAsia="仿宋_GB2312" w:cs="仿宋_GB2312"/>
                <w:color w:val="000000"/>
                <w:sz w:val="24"/>
                <w:szCs w:val="24"/>
                <w:shd w:val="clear" w:color="auto" w:fill="FFFFFF"/>
              </w:rPr>
              <w:t>——</w:t>
            </w:r>
            <w:r>
              <w:rPr>
                <w:rFonts w:hint="eastAsia" w:ascii="仿宋_GB2312" w:hAnsi="Arial" w:eastAsia="仿宋_GB2312" w:cs="仿宋_GB2312"/>
                <w:color w:val="000000"/>
                <w:sz w:val="24"/>
                <w:szCs w:val="24"/>
                <w:shd w:val="clear" w:color="auto" w:fill="FFFFFF"/>
              </w:rPr>
              <w:t>突出实干担当，服务保障更加坚实有力。</w:t>
            </w:r>
          </w:p>
          <w:p>
            <w:pPr>
              <w:spacing w:line="320" w:lineRule="exact"/>
              <w:jc w:val="left"/>
              <w:textAlignment w:val="center"/>
              <w:rPr>
                <w:rFonts w:ascii="仿宋_GB2312" w:hAnsi="Arial" w:eastAsia="仿宋_GB2312" w:cs="仿宋_GB2312"/>
                <w:color w:val="000000"/>
                <w:sz w:val="24"/>
                <w:szCs w:val="24"/>
                <w:shd w:val="clear" w:color="auto" w:fill="FFFFFF"/>
              </w:rPr>
            </w:pPr>
            <w:r>
              <w:rPr>
                <w:rFonts w:ascii="仿宋_GB2312" w:hAnsi="Arial" w:eastAsia="仿宋_GB2312" w:cs="仿宋_GB2312"/>
                <w:color w:val="000000"/>
                <w:sz w:val="24"/>
                <w:szCs w:val="24"/>
                <w:shd w:val="clear" w:color="auto" w:fill="FFFFFF"/>
              </w:rPr>
              <w:t>——</w:t>
            </w:r>
            <w:r>
              <w:rPr>
                <w:rFonts w:hint="eastAsia" w:ascii="仿宋_GB2312" w:hAnsi="Arial" w:eastAsia="仿宋_GB2312" w:cs="仿宋_GB2312"/>
                <w:color w:val="000000"/>
                <w:sz w:val="24"/>
                <w:szCs w:val="24"/>
                <w:shd w:val="clear" w:color="auto" w:fill="FFFFFF"/>
              </w:rPr>
              <w:t>突出综合治理，群众安全感满意度显著提升。</w:t>
            </w:r>
          </w:p>
          <w:p>
            <w:pPr>
              <w:spacing w:line="320" w:lineRule="exact"/>
              <w:jc w:val="left"/>
              <w:textAlignment w:val="center"/>
              <w:rPr>
                <w:rFonts w:ascii="仿宋_GB2312" w:hAnsi="Arial" w:eastAsia="仿宋_GB2312" w:cs="仿宋_GB2312"/>
                <w:color w:val="000000"/>
                <w:sz w:val="24"/>
                <w:szCs w:val="24"/>
                <w:shd w:val="clear" w:color="auto" w:fill="FFFFFF"/>
              </w:rPr>
            </w:pPr>
            <w:r>
              <w:rPr>
                <w:rFonts w:ascii="仿宋_GB2312" w:hAnsi="Arial" w:eastAsia="仿宋_GB2312" w:cs="仿宋_GB2312"/>
                <w:color w:val="000000"/>
                <w:sz w:val="24"/>
                <w:szCs w:val="24"/>
                <w:shd w:val="clear" w:color="auto" w:fill="FFFFFF"/>
              </w:rPr>
              <w:t>——</w:t>
            </w:r>
            <w:r>
              <w:rPr>
                <w:rFonts w:hint="eastAsia" w:ascii="仿宋_GB2312" w:hAnsi="Arial" w:eastAsia="仿宋_GB2312" w:cs="仿宋_GB2312"/>
                <w:color w:val="000000"/>
                <w:sz w:val="24"/>
                <w:szCs w:val="24"/>
                <w:shd w:val="clear" w:color="auto" w:fill="FFFFFF"/>
              </w:rPr>
              <w:t>突出基础建设，安全稳定防线更加坚固。打造过硬队伍。</w:t>
            </w:r>
          </w:p>
          <w:p>
            <w:pPr>
              <w:spacing w:line="320" w:lineRule="exact"/>
              <w:jc w:val="left"/>
              <w:textAlignment w:val="center"/>
              <w:rPr>
                <w:rFonts w:ascii="仿宋_GB2312" w:hAnsi="Arial" w:eastAsia="仿宋_GB2312" w:cs="仿宋_GB2312"/>
                <w:color w:val="000000"/>
                <w:sz w:val="24"/>
                <w:szCs w:val="24"/>
                <w:shd w:val="clear" w:color="auto" w:fill="FFFFFF"/>
              </w:rPr>
            </w:pPr>
            <w:r>
              <w:rPr>
                <w:rFonts w:ascii="仿宋_GB2312" w:hAnsi="Arial" w:eastAsia="仿宋_GB2312" w:cs="仿宋_GB2312"/>
                <w:color w:val="000000"/>
                <w:sz w:val="24"/>
                <w:szCs w:val="24"/>
                <w:shd w:val="clear" w:color="auto" w:fill="FFFFFF"/>
              </w:rPr>
              <w:t>——</w:t>
            </w:r>
            <w:r>
              <w:rPr>
                <w:rFonts w:hint="eastAsia" w:ascii="仿宋_GB2312" w:hAnsi="Arial" w:eastAsia="仿宋_GB2312" w:cs="仿宋_GB2312"/>
                <w:color w:val="000000"/>
                <w:sz w:val="24"/>
                <w:szCs w:val="24"/>
                <w:shd w:val="clear" w:color="auto" w:fill="FFFFFF"/>
              </w:rPr>
              <w:t>突出综合治理，群众安全感满意度显著提升。</w:t>
            </w:r>
          </w:p>
          <w:p>
            <w:pPr>
              <w:spacing w:line="320" w:lineRule="exact"/>
              <w:jc w:val="left"/>
              <w:textAlignment w:val="center"/>
              <w:rPr>
                <w:rFonts w:ascii="??_GB2312" w:hAnsi="??_GB2312"/>
                <w:color w:val="000000"/>
                <w:sz w:val="24"/>
                <w:szCs w:val="24"/>
              </w:rPr>
            </w:pPr>
          </w:p>
        </w:tc>
      </w:tr>
      <w:tr>
        <w:tblPrEx>
          <w:tblCellMar>
            <w:top w:w="0" w:type="dxa"/>
            <w:left w:w="15" w:type="dxa"/>
            <w:bottom w:w="0" w:type="dxa"/>
            <w:right w:w="15" w:type="dxa"/>
          </w:tblCellMar>
        </w:tblPrEx>
        <w:trPr>
          <w:trHeight w:val="2260" w:hRule="atLeast"/>
          <w:jc w:val="center"/>
        </w:trPr>
        <w:tc>
          <w:tcPr>
            <w:tcW w:w="1654" w:type="dxa"/>
            <w:gridSpan w:val="2"/>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_GB2312" w:hAnsi="??_GB2312"/>
                <w:color w:val="000000"/>
                <w:spacing w:val="-6"/>
                <w:sz w:val="24"/>
                <w:szCs w:val="24"/>
              </w:rPr>
            </w:pPr>
            <w:r>
              <w:rPr>
                <w:rFonts w:hint="eastAsia" w:ascii="??_GB2312" w:hAnsi="??_GB2312"/>
                <w:color w:val="000000"/>
                <w:spacing w:val="-6"/>
                <w:sz w:val="24"/>
                <w:szCs w:val="24"/>
              </w:rPr>
              <w:t>年度部门（单位）总体运行情况及取得的成绩</w:t>
            </w:r>
          </w:p>
        </w:tc>
        <w:tc>
          <w:tcPr>
            <w:tcW w:w="8146" w:type="dxa"/>
            <w:gridSpan w:val="15"/>
            <w:tcBorders>
              <w:top w:val="single" w:color="000000" w:sz="4" w:space="0"/>
              <w:left w:val="nil"/>
              <w:bottom w:val="single" w:color="000000" w:sz="4" w:space="0"/>
              <w:right w:val="single" w:color="000000" w:sz="4" w:space="0"/>
            </w:tcBorders>
            <w:vAlign w:val="center"/>
          </w:tcPr>
          <w:p>
            <w:pPr>
              <w:spacing w:line="320" w:lineRule="exact"/>
              <w:ind w:firstLine="480" w:firstLineChars="200"/>
              <w:jc w:val="left"/>
              <w:textAlignment w:val="center"/>
              <w:rPr>
                <w:rFonts w:ascii="??_GB2312" w:hAnsi="??_GB2312"/>
                <w:color w:val="000000"/>
                <w:sz w:val="21"/>
                <w:szCs w:val="21"/>
              </w:rPr>
            </w:pPr>
            <w:r>
              <w:rPr>
                <w:rFonts w:hint="eastAsia" w:ascii="仿宋" w:hAnsi="仿宋" w:eastAsia="仿宋" w:cs="仿宋"/>
                <w:color w:val="000000"/>
                <w:sz w:val="24"/>
                <w:szCs w:val="24"/>
                <w:lang w:val="en-US" w:eastAsia="zh-CN"/>
              </w:rPr>
              <w:t>2018年，</w:t>
            </w:r>
            <w:r>
              <w:rPr>
                <w:rFonts w:hint="eastAsia" w:ascii="仿宋" w:hAnsi="仿宋" w:eastAsia="仿宋" w:cs="仿宋"/>
                <w:color w:val="000000"/>
                <w:sz w:val="24"/>
                <w:szCs w:val="24"/>
                <w:lang w:eastAsia="zh-CN"/>
              </w:rPr>
              <w:t>我县被评为第四批全国法治县创建活动先进单位，连续多年保持全省平安县称号，获评全省“三调联动解纠纷、防控风险促发展”专项调解活动先进集体，华容河法治文化广场获评第三批全省法治文化示范项目，马鞍山实验学校获评省级平安学校创建示范单位，万庾镇万庾村居民张丽容同志被推选为湖南省见义勇为英雄；县公安局获评全省公安机关扫黑除恶工作成绩突出单位，看守所保持全国一级看守所称号，城中派出所获评全省优秀基层所，督察大队获评全省公安警务督察工作成绩突出集体</w:t>
            </w:r>
            <w:r>
              <w:rPr>
                <w:rFonts w:hint="eastAsia" w:ascii="仿宋" w:hAnsi="仿宋" w:eastAsia="仿宋" w:cs="仿宋"/>
                <w:color w:val="000000"/>
                <w:sz w:val="24"/>
                <w:szCs w:val="24"/>
                <w:lang w:val="en-US" w:eastAsia="zh-CN"/>
              </w:rPr>
              <w:t>；</w:t>
            </w:r>
            <w:r>
              <w:rPr>
                <w:rFonts w:hint="eastAsia" w:ascii="仿宋" w:hAnsi="仿宋" w:eastAsia="仿宋" w:cs="仿宋"/>
                <w:color w:val="000000"/>
                <w:sz w:val="24"/>
                <w:szCs w:val="24"/>
                <w:lang w:eastAsia="zh-CN"/>
              </w:rPr>
              <w:t>县检察院先后被评为</w:t>
            </w:r>
            <w:r>
              <w:rPr>
                <w:rFonts w:hint="eastAsia" w:ascii="仿宋" w:hAnsi="仿宋" w:eastAsia="仿宋" w:cs="仿宋"/>
                <w:b w:val="0"/>
                <w:bCs w:val="0"/>
                <w:color w:val="000000"/>
                <w:sz w:val="24"/>
                <w:szCs w:val="24"/>
                <w:lang w:eastAsia="zh-CN"/>
              </w:rPr>
              <w:t>全国检察宣传先进单位、</w:t>
            </w:r>
            <w:r>
              <w:rPr>
                <w:rFonts w:hint="eastAsia" w:ascii="仿宋" w:hAnsi="仿宋" w:eastAsia="仿宋" w:cs="仿宋"/>
                <w:color w:val="000000"/>
                <w:sz w:val="24"/>
                <w:szCs w:val="24"/>
                <w:lang w:eastAsia="zh-CN"/>
              </w:rPr>
              <w:t>全省公益诉讼先进单位、全省政法系统文艺之星、全省读书风气最盛检察院，保持省级文明标兵单位称号；县法院在全省</w:t>
            </w:r>
            <w:r>
              <w:rPr>
                <w:rFonts w:hint="eastAsia" w:ascii="仿宋" w:hAnsi="仿宋" w:eastAsia="仿宋" w:cs="仿宋"/>
                <w:color w:val="000000"/>
                <w:sz w:val="24"/>
                <w:szCs w:val="24"/>
                <w:lang w:val="en-US" w:eastAsia="zh-CN"/>
              </w:rPr>
              <w:t>125家法院综合考评</w:t>
            </w:r>
            <w:r>
              <w:rPr>
                <w:rFonts w:hint="eastAsia" w:ascii="仿宋" w:hAnsi="仿宋" w:eastAsia="仿宋" w:cs="仿宋"/>
                <w:color w:val="000000"/>
                <w:sz w:val="24"/>
                <w:szCs w:val="24"/>
                <w:lang w:eastAsia="zh-CN"/>
              </w:rPr>
              <w:t>中排名第</w:t>
            </w:r>
            <w:r>
              <w:rPr>
                <w:rFonts w:hint="eastAsia" w:ascii="仿宋" w:hAnsi="仿宋" w:eastAsia="仿宋" w:cs="仿宋"/>
                <w:color w:val="000000"/>
                <w:sz w:val="24"/>
                <w:szCs w:val="24"/>
                <w:lang w:val="en-US" w:eastAsia="zh-CN"/>
              </w:rPr>
              <w:t>25位，法检两院在市院绩效考核中均排名第一</w:t>
            </w:r>
            <w:r>
              <w:rPr>
                <w:rFonts w:hint="eastAsia" w:ascii="仿宋" w:hAnsi="仿宋" w:eastAsia="仿宋" w:cs="仿宋"/>
                <w:color w:val="000000"/>
                <w:sz w:val="24"/>
                <w:szCs w:val="24"/>
                <w:lang w:eastAsia="zh-CN"/>
              </w:rPr>
              <w:t xml:space="preserve">；县森林公安局被省局授予集体嘉奖；县消防大队被国家应急管理部消防局评为“改革转制教育整训先进大队”。 </w:t>
            </w:r>
          </w:p>
        </w:tc>
      </w:tr>
      <w:tr>
        <w:tblPrEx>
          <w:tblCellMar>
            <w:top w:w="0" w:type="dxa"/>
            <w:left w:w="15" w:type="dxa"/>
            <w:bottom w:w="0" w:type="dxa"/>
            <w:right w:w="15" w:type="dxa"/>
          </w:tblCellMar>
        </w:tblPrEx>
        <w:trPr>
          <w:trHeight w:val="567" w:hRule="atLeast"/>
          <w:jc w:val="center"/>
        </w:trPr>
        <w:tc>
          <w:tcPr>
            <w:tcW w:w="9800" w:type="dxa"/>
            <w:gridSpan w:val="17"/>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黑体" w:hAnsi="黑体" w:eastAsia="黑体"/>
                <w:color w:val="000000"/>
                <w:sz w:val="28"/>
                <w:szCs w:val="28"/>
              </w:rPr>
              <w:t>二、部门（单位）收支情况</w:t>
            </w:r>
          </w:p>
        </w:tc>
      </w:tr>
      <w:tr>
        <w:tblPrEx>
          <w:tblCellMar>
            <w:top w:w="0" w:type="dxa"/>
            <w:left w:w="15" w:type="dxa"/>
            <w:bottom w:w="0" w:type="dxa"/>
            <w:right w:w="15" w:type="dxa"/>
          </w:tblCellMar>
        </w:tblPrEx>
        <w:trPr>
          <w:trHeight w:val="567" w:hRule="atLeast"/>
          <w:jc w:val="center"/>
        </w:trPr>
        <w:tc>
          <w:tcPr>
            <w:tcW w:w="9800" w:type="dxa"/>
            <w:gridSpan w:val="17"/>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b/>
                <w:bCs/>
                <w:color w:val="000000"/>
                <w:sz w:val="24"/>
                <w:szCs w:val="24"/>
              </w:rPr>
              <w:t>年度收入情况（万元）</w:t>
            </w:r>
          </w:p>
        </w:tc>
      </w:tr>
      <w:tr>
        <w:tblPrEx>
          <w:tblCellMar>
            <w:top w:w="0" w:type="dxa"/>
            <w:left w:w="15" w:type="dxa"/>
            <w:bottom w:w="0" w:type="dxa"/>
            <w:right w:w="15" w:type="dxa"/>
          </w:tblCellMar>
        </w:tblPrEx>
        <w:trPr>
          <w:trHeight w:val="567" w:hRule="atLeast"/>
          <w:jc w:val="center"/>
        </w:trPr>
        <w:tc>
          <w:tcPr>
            <w:tcW w:w="1700" w:type="dxa"/>
            <w:gridSpan w:val="3"/>
            <w:vMerge w:val="restart"/>
            <w:tcBorders>
              <w:top w:val="nil"/>
              <w:left w:val="single" w:color="000000" w:sz="4" w:space="0"/>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机构名称</w:t>
            </w:r>
          </w:p>
        </w:tc>
        <w:tc>
          <w:tcPr>
            <w:tcW w:w="1080" w:type="dxa"/>
            <w:vMerge w:val="restart"/>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收入合计</w:t>
            </w:r>
          </w:p>
        </w:tc>
        <w:tc>
          <w:tcPr>
            <w:tcW w:w="7020" w:type="dxa"/>
            <w:gridSpan w:val="13"/>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其中：</w:t>
            </w:r>
          </w:p>
        </w:tc>
      </w:tr>
      <w:tr>
        <w:trPr>
          <w:trHeight w:val="1014" w:hRule="atLeast"/>
          <w:jc w:val="center"/>
        </w:trPr>
        <w:tc>
          <w:tcPr>
            <w:tcW w:w="1700" w:type="dxa"/>
            <w:gridSpan w:val="3"/>
            <w:vMerge w:val="continue"/>
            <w:tcBorders>
              <w:top w:val="nil"/>
              <w:left w:val="single" w:color="000000" w:sz="4" w:space="0"/>
              <w:bottom w:val="single" w:color="000000" w:sz="4" w:space="0"/>
              <w:right w:val="single" w:color="000000" w:sz="4" w:space="0"/>
            </w:tcBorders>
            <w:vAlign w:val="center"/>
          </w:tcPr>
          <w:p>
            <w:pPr>
              <w:widowControl/>
              <w:jc w:val="left"/>
              <w:rPr>
                <w:rFonts w:ascii="??_GB2312" w:hAnsi="??_GB2312"/>
                <w:color w:val="000000"/>
                <w:sz w:val="24"/>
                <w:szCs w:val="24"/>
              </w:rPr>
            </w:pPr>
          </w:p>
        </w:tc>
        <w:tc>
          <w:tcPr>
            <w:tcW w:w="1080" w:type="dxa"/>
            <w:vMerge w:val="continue"/>
            <w:tcBorders>
              <w:top w:val="single" w:color="000000" w:sz="4" w:space="0"/>
              <w:left w:val="nil"/>
              <w:bottom w:val="single" w:color="000000" w:sz="4" w:space="0"/>
              <w:right w:val="single" w:color="auto" w:sz="4" w:space="0"/>
            </w:tcBorders>
            <w:vAlign w:val="center"/>
          </w:tcPr>
          <w:p>
            <w:pPr>
              <w:widowControl/>
              <w:jc w:val="left"/>
              <w:rPr>
                <w:rFonts w:ascii="??_GB2312" w:hAnsi="??_GB2312"/>
                <w:color w:val="000000"/>
                <w:sz w:val="24"/>
                <w:szCs w:val="24"/>
              </w:rPr>
            </w:pPr>
          </w:p>
        </w:tc>
        <w:tc>
          <w:tcPr>
            <w:tcW w:w="1355"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上年结转</w:t>
            </w:r>
          </w:p>
        </w:tc>
        <w:tc>
          <w:tcPr>
            <w:tcW w:w="1080"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公共财</w:t>
            </w:r>
          </w:p>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政拨款</w:t>
            </w:r>
          </w:p>
        </w:tc>
        <w:tc>
          <w:tcPr>
            <w:tcW w:w="1705"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政府基金拨款</w:t>
            </w:r>
          </w:p>
        </w:tc>
        <w:tc>
          <w:tcPr>
            <w:tcW w:w="1800"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纳入专户管理的非税收入拨款</w:t>
            </w:r>
          </w:p>
        </w:tc>
        <w:tc>
          <w:tcPr>
            <w:tcW w:w="1080" w:type="dxa"/>
            <w:gridSpan w:val="3"/>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其他</w:t>
            </w:r>
          </w:p>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收入</w:t>
            </w:r>
          </w:p>
        </w:tc>
      </w:tr>
      <w:tr>
        <w:tblPrEx>
          <w:tblCellMar>
            <w:top w:w="0" w:type="dxa"/>
            <w:left w:w="15" w:type="dxa"/>
            <w:bottom w:w="0" w:type="dxa"/>
            <w:right w:w="15" w:type="dxa"/>
          </w:tblCellMar>
        </w:tblPrEx>
        <w:trPr>
          <w:trHeight w:val="772" w:hRule="atLeast"/>
          <w:jc w:val="center"/>
        </w:trPr>
        <w:tc>
          <w:tcPr>
            <w:tcW w:w="1700" w:type="dxa"/>
            <w:gridSpan w:val="3"/>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局机关及二级机构汇总</w:t>
            </w:r>
          </w:p>
        </w:tc>
        <w:tc>
          <w:tcPr>
            <w:tcW w:w="1080" w:type="dxa"/>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hint="default" w:ascii="??_GB2312" w:hAnsi="??_GB2312" w:eastAsia="宋体"/>
                <w:color w:val="000000"/>
                <w:sz w:val="24"/>
                <w:szCs w:val="24"/>
                <w:lang w:val="en-US" w:eastAsia="zh-CN"/>
              </w:rPr>
            </w:pPr>
            <w:r>
              <w:rPr>
                <w:rFonts w:hint="eastAsia" w:ascii="??_GB2312" w:hAnsi="??_GB2312"/>
                <w:color w:val="000000"/>
                <w:sz w:val="24"/>
                <w:szCs w:val="24"/>
                <w:lang w:val="en-US" w:eastAsia="zh-CN"/>
              </w:rPr>
              <w:t>512.92</w:t>
            </w:r>
          </w:p>
        </w:tc>
        <w:tc>
          <w:tcPr>
            <w:tcW w:w="1355"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c>
          <w:tcPr>
            <w:tcW w:w="1080"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default" w:ascii="??_GB2312" w:hAnsi="??_GB2312" w:eastAsia="宋体"/>
                <w:color w:val="000000"/>
                <w:sz w:val="24"/>
                <w:szCs w:val="24"/>
                <w:lang w:val="en-US" w:eastAsia="zh-CN"/>
              </w:rPr>
            </w:pPr>
            <w:r>
              <w:rPr>
                <w:rFonts w:hint="eastAsia" w:ascii="??_GB2312" w:hAnsi="??_GB2312"/>
                <w:color w:val="000000"/>
                <w:sz w:val="24"/>
                <w:szCs w:val="24"/>
                <w:lang w:val="en-US" w:eastAsia="zh-CN"/>
              </w:rPr>
              <w:t>512.92</w:t>
            </w:r>
          </w:p>
        </w:tc>
        <w:tc>
          <w:tcPr>
            <w:tcW w:w="1705" w:type="dxa"/>
            <w:gridSpan w:val="2"/>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_GB2312" w:hAnsi="??_GB2312"/>
                <w:color w:val="000000"/>
                <w:sz w:val="24"/>
                <w:szCs w:val="24"/>
              </w:rPr>
            </w:pPr>
          </w:p>
        </w:tc>
        <w:tc>
          <w:tcPr>
            <w:tcW w:w="1800"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c>
          <w:tcPr>
            <w:tcW w:w="1080" w:type="dxa"/>
            <w:gridSpan w:val="3"/>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_GB2312" w:hAnsi="??_GB2312"/>
                <w:color w:val="000000"/>
                <w:sz w:val="24"/>
                <w:szCs w:val="24"/>
              </w:rPr>
            </w:pPr>
          </w:p>
        </w:tc>
      </w:tr>
      <w:tr>
        <w:tblPrEx>
          <w:tblCellMar>
            <w:top w:w="0" w:type="dxa"/>
            <w:left w:w="15" w:type="dxa"/>
            <w:bottom w:w="0" w:type="dxa"/>
            <w:right w:w="15" w:type="dxa"/>
          </w:tblCellMar>
        </w:tblPrEx>
        <w:trPr>
          <w:trHeight w:val="567" w:hRule="atLeast"/>
          <w:jc w:val="center"/>
        </w:trPr>
        <w:tc>
          <w:tcPr>
            <w:tcW w:w="1700" w:type="dxa"/>
            <w:gridSpan w:val="3"/>
            <w:tcBorders>
              <w:top w:val="single" w:color="000000" w:sz="4" w:space="0"/>
              <w:left w:val="single" w:color="000000" w:sz="4" w:space="0"/>
              <w:bottom w:val="single" w:color="000000" w:sz="4" w:space="0"/>
              <w:right w:val="single" w:color="000000" w:sz="4" w:space="0"/>
            </w:tcBorders>
            <w:vAlign w:val="center"/>
          </w:tcPr>
          <w:p>
            <w:pPr>
              <w:spacing w:line="320" w:lineRule="exact"/>
              <w:rPr>
                <w:rFonts w:ascii="??_GB2312" w:hAnsi="??_GB2312"/>
                <w:sz w:val="24"/>
                <w:szCs w:val="24"/>
              </w:rPr>
            </w:pPr>
            <w:r>
              <w:rPr>
                <w:rFonts w:ascii="??_GB2312" w:hAnsi="??_GB2312"/>
                <w:sz w:val="24"/>
                <w:szCs w:val="24"/>
              </w:rPr>
              <w:t>1</w:t>
            </w:r>
            <w:r>
              <w:rPr>
                <w:rFonts w:hint="eastAsia" w:ascii="??_GB2312" w:hAnsi="??_GB2312"/>
                <w:sz w:val="24"/>
                <w:szCs w:val="24"/>
              </w:rPr>
              <w:t>、局机关</w:t>
            </w:r>
          </w:p>
        </w:tc>
        <w:tc>
          <w:tcPr>
            <w:tcW w:w="1080" w:type="dxa"/>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hint="default" w:ascii="??_GB2312" w:hAnsi="??_GB2312" w:eastAsia="宋体"/>
                <w:color w:val="000000"/>
                <w:sz w:val="24"/>
                <w:szCs w:val="24"/>
                <w:lang w:val="en-US" w:eastAsia="zh-CN"/>
              </w:rPr>
            </w:pPr>
            <w:r>
              <w:rPr>
                <w:rFonts w:hint="eastAsia" w:ascii="??_GB2312" w:hAnsi="??_GB2312"/>
                <w:color w:val="000000"/>
                <w:sz w:val="24"/>
                <w:szCs w:val="24"/>
                <w:lang w:val="en-US" w:eastAsia="zh-CN"/>
              </w:rPr>
              <w:t>512.92</w:t>
            </w:r>
          </w:p>
        </w:tc>
        <w:tc>
          <w:tcPr>
            <w:tcW w:w="1355"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c>
          <w:tcPr>
            <w:tcW w:w="1080"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default" w:ascii="??_GB2312" w:hAnsi="??_GB2312" w:eastAsia="宋体"/>
                <w:color w:val="000000"/>
                <w:sz w:val="24"/>
                <w:szCs w:val="24"/>
                <w:lang w:val="en-US" w:eastAsia="zh-CN"/>
              </w:rPr>
            </w:pPr>
            <w:r>
              <w:rPr>
                <w:rFonts w:hint="eastAsia" w:ascii="??_GB2312" w:hAnsi="??_GB2312"/>
                <w:color w:val="000000"/>
                <w:sz w:val="24"/>
                <w:szCs w:val="24"/>
                <w:lang w:val="en-US" w:eastAsia="zh-CN"/>
              </w:rPr>
              <w:t>512.92</w:t>
            </w:r>
          </w:p>
        </w:tc>
        <w:tc>
          <w:tcPr>
            <w:tcW w:w="1705" w:type="dxa"/>
            <w:gridSpan w:val="2"/>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_GB2312" w:hAnsi="??_GB2312"/>
                <w:color w:val="000000"/>
                <w:sz w:val="24"/>
                <w:szCs w:val="24"/>
              </w:rPr>
            </w:pPr>
          </w:p>
        </w:tc>
        <w:tc>
          <w:tcPr>
            <w:tcW w:w="1800"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c>
          <w:tcPr>
            <w:tcW w:w="1080" w:type="dxa"/>
            <w:gridSpan w:val="3"/>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_GB2312" w:hAnsi="??_GB2312"/>
                <w:color w:val="000000"/>
                <w:sz w:val="24"/>
                <w:szCs w:val="24"/>
              </w:rPr>
            </w:pPr>
          </w:p>
        </w:tc>
      </w:tr>
      <w:tr>
        <w:tblPrEx>
          <w:tblCellMar>
            <w:top w:w="0" w:type="dxa"/>
            <w:left w:w="15" w:type="dxa"/>
            <w:bottom w:w="0" w:type="dxa"/>
            <w:right w:w="15" w:type="dxa"/>
          </w:tblCellMar>
        </w:tblPrEx>
        <w:trPr>
          <w:trHeight w:val="567" w:hRule="atLeast"/>
          <w:jc w:val="center"/>
        </w:trPr>
        <w:tc>
          <w:tcPr>
            <w:tcW w:w="1700" w:type="dxa"/>
            <w:gridSpan w:val="3"/>
            <w:tcBorders>
              <w:top w:val="single" w:color="000000" w:sz="4" w:space="0"/>
              <w:left w:val="single" w:color="000000" w:sz="4" w:space="0"/>
              <w:bottom w:val="single" w:color="000000" w:sz="4" w:space="0"/>
              <w:right w:val="single" w:color="000000" w:sz="4" w:space="0"/>
            </w:tcBorders>
            <w:vAlign w:val="center"/>
          </w:tcPr>
          <w:p>
            <w:pPr>
              <w:spacing w:line="320" w:lineRule="exact"/>
              <w:rPr>
                <w:rFonts w:ascii="??_GB2312" w:hAnsi="??_GB2312"/>
                <w:sz w:val="24"/>
                <w:szCs w:val="24"/>
              </w:rPr>
            </w:pPr>
            <w:r>
              <w:rPr>
                <w:rFonts w:ascii="??_GB2312" w:hAnsi="??_GB2312"/>
                <w:sz w:val="24"/>
                <w:szCs w:val="24"/>
              </w:rPr>
              <w:t>2</w:t>
            </w:r>
            <w:r>
              <w:rPr>
                <w:rFonts w:hint="eastAsia" w:ascii="??_GB2312" w:hAnsi="??_GB2312"/>
                <w:sz w:val="24"/>
                <w:szCs w:val="24"/>
              </w:rPr>
              <w:t>、二级机构</w:t>
            </w:r>
            <w:r>
              <w:rPr>
                <w:rFonts w:ascii="??_GB2312" w:hAnsi="??_GB2312"/>
                <w:sz w:val="24"/>
                <w:szCs w:val="24"/>
              </w:rPr>
              <w:t>1</w:t>
            </w:r>
          </w:p>
        </w:tc>
        <w:tc>
          <w:tcPr>
            <w:tcW w:w="1080" w:type="dxa"/>
            <w:tcBorders>
              <w:top w:val="single" w:color="000000" w:sz="4" w:space="0"/>
              <w:left w:val="nil"/>
              <w:bottom w:val="single" w:color="000000" w:sz="4" w:space="0"/>
              <w:right w:val="single" w:color="auto" w:sz="4" w:space="0"/>
            </w:tcBorders>
            <w:vAlign w:val="center"/>
          </w:tcPr>
          <w:p>
            <w:pPr>
              <w:spacing w:line="320" w:lineRule="exact"/>
              <w:jc w:val="left"/>
              <w:textAlignment w:val="center"/>
              <w:rPr>
                <w:rFonts w:ascii="??_GB2312" w:hAnsi="??_GB2312"/>
                <w:color w:val="000000"/>
                <w:sz w:val="24"/>
                <w:szCs w:val="24"/>
              </w:rPr>
            </w:pPr>
          </w:p>
        </w:tc>
        <w:tc>
          <w:tcPr>
            <w:tcW w:w="1355" w:type="dxa"/>
            <w:gridSpan w:val="2"/>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_GB2312" w:hAnsi="??_GB2312"/>
                <w:color w:val="000000"/>
                <w:sz w:val="24"/>
                <w:szCs w:val="24"/>
              </w:rPr>
            </w:pPr>
          </w:p>
        </w:tc>
        <w:tc>
          <w:tcPr>
            <w:tcW w:w="1080" w:type="dxa"/>
            <w:gridSpan w:val="2"/>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_GB2312" w:hAnsi="??_GB2312"/>
                <w:color w:val="000000"/>
                <w:sz w:val="24"/>
                <w:szCs w:val="24"/>
              </w:rPr>
            </w:pPr>
          </w:p>
        </w:tc>
        <w:tc>
          <w:tcPr>
            <w:tcW w:w="1705" w:type="dxa"/>
            <w:gridSpan w:val="2"/>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_GB2312" w:hAnsi="??_GB2312"/>
                <w:color w:val="000000"/>
                <w:sz w:val="24"/>
                <w:szCs w:val="24"/>
              </w:rPr>
            </w:pPr>
          </w:p>
        </w:tc>
        <w:tc>
          <w:tcPr>
            <w:tcW w:w="1800"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c>
          <w:tcPr>
            <w:tcW w:w="1080" w:type="dxa"/>
            <w:gridSpan w:val="3"/>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_GB2312" w:hAnsi="??_GB2312"/>
                <w:color w:val="000000"/>
                <w:sz w:val="24"/>
                <w:szCs w:val="24"/>
              </w:rPr>
            </w:pPr>
          </w:p>
        </w:tc>
      </w:tr>
      <w:tr>
        <w:tblPrEx>
          <w:tblCellMar>
            <w:top w:w="0" w:type="dxa"/>
            <w:left w:w="15" w:type="dxa"/>
            <w:bottom w:w="0" w:type="dxa"/>
            <w:right w:w="15" w:type="dxa"/>
          </w:tblCellMar>
        </w:tblPrEx>
        <w:trPr>
          <w:trHeight w:val="567" w:hRule="atLeast"/>
          <w:jc w:val="center"/>
        </w:trPr>
        <w:tc>
          <w:tcPr>
            <w:tcW w:w="1700" w:type="dxa"/>
            <w:gridSpan w:val="3"/>
            <w:tcBorders>
              <w:top w:val="single" w:color="000000" w:sz="4" w:space="0"/>
              <w:left w:val="single" w:color="000000" w:sz="4" w:space="0"/>
              <w:bottom w:val="single" w:color="000000" w:sz="4" w:space="0"/>
              <w:right w:val="single" w:color="000000" w:sz="4" w:space="0"/>
            </w:tcBorders>
            <w:vAlign w:val="center"/>
          </w:tcPr>
          <w:p>
            <w:pPr>
              <w:spacing w:line="320" w:lineRule="exact"/>
              <w:rPr>
                <w:rFonts w:ascii="??_GB2312" w:hAnsi="??_GB2312"/>
                <w:sz w:val="24"/>
                <w:szCs w:val="24"/>
              </w:rPr>
            </w:pPr>
            <w:r>
              <w:rPr>
                <w:rFonts w:ascii="??_GB2312" w:hAnsi="??_GB2312"/>
                <w:sz w:val="24"/>
                <w:szCs w:val="24"/>
              </w:rPr>
              <w:t>3</w:t>
            </w:r>
            <w:r>
              <w:rPr>
                <w:rFonts w:hint="eastAsia" w:ascii="??_GB2312" w:hAnsi="??_GB2312"/>
                <w:sz w:val="24"/>
                <w:szCs w:val="24"/>
              </w:rPr>
              <w:t>、二级机构</w:t>
            </w:r>
            <w:r>
              <w:rPr>
                <w:rFonts w:ascii="??_GB2312" w:hAnsi="??_GB2312"/>
                <w:sz w:val="24"/>
                <w:szCs w:val="24"/>
              </w:rPr>
              <w:t>2</w:t>
            </w:r>
          </w:p>
        </w:tc>
        <w:tc>
          <w:tcPr>
            <w:tcW w:w="1080" w:type="dxa"/>
            <w:tcBorders>
              <w:top w:val="single" w:color="000000" w:sz="4" w:space="0"/>
              <w:left w:val="nil"/>
              <w:bottom w:val="single" w:color="000000" w:sz="4" w:space="0"/>
              <w:right w:val="single" w:color="auto" w:sz="4" w:space="0"/>
            </w:tcBorders>
            <w:vAlign w:val="center"/>
          </w:tcPr>
          <w:p>
            <w:pPr>
              <w:spacing w:line="320" w:lineRule="exact"/>
              <w:jc w:val="left"/>
              <w:textAlignment w:val="center"/>
              <w:rPr>
                <w:rFonts w:ascii="??_GB2312" w:hAnsi="??_GB2312"/>
                <w:color w:val="000000"/>
                <w:sz w:val="24"/>
                <w:szCs w:val="24"/>
              </w:rPr>
            </w:pPr>
          </w:p>
        </w:tc>
        <w:tc>
          <w:tcPr>
            <w:tcW w:w="1355" w:type="dxa"/>
            <w:gridSpan w:val="2"/>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_GB2312" w:hAnsi="??_GB2312"/>
                <w:color w:val="000000"/>
                <w:sz w:val="24"/>
                <w:szCs w:val="24"/>
              </w:rPr>
            </w:pPr>
          </w:p>
        </w:tc>
        <w:tc>
          <w:tcPr>
            <w:tcW w:w="1080" w:type="dxa"/>
            <w:gridSpan w:val="2"/>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_GB2312" w:hAnsi="??_GB2312"/>
                <w:color w:val="000000"/>
                <w:sz w:val="24"/>
                <w:szCs w:val="24"/>
              </w:rPr>
            </w:pPr>
          </w:p>
        </w:tc>
        <w:tc>
          <w:tcPr>
            <w:tcW w:w="1705" w:type="dxa"/>
            <w:gridSpan w:val="2"/>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_GB2312" w:hAnsi="??_GB2312"/>
                <w:color w:val="000000"/>
                <w:sz w:val="24"/>
                <w:szCs w:val="24"/>
              </w:rPr>
            </w:pPr>
          </w:p>
        </w:tc>
        <w:tc>
          <w:tcPr>
            <w:tcW w:w="1800"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c>
          <w:tcPr>
            <w:tcW w:w="1080" w:type="dxa"/>
            <w:gridSpan w:val="3"/>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_GB2312" w:hAnsi="??_GB2312"/>
                <w:color w:val="000000"/>
                <w:sz w:val="24"/>
                <w:szCs w:val="24"/>
              </w:rPr>
            </w:pPr>
          </w:p>
        </w:tc>
      </w:tr>
      <w:tr>
        <w:tblPrEx>
          <w:tblCellMar>
            <w:top w:w="0" w:type="dxa"/>
            <w:left w:w="15" w:type="dxa"/>
            <w:bottom w:w="0" w:type="dxa"/>
            <w:right w:w="15" w:type="dxa"/>
          </w:tblCellMar>
        </w:tblPrEx>
        <w:trPr>
          <w:trHeight w:val="624" w:hRule="atLeast"/>
          <w:jc w:val="center"/>
        </w:trPr>
        <w:tc>
          <w:tcPr>
            <w:tcW w:w="9800" w:type="dxa"/>
            <w:gridSpan w:val="17"/>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b/>
                <w:bCs/>
                <w:color w:val="000000"/>
                <w:sz w:val="24"/>
                <w:szCs w:val="24"/>
              </w:rPr>
              <w:t>部门（单位）年度支出和结余情况（万元）</w:t>
            </w:r>
          </w:p>
        </w:tc>
      </w:tr>
      <w:tr>
        <w:tblPrEx>
          <w:tblCellMar>
            <w:top w:w="0" w:type="dxa"/>
            <w:left w:w="15" w:type="dxa"/>
            <w:bottom w:w="0" w:type="dxa"/>
            <w:right w:w="15" w:type="dxa"/>
          </w:tblCellMar>
        </w:tblPrEx>
        <w:trPr>
          <w:trHeight w:val="624" w:hRule="atLeast"/>
          <w:jc w:val="center"/>
        </w:trPr>
        <w:tc>
          <w:tcPr>
            <w:tcW w:w="1700" w:type="dxa"/>
            <w:gridSpan w:val="3"/>
            <w:vMerge w:val="restart"/>
            <w:tcBorders>
              <w:top w:val="nil"/>
              <w:left w:val="single" w:color="000000" w:sz="4" w:space="0"/>
              <w:bottom w:val="single" w:color="000000" w:sz="4" w:space="0"/>
              <w:right w:val="single" w:color="000000" w:sz="4" w:space="0"/>
            </w:tcBorders>
            <w:vAlign w:val="center"/>
          </w:tcPr>
          <w:p>
            <w:pPr>
              <w:snapToGrid w:val="0"/>
              <w:spacing w:line="320" w:lineRule="exact"/>
              <w:jc w:val="center"/>
              <w:rPr>
                <w:rFonts w:ascii="??_GB2312" w:hAnsi="??_GB2312"/>
                <w:sz w:val="24"/>
                <w:szCs w:val="24"/>
              </w:rPr>
            </w:pPr>
            <w:r>
              <w:rPr>
                <w:rFonts w:hint="eastAsia" w:ascii="??_GB2312" w:hAnsi="??_GB2312"/>
                <w:sz w:val="24"/>
                <w:szCs w:val="24"/>
              </w:rPr>
              <w:t>机构名称</w:t>
            </w:r>
          </w:p>
        </w:tc>
        <w:tc>
          <w:tcPr>
            <w:tcW w:w="1080" w:type="dxa"/>
            <w:vMerge w:val="restart"/>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支出合计</w:t>
            </w:r>
          </w:p>
        </w:tc>
        <w:tc>
          <w:tcPr>
            <w:tcW w:w="5675" w:type="dxa"/>
            <w:gridSpan w:val="9"/>
            <w:tcBorders>
              <w:top w:val="single" w:color="000000" w:sz="4" w:space="0"/>
              <w:left w:val="nil"/>
              <w:bottom w:val="single" w:color="auto" w:sz="4" w:space="0"/>
              <w:right w:val="single" w:color="auto"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其中：</w:t>
            </w:r>
          </w:p>
        </w:tc>
        <w:tc>
          <w:tcPr>
            <w:tcW w:w="1345" w:type="dxa"/>
            <w:gridSpan w:val="4"/>
            <w:tcBorders>
              <w:top w:val="single" w:color="000000" w:sz="4" w:space="0"/>
              <w:left w:val="nil"/>
              <w:bottom w:val="single" w:color="auto"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结余</w:t>
            </w:r>
          </w:p>
        </w:tc>
      </w:tr>
      <w:tr>
        <w:trPr>
          <w:trHeight w:val="624" w:hRule="atLeast"/>
          <w:jc w:val="center"/>
        </w:trPr>
        <w:tc>
          <w:tcPr>
            <w:tcW w:w="1700" w:type="dxa"/>
            <w:gridSpan w:val="3"/>
            <w:vMerge w:val="continue"/>
            <w:tcBorders>
              <w:top w:val="nil"/>
              <w:left w:val="single" w:color="000000" w:sz="4" w:space="0"/>
              <w:bottom w:val="single" w:color="000000" w:sz="4" w:space="0"/>
              <w:right w:val="single" w:color="000000" w:sz="4" w:space="0"/>
            </w:tcBorders>
            <w:vAlign w:val="center"/>
          </w:tcPr>
          <w:p>
            <w:pPr>
              <w:widowControl/>
              <w:jc w:val="left"/>
              <w:rPr>
                <w:rFonts w:ascii="??_GB2312" w:hAnsi="??_GB2312"/>
                <w:sz w:val="24"/>
                <w:szCs w:val="24"/>
              </w:rPr>
            </w:pPr>
          </w:p>
        </w:tc>
        <w:tc>
          <w:tcPr>
            <w:tcW w:w="1080" w:type="dxa"/>
            <w:vMerge w:val="continue"/>
            <w:tcBorders>
              <w:top w:val="single" w:color="000000" w:sz="4" w:space="0"/>
              <w:left w:val="nil"/>
              <w:bottom w:val="single" w:color="000000" w:sz="4" w:space="0"/>
              <w:right w:val="single" w:color="auto" w:sz="4" w:space="0"/>
            </w:tcBorders>
            <w:vAlign w:val="center"/>
          </w:tcPr>
          <w:p>
            <w:pPr>
              <w:widowControl/>
              <w:jc w:val="left"/>
              <w:rPr>
                <w:rFonts w:ascii="??_GB2312" w:hAnsi="??_GB2312"/>
                <w:color w:val="000000"/>
                <w:sz w:val="24"/>
                <w:szCs w:val="24"/>
              </w:rPr>
            </w:pPr>
          </w:p>
        </w:tc>
        <w:tc>
          <w:tcPr>
            <w:tcW w:w="1355" w:type="dxa"/>
            <w:gridSpan w:val="2"/>
            <w:vMerge w:val="restart"/>
            <w:tcBorders>
              <w:top w:val="nil"/>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基本支出</w:t>
            </w:r>
          </w:p>
        </w:tc>
        <w:tc>
          <w:tcPr>
            <w:tcW w:w="3240" w:type="dxa"/>
            <w:gridSpan w:val="6"/>
            <w:tcBorders>
              <w:top w:val="single" w:color="auto"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其中：</w:t>
            </w:r>
          </w:p>
        </w:tc>
        <w:tc>
          <w:tcPr>
            <w:tcW w:w="1080" w:type="dxa"/>
            <w:vMerge w:val="restart"/>
            <w:tcBorders>
              <w:top w:val="single" w:color="auto" w:sz="4" w:space="0"/>
              <w:left w:val="nil"/>
              <w:bottom w:val="single" w:color="000000" w:sz="4" w:space="0"/>
              <w:right w:val="single" w:color="auto"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项目支出</w:t>
            </w:r>
          </w:p>
        </w:tc>
        <w:tc>
          <w:tcPr>
            <w:tcW w:w="720" w:type="dxa"/>
            <w:gridSpan w:val="3"/>
            <w:vMerge w:val="restart"/>
            <w:tcBorders>
              <w:top w:val="single" w:color="auto" w:sz="4" w:space="0"/>
              <w:left w:val="nil"/>
              <w:bottom w:val="single" w:color="000000" w:sz="4" w:space="0"/>
              <w:right w:val="single" w:color="auto"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当年结余</w:t>
            </w:r>
          </w:p>
        </w:tc>
        <w:tc>
          <w:tcPr>
            <w:tcW w:w="625" w:type="dxa"/>
            <w:vMerge w:val="restart"/>
            <w:tcBorders>
              <w:top w:val="single" w:color="auto"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累计结余</w:t>
            </w:r>
          </w:p>
        </w:tc>
      </w:tr>
      <w:tr>
        <w:tblPrEx>
          <w:tblCellMar>
            <w:top w:w="0" w:type="dxa"/>
            <w:left w:w="15" w:type="dxa"/>
            <w:bottom w:w="0" w:type="dxa"/>
            <w:right w:w="15" w:type="dxa"/>
          </w:tblCellMar>
        </w:tblPrEx>
        <w:trPr>
          <w:trHeight w:val="624" w:hRule="atLeast"/>
          <w:jc w:val="center"/>
        </w:trPr>
        <w:tc>
          <w:tcPr>
            <w:tcW w:w="1700" w:type="dxa"/>
            <w:gridSpan w:val="3"/>
            <w:vMerge w:val="continue"/>
            <w:tcBorders>
              <w:top w:val="nil"/>
              <w:left w:val="single" w:color="000000" w:sz="4" w:space="0"/>
              <w:bottom w:val="single" w:color="000000" w:sz="4" w:space="0"/>
              <w:right w:val="single" w:color="000000" w:sz="4" w:space="0"/>
            </w:tcBorders>
            <w:vAlign w:val="center"/>
          </w:tcPr>
          <w:p>
            <w:pPr>
              <w:widowControl/>
              <w:jc w:val="left"/>
              <w:rPr>
                <w:rFonts w:ascii="??_GB2312" w:hAnsi="??_GB2312"/>
                <w:sz w:val="24"/>
                <w:szCs w:val="24"/>
              </w:rPr>
            </w:pPr>
          </w:p>
        </w:tc>
        <w:tc>
          <w:tcPr>
            <w:tcW w:w="1080" w:type="dxa"/>
            <w:vMerge w:val="continue"/>
            <w:tcBorders>
              <w:top w:val="single" w:color="000000" w:sz="4" w:space="0"/>
              <w:left w:val="nil"/>
              <w:bottom w:val="single" w:color="000000" w:sz="4" w:space="0"/>
              <w:right w:val="single" w:color="auto" w:sz="4" w:space="0"/>
            </w:tcBorders>
            <w:vAlign w:val="center"/>
          </w:tcPr>
          <w:p>
            <w:pPr>
              <w:widowControl/>
              <w:jc w:val="left"/>
              <w:rPr>
                <w:rFonts w:ascii="??_GB2312" w:hAnsi="??_GB2312"/>
                <w:color w:val="000000"/>
                <w:sz w:val="24"/>
                <w:szCs w:val="24"/>
              </w:rPr>
            </w:pPr>
          </w:p>
        </w:tc>
        <w:tc>
          <w:tcPr>
            <w:tcW w:w="1355" w:type="dxa"/>
            <w:gridSpan w:val="2"/>
            <w:vMerge w:val="continue"/>
            <w:tcBorders>
              <w:top w:val="nil"/>
              <w:left w:val="nil"/>
              <w:bottom w:val="single" w:color="000000" w:sz="4" w:space="0"/>
              <w:right w:val="single" w:color="000000" w:sz="4" w:space="0"/>
            </w:tcBorders>
            <w:vAlign w:val="center"/>
          </w:tcPr>
          <w:p>
            <w:pPr>
              <w:widowControl/>
              <w:jc w:val="left"/>
              <w:rPr>
                <w:rFonts w:ascii="??_GB2312" w:hAnsi="??_GB2312"/>
                <w:color w:val="000000"/>
                <w:sz w:val="24"/>
                <w:szCs w:val="24"/>
              </w:rPr>
            </w:pPr>
          </w:p>
        </w:tc>
        <w:tc>
          <w:tcPr>
            <w:tcW w:w="1080"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人员支出</w:t>
            </w:r>
          </w:p>
        </w:tc>
        <w:tc>
          <w:tcPr>
            <w:tcW w:w="2160"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公用支出</w:t>
            </w:r>
          </w:p>
        </w:tc>
        <w:tc>
          <w:tcPr>
            <w:tcW w:w="1080" w:type="dxa"/>
            <w:vMerge w:val="continue"/>
            <w:tcBorders>
              <w:top w:val="single" w:color="auto" w:sz="4" w:space="0"/>
              <w:left w:val="nil"/>
              <w:bottom w:val="single" w:color="000000" w:sz="4" w:space="0"/>
              <w:right w:val="single" w:color="auto" w:sz="4" w:space="0"/>
            </w:tcBorders>
            <w:vAlign w:val="center"/>
          </w:tcPr>
          <w:p>
            <w:pPr>
              <w:widowControl/>
              <w:jc w:val="left"/>
              <w:rPr>
                <w:rFonts w:ascii="??_GB2312" w:hAnsi="??_GB2312"/>
                <w:color w:val="000000"/>
                <w:sz w:val="24"/>
                <w:szCs w:val="24"/>
              </w:rPr>
            </w:pPr>
          </w:p>
        </w:tc>
        <w:tc>
          <w:tcPr>
            <w:tcW w:w="720" w:type="dxa"/>
            <w:gridSpan w:val="3"/>
            <w:vMerge w:val="continue"/>
            <w:tcBorders>
              <w:top w:val="single" w:color="auto" w:sz="4" w:space="0"/>
              <w:left w:val="nil"/>
              <w:bottom w:val="single" w:color="000000" w:sz="4" w:space="0"/>
              <w:right w:val="single" w:color="auto" w:sz="4" w:space="0"/>
            </w:tcBorders>
            <w:vAlign w:val="center"/>
          </w:tcPr>
          <w:p>
            <w:pPr>
              <w:widowControl/>
              <w:jc w:val="left"/>
              <w:rPr>
                <w:rFonts w:ascii="??_GB2312" w:hAnsi="??_GB2312"/>
                <w:color w:val="000000"/>
                <w:sz w:val="24"/>
                <w:szCs w:val="24"/>
              </w:rPr>
            </w:pPr>
          </w:p>
        </w:tc>
        <w:tc>
          <w:tcPr>
            <w:tcW w:w="625" w:type="dxa"/>
            <w:vMerge w:val="continue"/>
            <w:tcBorders>
              <w:top w:val="single" w:color="auto" w:sz="4" w:space="0"/>
              <w:left w:val="nil"/>
              <w:bottom w:val="single" w:color="000000" w:sz="4" w:space="0"/>
              <w:right w:val="single" w:color="000000" w:sz="4" w:space="0"/>
            </w:tcBorders>
            <w:vAlign w:val="center"/>
          </w:tcPr>
          <w:p>
            <w:pPr>
              <w:widowControl/>
              <w:jc w:val="left"/>
              <w:rPr>
                <w:rFonts w:ascii="??_GB2312" w:hAnsi="??_GB2312"/>
                <w:color w:val="000000"/>
                <w:sz w:val="24"/>
                <w:szCs w:val="24"/>
              </w:rPr>
            </w:pPr>
          </w:p>
        </w:tc>
      </w:tr>
      <w:tr>
        <w:tblPrEx>
          <w:tblCellMar>
            <w:top w:w="0" w:type="dxa"/>
            <w:left w:w="15" w:type="dxa"/>
            <w:bottom w:w="0" w:type="dxa"/>
            <w:right w:w="15" w:type="dxa"/>
          </w:tblCellMar>
        </w:tblPrEx>
        <w:trPr>
          <w:trHeight w:val="877" w:hRule="atLeast"/>
          <w:jc w:val="center"/>
        </w:trPr>
        <w:tc>
          <w:tcPr>
            <w:tcW w:w="1700" w:type="dxa"/>
            <w:gridSpan w:val="3"/>
            <w:tcBorders>
              <w:top w:val="single" w:color="000000" w:sz="4" w:space="0"/>
              <w:left w:val="single" w:color="000000" w:sz="4" w:space="0"/>
              <w:bottom w:val="single" w:color="000000" w:sz="4" w:space="0"/>
              <w:right w:val="single" w:color="000000" w:sz="4" w:space="0"/>
            </w:tcBorders>
            <w:vAlign w:val="center"/>
          </w:tcPr>
          <w:p>
            <w:pPr>
              <w:spacing w:line="320" w:lineRule="exact"/>
              <w:jc w:val="left"/>
              <w:rPr>
                <w:rFonts w:ascii="??_GB2312" w:hAnsi="??_GB2312"/>
                <w:sz w:val="24"/>
                <w:szCs w:val="24"/>
              </w:rPr>
            </w:pPr>
            <w:r>
              <w:rPr>
                <w:rFonts w:hint="eastAsia" w:ascii="??_GB2312" w:hAnsi="??_GB2312"/>
                <w:color w:val="000000"/>
                <w:sz w:val="24"/>
                <w:szCs w:val="24"/>
              </w:rPr>
              <w:t>局机关及二级机构汇总</w:t>
            </w:r>
          </w:p>
        </w:tc>
        <w:tc>
          <w:tcPr>
            <w:tcW w:w="1080" w:type="dxa"/>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hint="default" w:ascii="??_GB2312" w:hAnsi="??_GB2312" w:eastAsia="宋体"/>
                <w:color w:val="000000"/>
                <w:sz w:val="24"/>
                <w:szCs w:val="24"/>
                <w:lang w:val="en-US" w:eastAsia="zh-CN"/>
              </w:rPr>
            </w:pPr>
            <w:r>
              <w:rPr>
                <w:rFonts w:hint="eastAsia" w:ascii="??_GB2312" w:hAnsi="??_GB2312"/>
                <w:color w:val="000000"/>
                <w:sz w:val="24"/>
                <w:szCs w:val="24"/>
                <w:lang w:val="en-US" w:eastAsia="zh-CN"/>
              </w:rPr>
              <w:t>512.92</w:t>
            </w:r>
          </w:p>
        </w:tc>
        <w:tc>
          <w:tcPr>
            <w:tcW w:w="1355"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default" w:ascii="??_GB2312" w:hAnsi="??_GB2312" w:eastAsia="宋体"/>
                <w:color w:val="000000"/>
                <w:sz w:val="24"/>
                <w:szCs w:val="24"/>
                <w:lang w:val="en-US" w:eastAsia="zh-CN"/>
              </w:rPr>
            </w:pPr>
            <w:r>
              <w:rPr>
                <w:rFonts w:hint="eastAsia" w:ascii="??_GB2312" w:hAnsi="??_GB2312"/>
                <w:color w:val="000000"/>
                <w:sz w:val="24"/>
                <w:szCs w:val="24"/>
                <w:lang w:val="en-US" w:eastAsia="zh-CN"/>
              </w:rPr>
              <w:t>270</w:t>
            </w:r>
          </w:p>
        </w:tc>
        <w:tc>
          <w:tcPr>
            <w:tcW w:w="1080"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default" w:ascii="??_GB2312" w:hAnsi="??_GB2312" w:eastAsia="宋体"/>
                <w:color w:val="000000"/>
                <w:sz w:val="24"/>
                <w:szCs w:val="24"/>
                <w:lang w:val="en-US" w:eastAsia="zh-CN"/>
              </w:rPr>
            </w:pPr>
            <w:r>
              <w:rPr>
                <w:rFonts w:hint="eastAsia" w:ascii="??_GB2312" w:hAnsi="??_GB2312"/>
                <w:color w:val="000000"/>
                <w:sz w:val="24"/>
                <w:szCs w:val="24"/>
                <w:lang w:val="en-US" w:eastAsia="zh-CN"/>
              </w:rPr>
              <w:t>168.77</w:t>
            </w:r>
          </w:p>
        </w:tc>
        <w:tc>
          <w:tcPr>
            <w:tcW w:w="2160"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default" w:ascii="??_GB2312" w:hAnsi="??_GB2312" w:eastAsia="宋体"/>
                <w:color w:val="000000"/>
                <w:sz w:val="24"/>
                <w:szCs w:val="24"/>
                <w:lang w:val="en-US" w:eastAsia="zh-CN"/>
              </w:rPr>
            </w:pPr>
            <w:r>
              <w:rPr>
                <w:rFonts w:hint="eastAsia" w:ascii="??_GB2312" w:hAnsi="??_GB2312"/>
                <w:color w:val="000000"/>
                <w:sz w:val="24"/>
                <w:szCs w:val="24"/>
                <w:lang w:val="en-US" w:eastAsia="zh-CN"/>
              </w:rPr>
              <w:t>101.23</w:t>
            </w:r>
          </w:p>
        </w:tc>
        <w:tc>
          <w:tcPr>
            <w:tcW w:w="1080"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default" w:ascii="??_GB2312" w:hAnsi="??_GB2312" w:eastAsia="宋体"/>
                <w:color w:val="000000"/>
                <w:sz w:val="24"/>
                <w:szCs w:val="24"/>
                <w:lang w:val="en-US" w:eastAsia="zh-CN"/>
              </w:rPr>
            </w:pPr>
            <w:r>
              <w:rPr>
                <w:rFonts w:hint="eastAsia" w:ascii="??_GB2312" w:hAnsi="??_GB2312"/>
                <w:color w:val="000000"/>
                <w:sz w:val="24"/>
                <w:szCs w:val="24"/>
                <w:lang w:val="en-US" w:eastAsia="zh-CN"/>
              </w:rPr>
              <w:t>242.92</w:t>
            </w:r>
          </w:p>
        </w:tc>
        <w:tc>
          <w:tcPr>
            <w:tcW w:w="720" w:type="dxa"/>
            <w:gridSpan w:val="3"/>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ascii="??_GB2312" w:hAnsi="??_GB2312"/>
                <w:color w:val="000000"/>
                <w:sz w:val="24"/>
                <w:szCs w:val="24"/>
              </w:rPr>
            </w:pPr>
          </w:p>
        </w:tc>
        <w:tc>
          <w:tcPr>
            <w:tcW w:w="625"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r>
      <w:tr>
        <w:tblPrEx>
          <w:tblCellMar>
            <w:top w:w="0" w:type="dxa"/>
            <w:left w:w="15" w:type="dxa"/>
            <w:bottom w:w="0" w:type="dxa"/>
            <w:right w:w="15" w:type="dxa"/>
          </w:tblCellMar>
        </w:tblPrEx>
        <w:trPr>
          <w:trHeight w:val="624" w:hRule="atLeast"/>
          <w:jc w:val="center"/>
        </w:trPr>
        <w:tc>
          <w:tcPr>
            <w:tcW w:w="1700" w:type="dxa"/>
            <w:gridSpan w:val="3"/>
            <w:tcBorders>
              <w:top w:val="single" w:color="000000" w:sz="4" w:space="0"/>
              <w:left w:val="single" w:color="000000" w:sz="4" w:space="0"/>
              <w:bottom w:val="single" w:color="000000" w:sz="4" w:space="0"/>
              <w:right w:val="single" w:color="000000" w:sz="4" w:space="0"/>
            </w:tcBorders>
            <w:vAlign w:val="center"/>
          </w:tcPr>
          <w:p>
            <w:pPr>
              <w:spacing w:line="320" w:lineRule="exact"/>
              <w:jc w:val="left"/>
              <w:rPr>
                <w:rFonts w:ascii="??_GB2312" w:hAnsi="??_GB2312"/>
                <w:color w:val="000000"/>
                <w:sz w:val="24"/>
                <w:szCs w:val="24"/>
              </w:rPr>
            </w:pPr>
            <w:r>
              <w:rPr>
                <w:rFonts w:ascii="??_GB2312" w:hAnsi="??_GB2312"/>
                <w:sz w:val="24"/>
                <w:szCs w:val="24"/>
              </w:rPr>
              <w:t>1</w:t>
            </w:r>
            <w:r>
              <w:rPr>
                <w:rFonts w:hint="eastAsia" w:ascii="??_GB2312" w:hAnsi="??_GB2312"/>
                <w:sz w:val="24"/>
                <w:szCs w:val="24"/>
              </w:rPr>
              <w:t>、局机关</w:t>
            </w:r>
          </w:p>
        </w:tc>
        <w:tc>
          <w:tcPr>
            <w:tcW w:w="1080" w:type="dxa"/>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hint="default" w:ascii="??_GB2312" w:hAnsi="??_GB2312" w:eastAsia="宋体"/>
                <w:color w:val="000000"/>
                <w:sz w:val="24"/>
                <w:szCs w:val="24"/>
                <w:lang w:val="en-US" w:eastAsia="zh-CN"/>
              </w:rPr>
            </w:pPr>
            <w:r>
              <w:rPr>
                <w:rFonts w:hint="eastAsia" w:ascii="??_GB2312" w:hAnsi="??_GB2312"/>
                <w:color w:val="000000"/>
                <w:sz w:val="24"/>
                <w:szCs w:val="24"/>
                <w:lang w:val="en-US" w:eastAsia="zh-CN"/>
              </w:rPr>
              <w:t>512.92</w:t>
            </w:r>
          </w:p>
        </w:tc>
        <w:tc>
          <w:tcPr>
            <w:tcW w:w="1355"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default" w:ascii="??_GB2312" w:hAnsi="??_GB2312" w:eastAsia="宋体"/>
                <w:color w:val="000000"/>
                <w:sz w:val="24"/>
                <w:szCs w:val="24"/>
                <w:lang w:val="en-US" w:eastAsia="zh-CN"/>
              </w:rPr>
            </w:pPr>
            <w:r>
              <w:rPr>
                <w:rFonts w:hint="eastAsia" w:ascii="??_GB2312" w:hAnsi="??_GB2312"/>
                <w:color w:val="000000"/>
                <w:sz w:val="24"/>
                <w:szCs w:val="24"/>
                <w:lang w:val="en-US" w:eastAsia="zh-CN"/>
              </w:rPr>
              <w:t>270</w:t>
            </w:r>
          </w:p>
        </w:tc>
        <w:tc>
          <w:tcPr>
            <w:tcW w:w="1080"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default" w:ascii="??_GB2312" w:hAnsi="??_GB2312" w:eastAsia="宋体" w:cs="Times New Roman"/>
                <w:color w:val="000000"/>
                <w:kern w:val="2"/>
                <w:sz w:val="24"/>
                <w:szCs w:val="24"/>
                <w:lang w:val="en-US" w:eastAsia="zh-CN" w:bidi="ar-SA"/>
              </w:rPr>
            </w:pPr>
            <w:r>
              <w:rPr>
                <w:rFonts w:hint="eastAsia" w:ascii="??_GB2312" w:hAnsi="??_GB2312"/>
                <w:color w:val="000000"/>
                <w:sz w:val="24"/>
                <w:szCs w:val="24"/>
                <w:lang w:val="en-US" w:eastAsia="zh-CN"/>
              </w:rPr>
              <w:t>168.77</w:t>
            </w:r>
          </w:p>
        </w:tc>
        <w:tc>
          <w:tcPr>
            <w:tcW w:w="2160"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default" w:ascii="??_GB2312" w:hAnsi="??_GB2312" w:eastAsia="宋体" w:cs="Times New Roman"/>
                <w:color w:val="000000"/>
                <w:kern w:val="2"/>
                <w:sz w:val="24"/>
                <w:szCs w:val="24"/>
                <w:lang w:val="en-US" w:eastAsia="zh-CN" w:bidi="ar-SA"/>
              </w:rPr>
            </w:pPr>
            <w:r>
              <w:rPr>
                <w:rFonts w:hint="eastAsia" w:ascii="??_GB2312" w:hAnsi="??_GB2312"/>
                <w:color w:val="000000"/>
                <w:sz w:val="24"/>
                <w:szCs w:val="24"/>
                <w:lang w:val="en-US" w:eastAsia="zh-CN"/>
              </w:rPr>
              <w:t>101.23</w:t>
            </w:r>
          </w:p>
        </w:tc>
        <w:tc>
          <w:tcPr>
            <w:tcW w:w="1080"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lang w:val="en-US" w:eastAsia="zh-CN"/>
              </w:rPr>
              <w:t>242.92</w:t>
            </w:r>
          </w:p>
        </w:tc>
        <w:tc>
          <w:tcPr>
            <w:tcW w:w="720" w:type="dxa"/>
            <w:gridSpan w:val="3"/>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ascii="??_GB2312" w:hAnsi="??_GB2312"/>
                <w:color w:val="000000"/>
                <w:sz w:val="24"/>
                <w:szCs w:val="24"/>
              </w:rPr>
            </w:pPr>
          </w:p>
        </w:tc>
        <w:tc>
          <w:tcPr>
            <w:tcW w:w="625"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r>
      <w:tr>
        <w:tblPrEx>
          <w:tblCellMar>
            <w:top w:w="0" w:type="dxa"/>
            <w:left w:w="15" w:type="dxa"/>
            <w:bottom w:w="0" w:type="dxa"/>
            <w:right w:w="15" w:type="dxa"/>
          </w:tblCellMar>
        </w:tblPrEx>
        <w:trPr>
          <w:trHeight w:val="624" w:hRule="atLeast"/>
          <w:jc w:val="center"/>
        </w:trPr>
        <w:tc>
          <w:tcPr>
            <w:tcW w:w="1700" w:type="dxa"/>
            <w:gridSpan w:val="3"/>
            <w:tcBorders>
              <w:top w:val="single" w:color="000000" w:sz="4" w:space="0"/>
              <w:left w:val="single" w:color="000000" w:sz="4" w:space="0"/>
              <w:bottom w:val="single" w:color="000000" w:sz="4" w:space="0"/>
              <w:right w:val="single" w:color="000000" w:sz="4" w:space="0"/>
            </w:tcBorders>
            <w:vAlign w:val="center"/>
          </w:tcPr>
          <w:p>
            <w:pPr>
              <w:spacing w:line="320" w:lineRule="exact"/>
              <w:jc w:val="left"/>
              <w:rPr>
                <w:rFonts w:ascii="??_GB2312" w:hAnsi="??_GB2312"/>
                <w:color w:val="000000"/>
                <w:sz w:val="24"/>
                <w:szCs w:val="24"/>
              </w:rPr>
            </w:pPr>
            <w:r>
              <w:rPr>
                <w:rFonts w:ascii="??_GB2312" w:hAnsi="??_GB2312"/>
                <w:sz w:val="24"/>
                <w:szCs w:val="24"/>
              </w:rPr>
              <w:t>2</w:t>
            </w:r>
            <w:r>
              <w:rPr>
                <w:rFonts w:hint="eastAsia" w:ascii="??_GB2312" w:hAnsi="??_GB2312"/>
                <w:sz w:val="24"/>
                <w:szCs w:val="24"/>
              </w:rPr>
              <w:t>、二级机构</w:t>
            </w:r>
            <w:r>
              <w:rPr>
                <w:rFonts w:ascii="??_GB2312" w:hAnsi="??_GB2312"/>
                <w:sz w:val="24"/>
                <w:szCs w:val="24"/>
              </w:rPr>
              <w:t>1</w:t>
            </w:r>
          </w:p>
        </w:tc>
        <w:tc>
          <w:tcPr>
            <w:tcW w:w="1080" w:type="dxa"/>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ascii="??_GB2312" w:hAnsi="??_GB2312"/>
                <w:color w:val="000000"/>
                <w:sz w:val="24"/>
                <w:szCs w:val="24"/>
              </w:rPr>
            </w:pPr>
          </w:p>
        </w:tc>
        <w:tc>
          <w:tcPr>
            <w:tcW w:w="1355"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c>
          <w:tcPr>
            <w:tcW w:w="1080"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c>
          <w:tcPr>
            <w:tcW w:w="2160"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c>
          <w:tcPr>
            <w:tcW w:w="1080"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c>
          <w:tcPr>
            <w:tcW w:w="720" w:type="dxa"/>
            <w:gridSpan w:val="3"/>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ascii="??_GB2312" w:hAnsi="??_GB2312"/>
                <w:color w:val="000000"/>
                <w:sz w:val="24"/>
                <w:szCs w:val="24"/>
              </w:rPr>
            </w:pPr>
          </w:p>
        </w:tc>
        <w:tc>
          <w:tcPr>
            <w:tcW w:w="625"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r>
      <w:tr>
        <w:tblPrEx>
          <w:tblCellMar>
            <w:top w:w="0" w:type="dxa"/>
            <w:left w:w="15" w:type="dxa"/>
            <w:bottom w:w="0" w:type="dxa"/>
            <w:right w:w="15" w:type="dxa"/>
          </w:tblCellMar>
        </w:tblPrEx>
        <w:trPr>
          <w:trHeight w:val="624" w:hRule="atLeast"/>
          <w:jc w:val="center"/>
        </w:trPr>
        <w:tc>
          <w:tcPr>
            <w:tcW w:w="1700" w:type="dxa"/>
            <w:gridSpan w:val="3"/>
            <w:tcBorders>
              <w:top w:val="single" w:color="000000" w:sz="4" w:space="0"/>
              <w:left w:val="single" w:color="000000" w:sz="4" w:space="0"/>
              <w:bottom w:val="single" w:color="000000" w:sz="4" w:space="0"/>
              <w:right w:val="single" w:color="000000" w:sz="4" w:space="0"/>
            </w:tcBorders>
            <w:vAlign w:val="center"/>
          </w:tcPr>
          <w:p>
            <w:pPr>
              <w:spacing w:line="320" w:lineRule="exact"/>
              <w:jc w:val="left"/>
              <w:rPr>
                <w:rFonts w:ascii="??_GB2312" w:hAnsi="??_GB2312"/>
                <w:color w:val="000000"/>
                <w:sz w:val="24"/>
                <w:szCs w:val="24"/>
              </w:rPr>
            </w:pPr>
            <w:r>
              <w:rPr>
                <w:rFonts w:ascii="??_GB2312" w:hAnsi="??_GB2312"/>
                <w:sz w:val="24"/>
                <w:szCs w:val="24"/>
              </w:rPr>
              <w:t>3</w:t>
            </w:r>
            <w:r>
              <w:rPr>
                <w:rFonts w:hint="eastAsia" w:ascii="??_GB2312" w:hAnsi="??_GB2312"/>
                <w:sz w:val="24"/>
                <w:szCs w:val="24"/>
              </w:rPr>
              <w:t>、二级机构</w:t>
            </w:r>
            <w:r>
              <w:rPr>
                <w:rFonts w:ascii="??_GB2312" w:hAnsi="??_GB2312"/>
                <w:sz w:val="24"/>
                <w:szCs w:val="24"/>
              </w:rPr>
              <w:t>2</w:t>
            </w:r>
          </w:p>
        </w:tc>
        <w:tc>
          <w:tcPr>
            <w:tcW w:w="1080" w:type="dxa"/>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ascii="??_GB2312" w:hAnsi="??_GB2312"/>
                <w:color w:val="000000"/>
                <w:sz w:val="24"/>
                <w:szCs w:val="24"/>
              </w:rPr>
            </w:pPr>
          </w:p>
        </w:tc>
        <w:tc>
          <w:tcPr>
            <w:tcW w:w="1355"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c>
          <w:tcPr>
            <w:tcW w:w="1080"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c>
          <w:tcPr>
            <w:tcW w:w="2160"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c>
          <w:tcPr>
            <w:tcW w:w="1080"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c>
          <w:tcPr>
            <w:tcW w:w="720" w:type="dxa"/>
            <w:gridSpan w:val="3"/>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ascii="??_GB2312" w:hAnsi="??_GB2312"/>
                <w:color w:val="000000"/>
                <w:sz w:val="24"/>
                <w:szCs w:val="24"/>
              </w:rPr>
            </w:pPr>
          </w:p>
        </w:tc>
        <w:tc>
          <w:tcPr>
            <w:tcW w:w="625"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r>
      <w:tr>
        <w:tblPrEx>
          <w:tblCellMar>
            <w:top w:w="0" w:type="dxa"/>
            <w:left w:w="15" w:type="dxa"/>
            <w:bottom w:w="0" w:type="dxa"/>
            <w:right w:w="15" w:type="dxa"/>
          </w:tblCellMar>
        </w:tblPrEx>
        <w:trPr>
          <w:trHeight w:val="624" w:hRule="atLeast"/>
          <w:jc w:val="center"/>
        </w:trPr>
        <w:tc>
          <w:tcPr>
            <w:tcW w:w="1700" w:type="dxa"/>
            <w:gridSpan w:val="3"/>
            <w:vMerge w:val="restart"/>
            <w:tcBorders>
              <w:top w:val="nil"/>
              <w:left w:val="single" w:color="000000" w:sz="4" w:space="0"/>
              <w:bottom w:val="single" w:color="000000" w:sz="4" w:space="0"/>
              <w:right w:val="single" w:color="000000" w:sz="4" w:space="0"/>
            </w:tcBorders>
            <w:vAlign w:val="center"/>
          </w:tcPr>
          <w:p>
            <w:pPr>
              <w:spacing w:line="320" w:lineRule="exact"/>
              <w:jc w:val="center"/>
              <w:rPr>
                <w:rFonts w:ascii="??_GB2312" w:hAnsi="??_GB2312"/>
                <w:sz w:val="24"/>
                <w:szCs w:val="24"/>
              </w:rPr>
            </w:pPr>
            <w:r>
              <w:rPr>
                <w:rFonts w:hint="eastAsia" w:ascii="??_GB2312" w:hAnsi="??_GB2312"/>
                <w:sz w:val="24"/>
                <w:szCs w:val="24"/>
              </w:rPr>
              <w:t>机构名称</w:t>
            </w:r>
          </w:p>
        </w:tc>
        <w:tc>
          <w:tcPr>
            <w:tcW w:w="1080" w:type="dxa"/>
            <w:vMerge w:val="restart"/>
            <w:tcBorders>
              <w:top w:val="nil"/>
              <w:left w:val="nil"/>
              <w:bottom w:val="single" w:color="000000" w:sz="4" w:space="0"/>
              <w:right w:val="single" w:color="auto"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三公经费</w:t>
            </w:r>
          </w:p>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合计</w:t>
            </w:r>
          </w:p>
        </w:tc>
        <w:tc>
          <w:tcPr>
            <w:tcW w:w="7020" w:type="dxa"/>
            <w:gridSpan w:val="13"/>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其中：</w:t>
            </w:r>
          </w:p>
        </w:tc>
      </w:tr>
      <w:tr>
        <w:tblPrEx>
          <w:tblCellMar>
            <w:top w:w="0" w:type="dxa"/>
            <w:left w:w="15" w:type="dxa"/>
            <w:bottom w:w="0" w:type="dxa"/>
            <w:right w:w="15" w:type="dxa"/>
          </w:tblCellMar>
        </w:tblPrEx>
        <w:trPr>
          <w:trHeight w:val="624" w:hRule="atLeast"/>
          <w:jc w:val="center"/>
        </w:trPr>
        <w:tc>
          <w:tcPr>
            <w:tcW w:w="1700" w:type="dxa"/>
            <w:gridSpan w:val="3"/>
            <w:vMerge w:val="continue"/>
            <w:tcBorders>
              <w:top w:val="nil"/>
              <w:left w:val="single" w:color="000000" w:sz="4" w:space="0"/>
              <w:bottom w:val="single" w:color="000000" w:sz="4" w:space="0"/>
              <w:right w:val="single" w:color="000000" w:sz="4" w:space="0"/>
            </w:tcBorders>
            <w:vAlign w:val="center"/>
          </w:tcPr>
          <w:p>
            <w:pPr>
              <w:widowControl/>
              <w:jc w:val="left"/>
              <w:rPr>
                <w:rFonts w:ascii="??_GB2312" w:hAnsi="??_GB2312"/>
                <w:sz w:val="24"/>
                <w:szCs w:val="24"/>
              </w:rPr>
            </w:pPr>
          </w:p>
        </w:tc>
        <w:tc>
          <w:tcPr>
            <w:tcW w:w="1080" w:type="dxa"/>
            <w:vMerge w:val="continue"/>
            <w:tcBorders>
              <w:top w:val="nil"/>
              <w:left w:val="nil"/>
              <w:bottom w:val="single" w:color="000000" w:sz="4" w:space="0"/>
              <w:right w:val="single" w:color="auto" w:sz="4" w:space="0"/>
            </w:tcBorders>
            <w:vAlign w:val="center"/>
          </w:tcPr>
          <w:p>
            <w:pPr>
              <w:widowControl/>
              <w:jc w:val="left"/>
              <w:rPr>
                <w:rFonts w:ascii="??_GB2312" w:hAnsi="??_GB2312"/>
                <w:color w:val="000000"/>
                <w:sz w:val="24"/>
                <w:szCs w:val="24"/>
              </w:rPr>
            </w:pPr>
          </w:p>
        </w:tc>
        <w:tc>
          <w:tcPr>
            <w:tcW w:w="1355"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公务接待费</w:t>
            </w:r>
          </w:p>
        </w:tc>
        <w:tc>
          <w:tcPr>
            <w:tcW w:w="1080"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公务用车运维费</w:t>
            </w:r>
          </w:p>
        </w:tc>
        <w:tc>
          <w:tcPr>
            <w:tcW w:w="2160"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公务用车购置费</w:t>
            </w:r>
          </w:p>
        </w:tc>
        <w:tc>
          <w:tcPr>
            <w:tcW w:w="2425" w:type="dxa"/>
            <w:gridSpan w:val="5"/>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因公出国费</w:t>
            </w:r>
          </w:p>
        </w:tc>
      </w:tr>
      <w:tr>
        <w:tblPrEx>
          <w:tblCellMar>
            <w:top w:w="0" w:type="dxa"/>
            <w:left w:w="15" w:type="dxa"/>
            <w:bottom w:w="0" w:type="dxa"/>
            <w:right w:w="15" w:type="dxa"/>
          </w:tblCellMar>
        </w:tblPrEx>
        <w:trPr>
          <w:trHeight w:val="858" w:hRule="atLeast"/>
          <w:jc w:val="center"/>
        </w:trPr>
        <w:tc>
          <w:tcPr>
            <w:tcW w:w="1700" w:type="dxa"/>
            <w:gridSpan w:val="3"/>
            <w:tcBorders>
              <w:top w:val="single" w:color="000000" w:sz="4" w:space="0"/>
              <w:left w:val="single" w:color="000000" w:sz="4" w:space="0"/>
              <w:bottom w:val="single" w:color="000000" w:sz="4" w:space="0"/>
              <w:right w:val="single" w:color="000000" w:sz="4" w:space="0"/>
            </w:tcBorders>
            <w:vAlign w:val="center"/>
          </w:tcPr>
          <w:p>
            <w:pPr>
              <w:spacing w:line="320" w:lineRule="exact"/>
              <w:jc w:val="left"/>
              <w:rPr>
                <w:rFonts w:ascii="??_GB2312" w:hAnsi="??_GB2312"/>
                <w:sz w:val="24"/>
                <w:szCs w:val="24"/>
              </w:rPr>
            </w:pPr>
            <w:r>
              <w:rPr>
                <w:rFonts w:hint="eastAsia" w:ascii="??_GB2312" w:hAnsi="??_GB2312"/>
                <w:color w:val="000000"/>
                <w:sz w:val="24"/>
                <w:szCs w:val="24"/>
              </w:rPr>
              <w:t>局机关及二级机构汇总</w:t>
            </w:r>
          </w:p>
        </w:tc>
        <w:tc>
          <w:tcPr>
            <w:tcW w:w="1080" w:type="dxa"/>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hint="default" w:ascii="??_GB2312" w:hAnsi="??_GB2312" w:eastAsia="宋体"/>
                <w:color w:val="000000"/>
                <w:sz w:val="24"/>
                <w:szCs w:val="24"/>
                <w:lang w:val="en-US" w:eastAsia="zh-CN"/>
              </w:rPr>
            </w:pPr>
            <w:r>
              <w:rPr>
                <w:rFonts w:hint="eastAsia" w:ascii="??_GB2312" w:hAnsi="??_GB2312"/>
                <w:color w:val="000000"/>
                <w:sz w:val="24"/>
                <w:szCs w:val="24"/>
                <w:lang w:val="en-US" w:eastAsia="zh-CN"/>
              </w:rPr>
              <w:t>3.95</w:t>
            </w:r>
          </w:p>
        </w:tc>
        <w:tc>
          <w:tcPr>
            <w:tcW w:w="1355"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default" w:ascii="??_GB2312" w:hAnsi="??_GB2312" w:eastAsia="宋体"/>
                <w:color w:val="000000"/>
                <w:sz w:val="24"/>
                <w:szCs w:val="24"/>
                <w:lang w:val="en-US" w:eastAsia="zh-CN"/>
              </w:rPr>
            </w:pPr>
            <w:r>
              <w:rPr>
                <w:rFonts w:hint="eastAsia" w:ascii="??_GB2312" w:hAnsi="??_GB2312"/>
                <w:color w:val="000000"/>
                <w:sz w:val="24"/>
                <w:szCs w:val="24"/>
                <w:lang w:val="en-US" w:eastAsia="zh-CN"/>
              </w:rPr>
              <w:t>3.95</w:t>
            </w:r>
          </w:p>
        </w:tc>
        <w:tc>
          <w:tcPr>
            <w:tcW w:w="1080"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default" w:ascii="??_GB2312" w:hAnsi="??_GB2312" w:eastAsia="宋体"/>
                <w:color w:val="000000"/>
                <w:sz w:val="22"/>
                <w:szCs w:val="22"/>
                <w:lang w:val="en-US" w:eastAsia="zh-CN"/>
              </w:rPr>
            </w:pPr>
          </w:p>
        </w:tc>
        <w:tc>
          <w:tcPr>
            <w:tcW w:w="2160"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c>
          <w:tcPr>
            <w:tcW w:w="2425" w:type="dxa"/>
            <w:gridSpan w:val="5"/>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r>
      <w:tr>
        <w:tblPrEx>
          <w:tblCellMar>
            <w:top w:w="0" w:type="dxa"/>
            <w:left w:w="15" w:type="dxa"/>
            <w:bottom w:w="0" w:type="dxa"/>
            <w:right w:w="15" w:type="dxa"/>
          </w:tblCellMar>
        </w:tblPrEx>
        <w:trPr>
          <w:trHeight w:val="624" w:hRule="atLeast"/>
          <w:jc w:val="center"/>
        </w:trPr>
        <w:tc>
          <w:tcPr>
            <w:tcW w:w="1700" w:type="dxa"/>
            <w:gridSpan w:val="3"/>
            <w:tcBorders>
              <w:top w:val="single" w:color="000000" w:sz="4" w:space="0"/>
              <w:left w:val="single" w:color="000000" w:sz="4" w:space="0"/>
              <w:bottom w:val="single" w:color="000000" w:sz="4" w:space="0"/>
              <w:right w:val="single" w:color="000000" w:sz="4" w:space="0"/>
            </w:tcBorders>
            <w:vAlign w:val="center"/>
          </w:tcPr>
          <w:p>
            <w:pPr>
              <w:spacing w:line="320" w:lineRule="exact"/>
              <w:jc w:val="left"/>
              <w:rPr>
                <w:rFonts w:ascii="??_GB2312" w:hAnsi="??_GB2312"/>
                <w:sz w:val="24"/>
                <w:szCs w:val="24"/>
              </w:rPr>
            </w:pPr>
            <w:r>
              <w:rPr>
                <w:rFonts w:ascii="??_GB2312" w:hAnsi="??_GB2312"/>
                <w:sz w:val="24"/>
                <w:szCs w:val="24"/>
              </w:rPr>
              <w:t>1</w:t>
            </w:r>
            <w:r>
              <w:rPr>
                <w:rFonts w:hint="eastAsia" w:ascii="??_GB2312" w:hAnsi="??_GB2312"/>
                <w:sz w:val="24"/>
                <w:szCs w:val="24"/>
              </w:rPr>
              <w:t>、局机关</w:t>
            </w:r>
          </w:p>
        </w:tc>
        <w:tc>
          <w:tcPr>
            <w:tcW w:w="1080" w:type="dxa"/>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hint="default" w:ascii="??_GB2312" w:hAnsi="??_GB2312" w:eastAsia="宋体" w:cs="Times New Roman"/>
                <w:color w:val="000000"/>
                <w:kern w:val="2"/>
                <w:sz w:val="24"/>
                <w:szCs w:val="24"/>
                <w:lang w:val="en-US" w:eastAsia="zh-CN" w:bidi="ar-SA"/>
              </w:rPr>
            </w:pPr>
            <w:r>
              <w:rPr>
                <w:rFonts w:hint="eastAsia" w:ascii="??_GB2312" w:hAnsi="??_GB2312"/>
                <w:color w:val="000000"/>
                <w:sz w:val="24"/>
                <w:szCs w:val="24"/>
                <w:lang w:val="en-US" w:eastAsia="zh-CN"/>
              </w:rPr>
              <w:t>3.95</w:t>
            </w:r>
          </w:p>
        </w:tc>
        <w:tc>
          <w:tcPr>
            <w:tcW w:w="1355"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default" w:ascii="??_GB2312" w:hAnsi="??_GB2312" w:eastAsia="宋体" w:cs="Times New Roman"/>
                <w:color w:val="000000"/>
                <w:kern w:val="2"/>
                <w:sz w:val="24"/>
                <w:szCs w:val="24"/>
                <w:lang w:val="en-US" w:eastAsia="zh-CN" w:bidi="ar-SA"/>
              </w:rPr>
            </w:pPr>
            <w:r>
              <w:rPr>
                <w:rFonts w:hint="eastAsia" w:ascii="??_GB2312" w:hAnsi="??_GB2312"/>
                <w:color w:val="000000"/>
                <w:sz w:val="24"/>
                <w:szCs w:val="24"/>
                <w:lang w:val="en-US" w:eastAsia="zh-CN"/>
              </w:rPr>
              <w:t>3.95</w:t>
            </w:r>
          </w:p>
        </w:tc>
        <w:tc>
          <w:tcPr>
            <w:tcW w:w="1080"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c>
          <w:tcPr>
            <w:tcW w:w="2160"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c>
          <w:tcPr>
            <w:tcW w:w="2425" w:type="dxa"/>
            <w:gridSpan w:val="5"/>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r>
      <w:tr>
        <w:tblPrEx>
          <w:tblCellMar>
            <w:top w:w="0" w:type="dxa"/>
            <w:left w:w="15" w:type="dxa"/>
            <w:bottom w:w="0" w:type="dxa"/>
            <w:right w:w="15" w:type="dxa"/>
          </w:tblCellMar>
        </w:tblPrEx>
        <w:trPr>
          <w:trHeight w:val="624" w:hRule="atLeast"/>
          <w:jc w:val="center"/>
        </w:trPr>
        <w:tc>
          <w:tcPr>
            <w:tcW w:w="1700" w:type="dxa"/>
            <w:gridSpan w:val="3"/>
            <w:tcBorders>
              <w:top w:val="single" w:color="000000" w:sz="4" w:space="0"/>
              <w:left w:val="single" w:color="000000" w:sz="4" w:space="0"/>
              <w:bottom w:val="single" w:color="000000" w:sz="4" w:space="0"/>
              <w:right w:val="single" w:color="000000" w:sz="4" w:space="0"/>
            </w:tcBorders>
            <w:vAlign w:val="center"/>
          </w:tcPr>
          <w:p>
            <w:pPr>
              <w:spacing w:line="320" w:lineRule="exact"/>
              <w:jc w:val="left"/>
              <w:rPr>
                <w:rFonts w:ascii="??_GB2312" w:hAnsi="??_GB2312"/>
                <w:sz w:val="24"/>
                <w:szCs w:val="24"/>
              </w:rPr>
            </w:pPr>
            <w:r>
              <w:rPr>
                <w:rFonts w:ascii="??_GB2312" w:hAnsi="??_GB2312"/>
                <w:sz w:val="24"/>
                <w:szCs w:val="24"/>
              </w:rPr>
              <w:t>2</w:t>
            </w:r>
            <w:r>
              <w:rPr>
                <w:rFonts w:hint="eastAsia" w:ascii="??_GB2312" w:hAnsi="??_GB2312"/>
                <w:sz w:val="24"/>
                <w:szCs w:val="24"/>
              </w:rPr>
              <w:t>、二级机构</w:t>
            </w:r>
            <w:r>
              <w:rPr>
                <w:rFonts w:ascii="??_GB2312" w:hAnsi="??_GB2312"/>
                <w:sz w:val="24"/>
                <w:szCs w:val="24"/>
              </w:rPr>
              <w:t>1</w:t>
            </w:r>
          </w:p>
        </w:tc>
        <w:tc>
          <w:tcPr>
            <w:tcW w:w="1080" w:type="dxa"/>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ascii="??_GB2312" w:hAnsi="??_GB2312"/>
                <w:color w:val="000000"/>
                <w:sz w:val="24"/>
                <w:szCs w:val="24"/>
              </w:rPr>
            </w:pPr>
          </w:p>
        </w:tc>
        <w:tc>
          <w:tcPr>
            <w:tcW w:w="1355"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c>
          <w:tcPr>
            <w:tcW w:w="1080"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c>
          <w:tcPr>
            <w:tcW w:w="2160"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c>
          <w:tcPr>
            <w:tcW w:w="2425" w:type="dxa"/>
            <w:gridSpan w:val="5"/>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r>
      <w:tr>
        <w:tblPrEx>
          <w:tblCellMar>
            <w:top w:w="0" w:type="dxa"/>
            <w:left w:w="15" w:type="dxa"/>
            <w:bottom w:w="0" w:type="dxa"/>
            <w:right w:w="15" w:type="dxa"/>
          </w:tblCellMar>
        </w:tblPrEx>
        <w:trPr>
          <w:trHeight w:val="624" w:hRule="atLeast"/>
          <w:jc w:val="center"/>
        </w:trPr>
        <w:tc>
          <w:tcPr>
            <w:tcW w:w="1700" w:type="dxa"/>
            <w:gridSpan w:val="3"/>
            <w:tcBorders>
              <w:top w:val="single" w:color="000000" w:sz="4" w:space="0"/>
              <w:left w:val="single" w:color="000000" w:sz="4" w:space="0"/>
              <w:bottom w:val="single" w:color="000000" w:sz="4" w:space="0"/>
              <w:right w:val="single" w:color="000000" w:sz="4" w:space="0"/>
            </w:tcBorders>
            <w:vAlign w:val="center"/>
          </w:tcPr>
          <w:p>
            <w:pPr>
              <w:spacing w:line="320" w:lineRule="exact"/>
              <w:jc w:val="left"/>
              <w:rPr>
                <w:rFonts w:ascii="??_GB2312" w:hAnsi="??_GB2312"/>
                <w:sz w:val="24"/>
                <w:szCs w:val="24"/>
              </w:rPr>
            </w:pPr>
            <w:r>
              <w:rPr>
                <w:rFonts w:ascii="??_GB2312" w:hAnsi="??_GB2312"/>
                <w:sz w:val="24"/>
                <w:szCs w:val="24"/>
              </w:rPr>
              <w:t>3</w:t>
            </w:r>
            <w:r>
              <w:rPr>
                <w:rFonts w:hint="eastAsia" w:ascii="??_GB2312" w:hAnsi="??_GB2312"/>
                <w:sz w:val="24"/>
                <w:szCs w:val="24"/>
              </w:rPr>
              <w:t>、二级机构</w:t>
            </w:r>
            <w:r>
              <w:rPr>
                <w:rFonts w:ascii="??_GB2312" w:hAnsi="??_GB2312"/>
                <w:sz w:val="24"/>
                <w:szCs w:val="24"/>
              </w:rPr>
              <w:t>2</w:t>
            </w:r>
          </w:p>
        </w:tc>
        <w:tc>
          <w:tcPr>
            <w:tcW w:w="1080" w:type="dxa"/>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ascii="??_GB2312" w:hAnsi="??_GB2312"/>
                <w:color w:val="000000"/>
                <w:sz w:val="24"/>
                <w:szCs w:val="24"/>
              </w:rPr>
            </w:pPr>
          </w:p>
        </w:tc>
        <w:tc>
          <w:tcPr>
            <w:tcW w:w="1355"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c>
          <w:tcPr>
            <w:tcW w:w="1080"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c>
          <w:tcPr>
            <w:tcW w:w="2160"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c>
          <w:tcPr>
            <w:tcW w:w="2425" w:type="dxa"/>
            <w:gridSpan w:val="5"/>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r>
      <w:tr>
        <w:tblPrEx>
          <w:tblCellMar>
            <w:top w:w="0" w:type="dxa"/>
            <w:left w:w="15" w:type="dxa"/>
            <w:bottom w:w="0" w:type="dxa"/>
            <w:right w:w="15" w:type="dxa"/>
          </w:tblCellMar>
        </w:tblPrEx>
        <w:trPr>
          <w:trHeight w:val="624" w:hRule="atLeast"/>
          <w:jc w:val="center"/>
        </w:trPr>
        <w:tc>
          <w:tcPr>
            <w:tcW w:w="1700" w:type="dxa"/>
            <w:gridSpan w:val="3"/>
            <w:vMerge w:val="restart"/>
            <w:tcBorders>
              <w:top w:val="nil"/>
              <w:left w:val="single" w:color="000000" w:sz="4" w:space="0"/>
              <w:bottom w:val="single" w:color="000000" w:sz="4" w:space="0"/>
              <w:right w:val="single" w:color="000000" w:sz="4" w:space="0"/>
            </w:tcBorders>
            <w:vAlign w:val="center"/>
          </w:tcPr>
          <w:p>
            <w:pPr>
              <w:spacing w:line="320" w:lineRule="exact"/>
              <w:jc w:val="center"/>
              <w:rPr>
                <w:rFonts w:ascii="??_GB2312" w:hAnsi="??_GB2312"/>
                <w:sz w:val="24"/>
                <w:szCs w:val="24"/>
              </w:rPr>
            </w:pPr>
            <w:r>
              <w:rPr>
                <w:rFonts w:hint="eastAsia" w:ascii="??_GB2312" w:hAnsi="??_GB2312"/>
                <w:sz w:val="24"/>
                <w:szCs w:val="24"/>
              </w:rPr>
              <w:t>机构名称</w:t>
            </w:r>
          </w:p>
        </w:tc>
        <w:tc>
          <w:tcPr>
            <w:tcW w:w="1080" w:type="dxa"/>
            <w:vMerge w:val="restart"/>
            <w:tcBorders>
              <w:top w:val="nil"/>
              <w:left w:val="nil"/>
              <w:bottom w:val="single" w:color="000000" w:sz="4" w:space="0"/>
              <w:right w:val="single" w:color="auto"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固定资产</w:t>
            </w:r>
          </w:p>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合计</w:t>
            </w:r>
          </w:p>
        </w:tc>
        <w:tc>
          <w:tcPr>
            <w:tcW w:w="6079" w:type="dxa"/>
            <w:gridSpan w:val="11"/>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其中：</w:t>
            </w:r>
          </w:p>
        </w:tc>
        <w:tc>
          <w:tcPr>
            <w:tcW w:w="941" w:type="dxa"/>
            <w:gridSpan w:val="2"/>
            <w:vMerge w:val="restart"/>
            <w:tcBorders>
              <w:top w:val="nil"/>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其他</w:t>
            </w:r>
          </w:p>
        </w:tc>
      </w:tr>
      <w:tr>
        <w:tblPrEx>
          <w:tblCellMar>
            <w:top w:w="0" w:type="dxa"/>
            <w:left w:w="15" w:type="dxa"/>
            <w:bottom w:w="0" w:type="dxa"/>
            <w:right w:w="15" w:type="dxa"/>
          </w:tblCellMar>
        </w:tblPrEx>
        <w:trPr>
          <w:trHeight w:val="624" w:hRule="atLeast"/>
          <w:jc w:val="center"/>
        </w:trPr>
        <w:tc>
          <w:tcPr>
            <w:tcW w:w="1700" w:type="dxa"/>
            <w:gridSpan w:val="3"/>
            <w:vMerge w:val="continue"/>
            <w:tcBorders>
              <w:top w:val="nil"/>
              <w:left w:val="single" w:color="000000" w:sz="4" w:space="0"/>
              <w:bottom w:val="single" w:color="000000" w:sz="4" w:space="0"/>
              <w:right w:val="single" w:color="000000" w:sz="4" w:space="0"/>
            </w:tcBorders>
            <w:vAlign w:val="center"/>
          </w:tcPr>
          <w:p>
            <w:pPr>
              <w:widowControl/>
              <w:jc w:val="left"/>
              <w:rPr>
                <w:rFonts w:ascii="??_GB2312" w:hAnsi="??_GB2312"/>
                <w:sz w:val="24"/>
                <w:szCs w:val="24"/>
              </w:rPr>
            </w:pPr>
          </w:p>
        </w:tc>
        <w:tc>
          <w:tcPr>
            <w:tcW w:w="1080" w:type="dxa"/>
            <w:vMerge w:val="continue"/>
            <w:tcBorders>
              <w:top w:val="nil"/>
              <w:left w:val="nil"/>
              <w:bottom w:val="single" w:color="000000" w:sz="4" w:space="0"/>
              <w:right w:val="single" w:color="auto" w:sz="4" w:space="0"/>
            </w:tcBorders>
            <w:vAlign w:val="center"/>
          </w:tcPr>
          <w:p>
            <w:pPr>
              <w:widowControl/>
              <w:jc w:val="left"/>
              <w:rPr>
                <w:rFonts w:ascii="??_GB2312" w:hAnsi="??_GB2312"/>
                <w:color w:val="000000"/>
                <w:sz w:val="24"/>
                <w:szCs w:val="24"/>
              </w:rPr>
            </w:pPr>
          </w:p>
        </w:tc>
        <w:tc>
          <w:tcPr>
            <w:tcW w:w="2435"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在用固定资产</w:t>
            </w:r>
          </w:p>
        </w:tc>
        <w:tc>
          <w:tcPr>
            <w:tcW w:w="3644" w:type="dxa"/>
            <w:gridSpan w:val="7"/>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出租固定资产</w:t>
            </w:r>
          </w:p>
        </w:tc>
        <w:tc>
          <w:tcPr>
            <w:tcW w:w="941" w:type="dxa"/>
            <w:gridSpan w:val="2"/>
            <w:vMerge w:val="continue"/>
            <w:tcBorders>
              <w:top w:val="nil"/>
              <w:left w:val="nil"/>
              <w:bottom w:val="single" w:color="000000" w:sz="4" w:space="0"/>
              <w:right w:val="single" w:color="000000" w:sz="4" w:space="0"/>
            </w:tcBorders>
            <w:vAlign w:val="center"/>
          </w:tcPr>
          <w:p>
            <w:pPr>
              <w:widowControl/>
              <w:jc w:val="left"/>
              <w:rPr>
                <w:rFonts w:ascii="??_GB2312" w:hAnsi="??_GB2312"/>
                <w:color w:val="000000"/>
                <w:sz w:val="24"/>
                <w:szCs w:val="24"/>
              </w:rPr>
            </w:pPr>
          </w:p>
        </w:tc>
      </w:tr>
      <w:tr>
        <w:tblPrEx>
          <w:tblCellMar>
            <w:top w:w="0" w:type="dxa"/>
            <w:left w:w="15" w:type="dxa"/>
            <w:bottom w:w="0" w:type="dxa"/>
            <w:right w:w="15" w:type="dxa"/>
          </w:tblCellMar>
        </w:tblPrEx>
        <w:trPr>
          <w:trHeight w:val="855" w:hRule="atLeast"/>
          <w:jc w:val="center"/>
        </w:trPr>
        <w:tc>
          <w:tcPr>
            <w:tcW w:w="1700" w:type="dxa"/>
            <w:gridSpan w:val="3"/>
            <w:tcBorders>
              <w:top w:val="single" w:color="000000" w:sz="4" w:space="0"/>
              <w:left w:val="single" w:color="000000" w:sz="4" w:space="0"/>
              <w:bottom w:val="single" w:color="000000" w:sz="4" w:space="0"/>
              <w:right w:val="single" w:color="000000" w:sz="4" w:space="0"/>
            </w:tcBorders>
            <w:vAlign w:val="center"/>
          </w:tcPr>
          <w:p>
            <w:pPr>
              <w:spacing w:line="320" w:lineRule="exact"/>
              <w:jc w:val="left"/>
              <w:rPr>
                <w:rFonts w:ascii="??_GB2312" w:hAnsi="??_GB2312"/>
                <w:sz w:val="24"/>
                <w:szCs w:val="24"/>
              </w:rPr>
            </w:pPr>
            <w:r>
              <w:rPr>
                <w:rFonts w:hint="eastAsia" w:ascii="??_GB2312" w:hAnsi="??_GB2312"/>
                <w:color w:val="000000"/>
                <w:sz w:val="24"/>
                <w:szCs w:val="24"/>
              </w:rPr>
              <w:t>局机关及二级机构汇总</w:t>
            </w:r>
          </w:p>
        </w:tc>
        <w:tc>
          <w:tcPr>
            <w:tcW w:w="1080" w:type="dxa"/>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hint="eastAsia" w:ascii="??_GB2312" w:hAnsi="??_GB2312" w:eastAsia="宋体"/>
                <w:color w:val="000000"/>
                <w:sz w:val="24"/>
                <w:szCs w:val="24"/>
                <w:lang w:val="en-US" w:eastAsia="zh-CN"/>
              </w:rPr>
            </w:pPr>
            <w:r>
              <w:rPr>
                <w:rFonts w:hint="eastAsia" w:ascii="??_GB2312" w:hAnsi="??_GB2312"/>
                <w:color w:val="000000"/>
                <w:sz w:val="24"/>
                <w:szCs w:val="24"/>
                <w:lang w:val="en-US" w:eastAsia="zh-CN"/>
              </w:rPr>
              <w:t>142万</w:t>
            </w:r>
          </w:p>
        </w:tc>
        <w:tc>
          <w:tcPr>
            <w:tcW w:w="2435"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eastAsia" w:ascii="??_GB2312" w:hAnsi="??_GB2312" w:eastAsia="宋体" w:cs="Times New Roman"/>
                <w:color w:val="000000"/>
                <w:kern w:val="2"/>
                <w:sz w:val="24"/>
                <w:szCs w:val="24"/>
                <w:lang w:val="en-US" w:eastAsia="zh-CN" w:bidi="ar-SA"/>
              </w:rPr>
            </w:pPr>
            <w:r>
              <w:rPr>
                <w:rFonts w:hint="eastAsia" w:ascii="??_GB2312" w:hAnsi="??_GB2312"/>
                <w:color w:val="000000"/>
                <w:sz w:val="24"/>
                <w:szCs w:val="24"/>
                <w:lang w:val="en-US" w:eastAsia="zh-CN"/>
              </w:rPr>
              <w:t>142万</w:t>
            </w:r>
          </w:p>
        </w:tc>
        <w:tc>
          <w:tcPr>
            <w:tcW w:w="3644" w:type="dxa"/>
            <w:gridSpan w:val="7"/>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c>
          <w:tcPr>
            <w:tcW w:w="941"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r>
      <w:tr>
        <w:tblPrEx>
          <w:tblCellMar>
            <w:top w:w="0" w:type="dxa"/>
            <w:left w:w="15" w:type="dxa"/>
            <w:bottom w:w="0" w:type="dxa"/>
            <w:right w:w="15" w:type="dxa"/>
          </w:tblCellMar>
        </w:tblPrEx>
        <w:trPr>
          <w:trHeight w:val="624" w:hRule="atLeast"/>
          <w:jc w:val="center"/>
        </w:trPr>
        <w:tc>
          <w:tcPr>
            <w:tcW w:w="1700" w:type="dxa"/>
            <w:gridSpan w:val="3"/>
            <w:tcBorders>
              <w:top w:val="single" w:color="000000" w:sz="4" w:space="0"/>
              <w:left w:val="single" w:color="000000" w:sz="4" w:space="0"/>
              <w:bottom w:val="single" w:color="000000" w:sz="4" w:space="0"/>
              <w:right w:val="single" w:color="000000" w:sz="4" w:space="0"/>
            </w:tcBorders>
            <w:vAlign w:val="center"/>
          </w:tcPr>
          <w:p>
            <w:pPr>
              <w:spacing w:line="320" w:lineRule="exact"/>
              <w:jc w:val="left"/>
              <w:rPr>
                <w:rFonts w:ascii="??_GB2312" w:hAnsi="??_GB2312"/>
                <w:sz w:val="24"/>
                <w:szCs w:val="24"/>
              </w:rPr>
            </w:pPr>
            <w:r>
              <w:rPr>
                <w:rFonts w:ascii="??_GB2312" w:hAnsi="??_GB2312"/>
                <w:sz w:val="24"/>
                <w:szCs w:val="24"/>
              </w:rPr>
              <w:t>1</w:t>
            </w:r>
            <w:r>
              <w:rPr>
                <w:rFonts w:hint="eastAsia" w:ascii="??_GB2312" w:hAnsi="??_GB2312"/>
                <w:sz w:val="24"/>
                <w:szCs w:val="24"/>
              </w:rPr>
              <w:t>、局机关</w:t>
            </w:r>
          </w:p>
        </w:tc>
        <w:tc>
          <w:tcPr>
            <w:tcW w:w="1080" w:type="dxa"/>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hint="eastAsia" w:ascii="??_GB2312" w:hAnsi="??_GB2312" w:eastAsia="宋体" w:cs="Times New Roman"/>
                <w:color w:val="000000"/>
                <w:kern w:val="2"/>
                <w:sz w:val="24"/>
                <w:szCs w:val="24"/>
                <w:lang w:val="en-US" w:eastAsia="zh-CN" w:bidi="ar-SA"/>
              </w:rPr>
            </w:pPr>
            <w:r>
              <w:rPr>
                <w:rFonts w:hint="eastAsia" w:ascii="??_GB2312" w:hAnsi="??_GB2312"/>
                <w:color w:val="000000"/>
                <w:sz w:val="24"/>
                <w:szCs w:val="24"/>
                <w:lang w:val="en-US" w:eastAsia="zh-CN"/>
              </w:rPr>
              <w:t>142万</w:t>
            </w:r>
          </w:p>
        </w:tc>
        <w:tc>
          <w:tcPr>
            <w:tcW w:w="2435"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eastAsia" w:ascii="??_GB2312" w:hAnsi="??_GB2312" w:eastAsia="宋体" w:cs="Times New Roman"/>
                <w:color w:val="000000"/>
                <w:kern w:val="2"/>
                <w:sz w:val="24"/>
                <w:szCs w:val="24"/>
                <w:lang w:val="en-US" w:eastAsia="zh-CN" w:bidi="ar-SA"/>
              </w:rPr>
            </w:pPr>
            <w:r>
              <w:rPr>
                <w:rFonts w:hint="eastAsia" w:ascii="??_GB2312" w:hAnsi="??_GB2312"/>
                <w:color w:val="000000"/>
                <w:sz w:val="24"/>
                <w:szCs w:val="24"/>
                <w:lang w:val="en-US" w:eastAsia="zh-CN"/>
              </w:rPr>
              <w:t>142万</w:t>
            </w:r>
          </w:p>
        </w:tc>
        <w:tc>
          <w:tcPr>
            <w:tcW w:w="3644" w:type="dxa"/>
            <w:gridSpan w:val="7"/>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c>
          <w:tcPr>
            <w:tcW w:w="941"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r>
      <w:tr>
        <w:tblPrEx>
          <w:tblCellMar>
            <w:top w:w="0" w:type="dxa"/>
            <w:left w:w="15" w:type="dxa"/>
            <w:bottom w:w="0" w:type="dxa"/>
            <w:right w:w="15" w:type="dxa"/>
          </w:tblCellMar>
        </w:tblPrEx>
        <w:trPr>
          <w:trHeight w:val="624" w:hRule="atLeast"/>
          <w:jc w:val="center"/>
        </w:trPr>
        <w:tc>
          <w:tcPr>
            <w:tcW w:w="1700" w:type="dxa"/>
            <w:gridSpan w:val="3"/>
            <w:tcBorders>
              <w:top w:val="single" w:color="000000" w:sz="4" w:space="0"/>
              <w:left w:val="single" w:color="000000" w:sz="4" w:space="0"/>
              <w:bottom w:val="single" w:color="000000" w:sz="4" w:space="0"/>
              <w:right w:val="single" w:color="000000" w:sz="4" w:space="0"/>
            </w:tcBorders>
            <w:vAlign w:val="center"/>
          </w:tcPr>
          <w:p>
            <w:pPr>
              <w:spacing w:line="320" w:lineRule="exact"/>
              <w:jc w:val="left"/>
              <w:rPr>
                <w:rFonts w:ascii="??_GB2312" w:hAnsi="??_GB2312"/>
                <w:sz w:val="24"/>
                <w:szCs w:val="24"/>
              </w:rPr>
            </w:pPr>
            <w:r>
              <w:rPr>
                <w:rFonts w:ascii="??_GB2312" w:hAnsi="??_GB2312"/>
                <w:sz w:val="24"/>
                <w:szCs w:val="24"/>
              </w:rPr>
              <w:t>2</w:t>
            </w:r>
            <w:r>
              <w:rPr>
                <w:rFonts w:hint="eastAsia" w:ascii="??_GB2312" w:hAnsi="??_GB2312"/>
                <w:sz w:val="24"/>
                <w:szCs w:val="24"/>
              </w:rPr>
              <w:t>、二级机构</w:t>
            </w:r>
            <w:r>
              <w:rPr>
                <w:rFonts w:ascii="??_GB2312" w:hAnsi="??_GB2312"/>
                <w:sz w:val="24"/>
                <w:szCs w:val="24"/>
              </w:rPr>
              <w:t>1</w:t>
            </w:r>
          </w:p>
        </w:tc>
        <w:tc>
          <w:tcPr>
            <w:tcW w:w="1080" w:type="dxa"/>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ascii="??_GB2312" w:hAnsi="??_GB2312"/>
                <w:color w:val="000000"/>
                <w:sz w:val="24"/>
                <w:szCs w:val="24"/>
              </w:rPr>
            </w:pPr>
          </w:p>
        </w:tc>
        <w:tc>
          <w:tcPr>
            <w:tcW w:w="2435"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c>
          <w:tcPr>
            <w:tcW w:w="3644" w:type="dxa"/>
            <w:gridSpan w:val="7"/>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c>
          <w:tcPr>
            <w:tcW w:w="941"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r>
      <w:tr>
        <w:tblPrEx>
          <w:tblCellMar>
            <w:top w:w="0" w:type="dxa"/>
            <w:left w:w="15" w:type="dxa"/>
            <w:bottom w:w="0" w:type="dxa"/>
            <w:right w:w="15" w:type="dxa"/>
          </w:tblCellMar>
        </w:tblPrEx>
        <w:trPr>
          <w:trHeight w:val="624" w:hRule="atLeast"/>
          <w:jc w:val="center"/>
        </w:trPr>
        <w:tc>
          <w:tcPr>
            <w:tcW w:w="1700" w:type="dxa"/>
            <w:gridSpan w:val="3"/>
            <w:tcBorders>
              <w:top w:val="single" w:color="000000" w:sz="4" w:space="0"/>
              <w:left w:val="single" w:color="000000" w:sz="4" w:space="0"/>
              <w:bottom w:val="single" w:color="000000" w:sz="4" w:space="0"/>
              <w:right w:val="single" w:color="000000" w:sz="4" w:space="0"/>
            </w:tcBorders>
            <w:vAlign w:val="center"/>
          </w:tcPr>
          <w:p>
            <w:pPr>
              <w:spacing w:line="320" w:lineRule="exact"/>
              <w:jc w:val="left"/>
              <w:rPr>
                <w:rFonts w:ascii="??_GB2312" w:hAnsi="??_GB2312"/>
                <w:sz w:val="24"/>
                <w:szCs w:val="24"/>
              </w:rPr>
            </w:pPr>
            <w:r>
              <w:rPr>
                <w:rFonts w:ascii="??_GB2312" w:hAnsi="??_GB2312"/>
                <w:sz w:val="24"/>
                <w:szCs w:val="24"/>
              </w:rPr>
              <w:t>3</w:t>
            </w:r>
            <w:r>
              <w:rPr>
                <w:rFonts w:hint="eastAsia" w:ascii="??_GB2312" w:hAnsi="??_GB2312"/>
                <w:sz w:val="24"/>
                <w:szCs w:val="24"/>
              </w:rPr>
              <w:t>、二级机构</w:t>
            </w:r>
            <w:r>
              <w:rPr>
                <w:rFonts w:ascii="??_GB2312" w:hAnsi="??_GB2312"/>
                <w:sz w:val="24"/>
                <w:szCs w:val="24"/>
              </w:rPr>
              <w:t>2</w:t>
            </w:r>
          </w:p>
        </w:tc>
        <w:tc>
          <w:tcPr>
            <w:tcW w:w="1080" w:type="dxa"/>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ascii="??_GB2312" w:hAnsi="??_GB2312"/>
                <w:color w:val="000000"/>
                <w:sz w:val="24"/>
                <w:szCs w:val="24"/>
              </w:rPr>
            </w:pPr>
          </w:p>
        </w:tc>
        <w:tc>
          <w:tcPr>
            <w:tcW w:w="2435"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c>
          <w:tcPr>
            <w:tcW w:w="3644" w:type="dxa"/>
            <w:gridSpan w:val="7"/>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c>
          <w:tcPr>
            <w:tcW w:w="941"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r>
      <w:tr>
        <w:tblPrEx>
          <w:tblCellMar>
            <w:top w:w="0" w:type="dxa"/>
            <w:left w:w="15" w:type="dxa"/>
            <w:bottom w:w="0" w:type="dxa"/>
            <w:right w:w="15" w:type="dxa"/>
          </w:tblCellMar>
        </w:tblPrEx>
        <w:trPr>
          <w:trHeight w:val="567" w:hRule="atLeast"/>
          <w:jc w:val="center"/>
        </w:trPr>
        <w:tc>
          <w:tcPr>
            <w:tcW w:w="9800" w:type="dxa"/>
            <w:gridSpan w:val="17"/>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黑体" w:hAnsi="黑体" w:eastAsia="黑体"/>
                <w:color w:val="000000"/>
                <w:sz w:val="28"/>
                <w:szCs w:val="28"/>
              </w:rPr>
              <w:t>三、部门（单位）整体支出绩效自评情况</w:t>
            </w:r>
          </w:p>
        </w:tc>
      </w:tr>
      <w:tr>
        <w:tblPrEx>
          <w:tblCellMar>
            <w:top w:w="0" w:type="dxa"/>
            <w:left w:w="15" w:type="dxa"/>
            <w:bottom w:w="0" w:type="dxa"/>
            <w:right w:w="15" w:type="dxa"/>
          </w:tblCellMar>
        </w:tblPrEx>
        <w:trPr>
          <w:trHeight w:val="567" w:hRule="atLeast"/>
          <w:jc w:val="center"/>
        </w:trPr>
        <w:tc>
          <w:tcPr>
            <w:tcW w:w="1441" w:type="dxa"/>
            <w:vMerge w:val="restart"/>
            <w:tcBorders>
              <w:top w:val="nil"/>
              <w:left w:val="single" w:color="000000" w:sz="4" w:space="0"/>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整体支出绩效定性目标及实施计划完成情况</w:t>
            </w:r>
          </w:p>
        </w:tc>
        <w:tc>
          <w:tcPr>
            <w:tcW w:w="3774" w:type="dxa"/>
            <w:gridSpan w:val="7"/>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预期目标</w:t>
            </w:r>
          </w:p>
        </w:tc>
        <w:tc>
          <w:tcPr>
            <w:tcW w:w="4585" w:type="dxa"/>
            <w:gridSpan w:val="9"/>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实际完成</w:t>
            </w:r>
          </w:p>
        </w:tc>
      </w:tr>
      <w:tr>
        <w:trPr>
          <w:trHeight w:val="1172" w:hRule="atLeast"/>
          <w:jc w:val="center"/>
        </w:trPr>
        <w:tc>
          <w:tcPr>
            <w:tcW w:w="1441" w:type="dxa"/>
            <w:vMerge w:val="continue"/>
            <w:tcBorders>
              <w:top w:val="nil"/>
              <w:left w:val="single" w:color="000000" w:sz="4" w:space="0"/>
              <w:bottom w:val="single" w:color="000000" w:sz="4" w:space="0"/>
              <w:right w:val="single" w:color="000000" w:sz="4" w:space="0"/>
            </w:tcBorders>
            <w:vAlign w:val="center"/>
          </w:tcPr>
          <w:p>
            <w:pPr>
              <w:widowControl/>
              <w:jc w:val="left"/>
              <w:rPr>
                <w:rFonts w:ascii="??_GB2312" w:hAnsi="??_GB2312"/>
                <w:color w:val="000000"/>
                <w:sz w:val="24"/>
                <w:szCs w:val="24"/>
              </w:rPr>
            </w:pPr>
          </w:p>
        </w:tc>
        <w:tc>
          <w:tcPr>
            <w:tcW w:w="3774" w:type="dxa"/>
            <w:gridSpan w:val="7"/>
            <w:tcBorders>
              <w:top w:val="single" w:color="000000" w:sz="4" w:space="0"/>
              <w:left w:val="nil"/>
              <w:bottom w:val="single" w:color="000000" w:sz="4" w:space="0"/>
              <w:right w:val="single" w:color="000000" w:sz="4" w:space="0"/>
            </w:tcBorders>
            <w:vAlign w:val="center"/>
          </w:tcPr>
          <w:p>
            <w:pPr>
              <w:widowControl/>
              <w:shd w:val="clear" w:color="auto" w:fill="FFFFFF"/>
              <w:spacing w:before="100" w:after="206" w:line="280" w:lineRule="atLeast"/>
              <w:textAlignment w:val="center"/>
              <w:rPr>
                <w:rFonts w:ascii="宋体" w:cs="宋体"/>
                <w:color w:val="000000"/>
                <w:kern w:val="0"/>
                <w:shd w:val="clear" w:color="auto" w:fill="FFFFFF"/>
              </w:rPr>
            </w:pPr>
            <w:r>
              <w:rPr>
                <w:rFonts w:hint="eastAsia" w:ascii="宋体" w:hAnsi="宋体" w:cs="宋体"/>
                <w:color w:val="000000"/>
                <w:kern w:val="0"/>
                <w:shd w:val="clear" w:color="auto" w:fill="FFFFFF"/>
              </w:rPr>
              <w:t>人员支出：</w:t>
            </w:r>
            <w:r>
              <w:rPr>
                <w:rFonts w:hint="eastAsia" w:ascii="宋体" w:hAnsi="宋体" w:cs="宋体"/>
                <w:color w:val="000000"/>
                <w:kern w:val="0"/>
                <w:shd w:val="clear" w:color="auto" w:fill="FFFFFF"/>
                <w:lang w:val="en-US" w:eastAsia="zh-CN"/>
              </w:rPr>
              <w:t>168.77</w:t>
            </w:r>
            <w:r>
              <w:rPr>
                <w:rFonts w:hint="eastAsia" w:ascii="宋体" w:hAnsi="宋体" w:cs="宋体"/>
                <w:color w:val="000000"/>
                <w:kern w:val="0"/>
                <w:shd w:val="clear" w:color="auto" w:fill="FFFFFF"/>
              </w:rPr>
              <w:t>万元</w:t>
            </w:r>
          </w:p>
          <w:p>
            <w:pPr>
              <w:widowControl/>
              <w:shd w:val="clear" w:color="auto" w:fill="FFFFFF"/>
              <w:spacing w:before="100" w:after="206" w:line="280" w:lineRule="atLeast"/>
              <w:textAlignment w:val="center"/>
              <w:rPr>
                <w:rFonts w:ascii="Calibri" w:hAnsi="Calibri" w:cs="宋体"/>
                <w:color w:val="000000"/>
                <w:kern w:val="0"/>
              </w:rPr>
            </w:pPr>
            <w:r>
              <w:rPr>
                <w:rFonts w:hint="eastAsia" w:ascii="宋体" w:hAnsi="宋体" w:cs="宋体"/>
                <w:color w:val="000000"/>
                <w:kern w:val="0"/>
                <w:shd w:val="clear" w:color="auto" w:fill="FFFFFF"/>
              </w:rPr>
              <w:t>公用支出：</w:t>
            </w:r>
            <w:r>
              <w:rPr>
                <w:rFonts w:hint="eastAsia" w:ascii="宋体" w:hAnsi="宋体" w:cs="宋体"/>
                <w:color w:val="000000"/>
                <w:kern w:val="0"/>
                <w:shd w:val="clear" w:color="auto" w:fill="FFFFFF"/>
                <w:lang w:val="en-US" w:eastAsia="zh-CN"/>
              </w:rPr>
              <w:t xml:space="preserve">101.23 </w:t>
            </w:r>
            <w:r>
              <w:rPr>
                <w:rFonts w:hint="eastAsia" w:ascii="宋体" w:hAnsi="宋体" w:cs="宋体"/>
                <w:color w:val="000000"/>
                <w:kern w:val="0"/>
                <w:shd w:val="clear" w:color="auto" w:fill="FFFFFF"/>
              </w:rPr>
              <w:t>万元</w:t>
            </w:r>
          </w:p>
          <w:p>
            <w:pPr>
              <w:spacing w:line="320" w:lineRule="exact"/>
              <w:jc w:val="left"/>
              <w:textAlignment w:val="center"/>
              <w:rPr>
                <w:rFonts w:ascii="??_GB2312" w:hAnsi="??_GB2312"/>
                <w:color w:val="000000"/>
                <w:sz w:val="24"/>
                <w:szCs w:val="24"/>
              </w:rPr>
            </w:pPr>
          </w:p>
        </w:tc>
        <w:tc>
          <w:tcPr>
            <w:tcW w:w="4585" w:type="dxa"/>
            <w:gridSpan w:val="9"/>
            <w:tcBorders>
              <w:top w:val="single" w:color="000000" w:sz="4" w:space="0"/>
              <w:left w:val="nil"/>
              <w:bottom w:val="single" w:color="000000" w:sz="4" w:space="0"/>
              <w:right w:val="single" w:color="000000" w:sz="4" w:space="0"/>
            </w:tcBorders>
            <w:vAlign w:val="center"/>
          </w:tcPr>
          <w:p>
            <w:pPr>
              <w:widowControl/>
              <w:shd w:val="clear" w:color="auto" w:fill="FFFFFF"/>
              <w:spacing w:before="100" w:after="206" w:line="280" w:lineRule="atLeast"/>
              <w:textAlignment w:val="center"/>
              <w:rPr>
                <w:rFonts w:ascii="Calibri" w:hAnsi="Calibri" w:cs="宋体"/>
                <w:color w:val="000000"/>
                <w:kern w:val="0"/>
              </w:rPr>
            </w:pPr>
            <w:r>
              <w:rPr>
                <w:rFonts w:hint="eastAsia" w:ascii="宋体" w:hAnsi="宋体" w:cs="宋体"/>
                <w:color w:val="000000"/>
                <w:kern w:val="0"/>
                <w:shd w:val="clear" w:color="auto" w:fill="FFFFFF"/>
              </w:rPr>
              <w:t>及时完成</w:t>
            </w:r>
          </w:p>
          <w:p>
            <w:pPr>
              <w:spacing w:line="320" w:lineRule="exact"/>
              <w:jc w:val="center"/>
              <w:textAlignment w:val="center"/>
              <w:rPr>
                <w:rFonts w:ascii="??_GB2312" w:hAnsi="??_GB2312"/>
                <w:color w:val="000000"/>
                <w:sz w:val="24"/>
                <w:szCs w:val="24"/>
              </w:rPr>
            </w:pPr>
          </w:p>
        </w:tc>
      </w:tr>
      <w:tr>
        <w:tblPrEx>
          <w:tblCellMar>
            <w:top w:w="0" w:type="dxa"/>
            <w:left w:w="15" w:type="dxa"/>
            <w:bottom w:w="0" w:type="dxa"/>
            <w:right w:w="15" w:type="dxa"/>
          </w:tblCellMar>
        </w:tblPrEx>
        <w:trPr>
          <w:trHeight w:val="567" w:hRule="atLeast"/>
          <w:jc w:val="center"/>
        </w:trPr>
        <w:tc>
          <w:tcPr>
            <w:tcW w:w="1441" w:type="dxa"/>
            <w:vMerge w:val="restart"/>
            <w:tcBorders>
              <w:top w:val="nil"/>
              <w:left w:val="single" w:color="000000" w:sz="4" w:space="0"/>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整体支出</w:t>
            </w:r>
          </w:p>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绩效定量目标及实施计划完成情况</w:t>
            </w:r>
          </w:p>
        </w:tc>
        <w:tc>
          <w:tcPr>
            <w:tcW w:w="2966" w:type="dxa"/>
            <w:gridSpan w:val="6"/>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评价内容</w:t>
            </w:r>
          </w:p>
        </w:tc>
        <w:tc>
          <w:tcPr>
            <w:tcW w:w="2709"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绩效目标</w:t>
            </w:r>
          </w:p>
        </w:tc>
        <w:tc>
          <w:tcPr>
            <w:tcW w:w="2684" w:type="dxa"/>
            <w:gridSpan w:val="6"/>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完成情况</w:t>
            </w:r>
          </w:p>
        </w:tc>
      </w:tr>
      <w:tr>
        <w:tblPrEx>
          <w:tblCellMar>
            <w:top w:w="0" w:type="dxa"/>
            <w:left w:w="15" w:type="dxa"/>
            <w:bottom w:w="0" w:type="dxa"/>
            <w:right w:w="15" w:type="dxa"/>
          </w:tblCellMar>
        </w:tblPrEx>
        <w:trPr>
          <w:trHeight w:val="633" w:hRule="atLeast"/>
          <w:jc w:val="center"/>
        </w:trPr>
        <w:tc>
          <w:tcPr>
            <w:tcW w:w="1441" w:type="dxa"/>
            <w:vMerge w:val="continue"/>
            <w:tcBorders>
              <w:top w:val="nil"/>
              <w:left w:val="single" w:color="000000" w:sz="4" w:space="0"/>
              <w:bottom w:val="single" w:color="000000" w:sz="4" w:space="0"/>
              <w:right w:val="single" w:color="000000" w:sz="4" w:space="0"/>
            </w:tcBorders>
            <w:vAlign w:val="center"/>
          </w:tcPr>
          <w:p>
            <w:pPr>
              <w:widowControl/>
              <w:jc w:val="left"/>
              <w:rPr>
                <w:rFonts w:ascii="??_GB2312" w:hAnsi="??_GB2312"/>
                <w:color w:val="000000"/>
                <w:sz w:val="24"/>
                <w:szCs w:val="24"/>
              </w:rPr>
            </w:pPr>
          </w:p>
        </w:tc>
        <w:tc>
          <w:tcPr>
            <w:tcW w:w="1549" w:type="dxa"/>
            <w:gridSpan w:val="4"/>
            <w:vMerge w:val="restart"/>
            <w:tcBorders>
              <w:top w:val="nil"/>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产出目标</w:t>
            </w:r>
          </w:p>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（部门工作实绩，包含上级部门和县委县政府布置的重点工作、实事任务等，根据部门实际进行调整细化）</w:t>
            </w:r>
          </w:p>
        </w:tc>
        <w:tc>
          <w:tcPr>
            <w:tcW w:w="1417" w:type="dxa"/>
            <w:gridSpan w:val="2"/>
            <w:vMerge w:val="restart"/>
            <w:tcBorders>
              <w:top w:val="nil"/>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质量指标</w:t>
            </w:r>
          </w:p>
        </w:tc>
        <w:tc>
          <w:tcPr>
            <w:tcW w:w="2709" w:type="dxa"/>
            <w:gridSpan w:val="4"/>
            <w:tcBorders>
              <w:top w:val="single" w:color="000000" w:sz="4" w:space="0"/>
              <w:left w:val="nil"/>
              <w:bottom w:val="single" w:color="000000" w:sz="4" w:space="0"/>
              <w:right w:val="single" w:color="000000" w:sz="4" w:space="0"/>
            </w:tcBorders>
            <w:vAlign w:val="center"/>
          </w:tcPr>
          <w:p>
            <w:pPr>
              <w:spacing w:before="100" w:after="206" w:line="280" w:lineRule="atLeast"/>
              <w:jc w:val="center"/>
              <w:textAlignment w:val="center"/>
              <w:rPr>
                <w:rFonts w:ascii="??_GB2312" w:hAnsi="??_GB2312"/>
                <w:color w:val="000000"/>
                <w:sz w:val="24"/>
                <w:szCs w:val="24"/>
              </w:rPr>
            </w:pPr>
            <w:r>
              <w:rPr>
                <w:rFonts w:hint="eastAsia" w:ascii="??_GB2312" w:hAnsi="??_GB2312"/>
                <w:color w:val="000000"/>
                <w:sz w:val="24"/>
                <w:szCs w:val="24"/>
              </w:rPr>
              <w:t>社会工资水平</w:t>
            </w:r>
          </w:p>
        </w:tc>
        <w:tc>
          <w:tcPr>
            <w:tcW w:w="2684" w:type="dxa"/>
            <w:gridSpan w:val="6"/>
            <w:tcBorders>
              <w:top w:val="single" w:color="000000" w:sz="4" w:space="0"/>
              <w:left w:val="nil"/>
              <w:bottom w:val="single" w:color="000000" w:sz="4" w:space="0"/>
              <w:right w:val="single" w:color="000000" w:sz="4" w:space="0"/>
            </w:tcBorders>
            <w:vAlign w:val="center"/>
          </w:tcPr>
          <w:p>
            <w:pPr>
              <w:spacing w:before="100" w:after="206" w:line="280" w:lineRule="atLeast"/>
              <w:jc w:val="center"/>
              <w:textAlignment w:val="center"/>
              <w:rPr>
                <w:rFonts w:ascii="??_GB2312" w:hAnsi="??_GB2312"/>
                <w:color w:val="000000"/>
                <w:sz w:val="24"/>
                <w:szCs w:val="24"/>
              </w:rPr>
            </w:pPr>
            <w:r>
              <w:rPr>
                <w:rFonts w:hint="eastAsia" w:ascii="??_GB2312" w:hAnsi="??_GB2312"/>
                <w:color w:val="000000"/>
                <w:sz w:val="24"/>
                <w:szCs w:val="24"/>
              </w:rPr>
              <w:t>中等</w:t>
            </w:r>
          </w:p>
        </w:tc>
      </w:tr>
      <w:tr>
        <w:tblPrEx>
          <w:tblCellMar>
            <w:top w:w="0" w:type="dxa"/>
            <w:left w:w="15" w:type="dxa"/>
            <w:bottom w:w="0" w:type="dxa"/>
            <w:right w:w="15" w:type="dxa"/>
          </w:tblCellMar>
        </w:tblPrEx>
        <w:trPr>
          <w:trHeight w:val="454" w:hRule="atLeast"/>
          <w:jc w:val="center"/>
        </w:trPr>
        <w:tc>
          <w:tcPr>
            <w:tcW w:w="1441" w:type="dxa"/>
            <w:vMerge w:val="continue"/>
            <w:tcBorders>
              <w:top w:val="nil"/>
              <w:left w:val="single" w:color="000000" w:sz="4" w:space="0"/>
              <w:bottom w:val="single" w:color="000000" w:sz="4" w:space="0"/>
              <w:right w:val="single" w:color="000000" w:sz="4" w:space="0"/>
            </w:tcBorders>
            <w:vAlign w:val="center"/>
          </w:tcPr>
          <w:p>
            <w:pPr>
              <w:widowControl/>
              <w:jc w:val="left"/>
              <w:rPr>
                <w:rFonts w:ascii="??_GB2312" w:hAnsi="??_GB2312"/>
                <w:color w:val="000000"/>
                <w:sz w:val="24"/>
                <w:szCs w:val="24"/>
              </w:rPr>
            </w:pPr>
          </w:p>
        </w:tc>
        <w:tc>
          <w:tcPr>
            <w:tcW w:w="1549" w:type="dxa"/>
            <w:gridSpan w:val="4"/>
            <w:vMerge w:val="continue"/>
            <w:tcBorders>
              <w:top w:val="nil"/>
              <w:left w:val="nil"/>
              <w:bottom w:val="single" w:color="000000" w:sz="4" w:space="0"/>
              <w:right w:val="single" w:color="000000" w:sz="4" w:space="0"/>
            </w:tcBorders>
            <w:vAlign w:val="center"/>
          </w:tcPr>
          <w:p>
            <w:pPr>
              <w:widowControl/>
              <w:jc w:val="left"/>
              <w:rPr>
                <w:rFonts w:ascii="??_GB2312" w:hAnsi="??_GB2312"/>
                <w:color w:val="000000"/>
                <w:sz w:val="24"/>
                <w:szCs w:val="24"/>
              </w:rPr>
            </w:pPr>
          </w:p>
        </w:tc>
        <w:tc>
          <w:tcPr>
            <w:tcW w:w="1417" w:type="dxa"/>
            <w:gridSpan w:val="2"/>
            <w:vMerge w:val="continue"/>
            <w:tcBorders>
              <w:top w:val="nil"/>
              <w:left w:val="nil"/>
              <w:bottom w:val="single" w:color="000000" w:sz="4" w:space="0"/>
              <w:right w:val="single" w:color="000000" w:sz="4" w:space="0"/>
            </w:tcBorders>
            <w:vAlign w:val="center"/>
          </w:tcPr>
          <w:p>
            <w:pPr>
              <w:widowControl/>
              <w:jc w:val="left"/>
              <w:rPr>
                <w:rFonts w:ascii="??_GB2312" w:hAnsi="??_GB2312"/>
                <w:color w:val="000000"/>
                <w:sz w:val="24"/>
                <w:szCs w:val="24"/>
              </w:rPr>
            </w:pPr>
          </w:p>
        </w:tc>
        <w:tc>
          <w:tcPr>
            <w:tcW w:w="2709" w:type="dxa"/>
            <w:gridSpan w:val="4"/>
            <w:tcBorders>
              <w:top w:val="single" w:color="000000" w:sz="4" w:space="0"/>
              <w:left w:val="nil"/>
              <w:bottom w:val="single" w:color="000000" w:sz="4" w:space="0"/>
              <w:right w:val="single" w:color="000000" w:sz="4" w:space="0"/>
            </w:tcBorders>
            <w:vAlign w:val="center"/>
          </w:tcPr>
          <w:p>
            <w:pPr>
              <w:spacing w:before="100" w:after="206" w:line="280" w:lineRule="atLeast"/>
              <w:jc w:val="center"/>
              <w:textAlignment w:val="center"/>
              <w:rPr>
                <w:rFonts w:ascii="??_GB2312" w:hAnsi="??_GB2312"/>
                <w:color w:val="000000"/>
                <w:sz w:val="24"/>
                <w:szCs w:val="24"/>
              </w:rPr>
            </w:pPr>
            <w:r>
              <w:rPr>
                <w:rFonts w:hint="eastAsia" w:ascii="??_GB2312" w:hAnsi="??_GB2312"/>
                <w:color w:val="000000"/>
                <w:sz w:val="24"/>
                <w:szCs w:val="24"/>
              </w:rPr>
              <w:t>满足基本运转人均额</w:t>
            </w:r>
          </w:p>
        </w:tc>
        <w:tc>
          <w:tcPr>
            <w:tcW w:w="2684" w:type="dxa"/>
            <w:gridSpan w:val="6"/>
            <w:tcBorders>
              <w:top w:val="single" w:color="000000" w:sz="4" w:space="0"/>
              <w:left w:val="nil"/>
              <w:bottom w:val="single" w:color="000000" w:sz="4" w:space="0"/>
              <w:right w:val="single" w:color="000000" w:sz="4" w:space="0"/>
            </w:tcBorders>
            <w:vAlign w:val="center"/>
          </w:tcPr>
          <w:p>
            <w:pPr>
              <w:spacing w:before="100" w:after="206" w:line="280" w:lineRule="atLeast"/>
              <w:jc w:val="center"/>
              <w:textAlignment w:val="center"/>
              <w:rPr>
                <w:rFonts w:ascii="??_GB2312" w:hAnsi="??_GB2312"/>
                <w:color w:val="000000"/>
                <w:sz w:val="24"/>
                <w:szCs w:val="24"/>
              </w:rPr>
            </w:pPr>
            <w:r>
              <w:rPr>
                <w:rFonts w:hint="eastAsia" w:ascii="??_GB2312" w:hAnsi="??_GB2312"/>
                <w:color w:val="000000"/>
                <w:sz w:val="24"/>
                <w:szCs w:val="24"/>
              </w:rPr>
              <w:t>中等</w:t>
            </w:r>
          </w:p>
        </w:tc>
      </w:tr>
      <w:tr>
        <w:tblPrEx>
          <w:tblCellMar>
            <w:top w:w="0" w:type="dxa"/>
            <w:left w:w="15" w:type="dxa"/>
            <w:bottom w:w="0" w:type="dxa"/>
            <w:right w:w="15" w:type="dxa"/>
          </w:tblCellMar>
        </w:tblPrEx>
        <w:trPr>
          <w:trHeight w:val="454" w:hRule="atLeast"/>
          <w:jc w:val="center"/>
        </w:trPr>
        <w:tc>
          <w:tcPr>
            <w:tcW w:w="1441" w:type="dxa"/>
            <w:vMerge w:val="continue"/>
            <w:tcBorders>
              <w:top w:val="nil"/>
              <w:left w:val="single" w:color="000000" w:sz="4" w:space="0"/>
              <w:bottom w:val="single" w:color="000000" w:sz="4" w:space="0"/>
              <w:right w:val="single" w:color="000000" w:sz="4" w:space="0"/>
            </w:tcBorders>
            <w:vAlign w:val="center"/>
          </w:tcPr>
          <w:p>
            <w:pPr>
              <w:widowControl/>
              <w:jc w:val="left"/>
              <w:rPr>
                <w:rFonts w:ascii="??_GB2312" w:hAnsi="??_GB2312"/>
                <w:color w:val="000000"/>
                <w:sz w:val="24"/>
                <w:szCs w:val="24"/>
              </w:rPr>
            </w:pPr>
          </w:p>
        </w:tc>
        <w:tc>
          <w:tcPr>
            <w:tcW w:w="1549" w:type="dxa"/>
            <w:gridSpan w:val="4"/>
            <w:vMerge w:val="continue"/>
            <w:tcBorders>
              <w:top w:val="nil"/>
              <w:left w:val="nil"/>
              <w:bottom w:val="single" w:color="000000" w:sz="4" w:space="0"/>
              <w:right w:val="single" w:color="000000" w:sz="4" w:space="0"/>
            </w:tcBorders>
            <w:vAlign w:val="center"/>
          </w:tcPr>
          <w:p>
            <w:pPr>
              <w:widowControl/>
              <w:jc w:val="left"/>
              <w:rPr>
                <w:rFonts w:ascii="??_GB2312" w:hAnsi="??_GB2312"/>
                <w:color w:val="000000"/>
                <w:sz w:val="24"/>
                <w:szCs w:val="24"/>
              </w:rPr>
            </w:pPr>
          </w:p>
        </w:tc>
        <w:tc>
          <w:tcPr>
            <w:tcW w:w="1417" w:type="dxa"/>
            <w:gridSpan w:val="2"/>
            <w:vMerge w:val="continue"/>
            <w:tcBorders>
              <w:top w:val="nil"/>
              <w:left w:val="nil"/>
              <w:bottom w:val="single" w:color="000000" w:sz="4" w:space="0"/>
              <w:right w:val="single" w:color="000000" w:sz="4" w:space="0"/>
            </w:tcBorders>
            <w:vAlign w:val="center"/>
          </w:tcPr>
          <w:p>
            <w:pPr>
              <w:widowControl/>
              <w:jc w:val="left"/>
              <w:rPr>
                <w:rFonts w:ascii="??_GB2312" w:hAnsi="??_GB2312"/>
                <w:color w:val="000000"/>
                <w:sz w:val="24"/>
                <w:szCs w:val="24"/>
              </w:rPr>
            </w:pPr>
          </w:p>
        </w:tc>
        <w:tc>
          <w:tcPr>
            <w:tcW w:w="2709" w:type="dxa"/>
            <w:gridSpan w:val="4"/>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_GB2312" w:hAnsi="??_GB2312"/>
                <w:color w:val="000000"/>
                <w:sz w:val="24"/>
                <w:szCs w:val="24"/>
              </w:rPr>
            </w:pPr>
            <w:r>
              <w:rPr>
                <w:rFonts w:ascii="??_GB2312" w:hAnsi="??_GB2312"/>
                <w:color w:val="000000"/>
                <w:sz w:val="24"/>
                <w:szCs w:val="24"/>
              </w:rPr>
              <w:t>……</w:t>
            </w:r>
          </w:p>
        </w:tc>
        <w:tc>
          <w:tcPr>
            <w:tcW w:w="2684" w:type="dxa"/>
            <w:gridSpan w:val="6"/>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b/>
                <w:bCs/>
                <w:color w:val="000000"/>
                <w:sz w:val="24"/>
                <w:szCs w:val="24"/>
              </w:rPr>
            </w:pPr>
          </w:p>
        </w:tc>
      </w:tr>
      <w:tr>
        <w:tblPrEx>
          <w:tblCellMar>
            <w:top w:w="0" w:type="dxa"/>
            <w:left w:w="15" w:type="dxa"/>
            <w:bottom w:w="0" w:type="dxa"/>
            <w:right w:w="15" w:type="dxa"/>
          </w:tblCellMar>
        </w:tblPrEx>
        <w:trPr>
          <w:trHeight w:val="454" w:hRule="atLeast"/>
          <w:jc w:val="center"/>
        </w:trPr>
        <w:tc>
          <w:tcPr>
            <w:tcW w:w="1441" w:type="dxa"/>
            <w:vMerge w:val="continue"/>
            <w:tcBorders>
              <w:top w:val="nil"/>
              <w:left w:val="single" w:color="000000" w:sz="4" w:space="0"/>
              <w:bottom w:val="single" w:color="000000" w:sz="4" w:space="0"/>
              <w:right w:val="single" w:color="000000" w:sz="4" w:space="0"/>
            </w:tcBorders>
            <w:vAlign w:val="center"/>
          </w:tcPr>
          <w:p>
            <w:pPr>
              <w:widowControl/>
              <w:jc w:val="left"/>
              <w:rPr>
                <w:rFonts w:ascii="??_GB2312" w:hAnsi="??_GB2312"/>
                <w:color w:val="000000"/>
                <w:sz w:val="24"/>
                <w:szCs w:val="24"/>
              </w:rPr>
            </w:pPr>
          </w:p>
        </w:tc>
        <w:tc>
          <w:tcPr>
            <w:tcW w:w="1549" w:type="dxa"/>
            <w:gridSpan w:val="4"/>
            <w:vMerge w:val="continue"/>
            <w:tcBorders>
              <w:top w:val="nil"/>
              <w:left w:val="nil"/>
              <w:bottom w:val="single" w:color="000000" w:sz="4" w:space="0"/>
              <w:right w:val="single" w:color="000000" w:sz="4" w:space="0"/>
            </w:tcBorders>
            <w:vAlign w:val="center"/>
          </w:tcPr>
          <w:p>
            <w:pPr>
              <w:widowControl/>
              <w:jc w:val="left"/>
              <w:rPr>
                <w:rFonts w:ascii="??_GB2312" w:hAnsi="??_GB2312"/>
                <w:color w:val="000000"/>
                <w:sz w:val="24"/>
                <w:szCs w:val="24"/>
              </w:rPr>
            </w:pPr>
          </w:p>
        </w:tc>
        <w:tc>
          <w:tcPr>
            <w:tcW w:w="1417" w:type="dxa"/>
            <w:gridSpan w:val="2"/>
            <w:vMerge w:val="restart"/>
            <w:tcBorders>
              <w:top w:val="nil"/>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数量指标</w:t>
            </w:r>
          </w:p>
        </w:tc>
        <w:tc>
          <w:tcPr>
            <w:tcW w:w="2709" w:type="dxa"/>
            <w:gridSpan w:val="4"/>
            <w:tcBorders>
              <w:top w:val="single" w:color="000000" w:sz="4" w:space="0"/>
              <w:left w:val="nil"/>
              <w:bottom w:val="single" w:color="000000" w:sz="4" w:space="0"/>
              <w:right w:val="single" w:color="000000" w:sz="4" w:space="0"/>
            </w:tcBorders>
            <w:vAlign w:val="center"/>
          </w:tcPr>
          <w:p>
            <w:pPr>
              <w:spacing w:before="100" w:after="206" w:line="280" w:lineRule="atLeast"/>
              <w:jc w:val="center"/>
              <w:textAlignment w:val="center"/>
              <w:rPr>
                <w:rFonts w:ascii="??_GB2312" w:hAnsi="??_GB2312"/>
                <w:color w:val="000000"/>
                <w:sz w:val="24"/>
                <w:szCs w:val="24"/>
              </w:rPr>
            </w:pPr>
            <w:r>
              <w:rPr>
                <w:rFonts w:hint="eastAsia" w:ascii="??_GB2312" w:hAnsi="??_GB2312"/>
                <w:color w:val="000000"/>
                <w:sz w:val="24"/>
                <w:szCs w:val="24"/>
              </w:rPr>
              <w:t>财政供养人员</w:t>
            </w:r>
          </w:p>
        </w:tc>
        <w:tc>
          <w:tcPr>
            <w:tcW w:w="2684" w:type="dxa"/>
            <w:gridSpan w:val="6"/>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b/>
                <w:bCs/>
                <w:color w:val="000000"/>
                <w:sz w:val="24"/>
                <w:szCs w:val="24"/>
              </w:rPr>
            </w:pPr>
          </w:p>
        </w:tc>
      </w:tr>
      <w:tr>
        <w:tblPrEx>
          <w:tblCellMar>
            <w:top w:w="0" w:type="dxa"/>
            <w:left w:w="15" w:type="dxa"/>
            <w:bottom w:w="0" w:type="dxa"/>
            <w:right w:w="15" w:type="dxa"/>
          </w:tblCellMar>
        </w:tblPrEx>
        <w:trPr>
          <w:trHeight w:val="461" w:hRule="atLeast"/>
          <w:jc w:val="center"/>
        </w:trPr>
        <w:tc>
          <w:tcPr>
            <w:tcW w:w="1441" w:type="dxa"/>
            <w:vMerge w:val="continue"/>
            <w:tcBorders>
              <w:top w:val="nil"/>
              <w:left w:val="single" w:color="000000" w:sz="4" w:space="0"/>
              <w:bottom w:val="single" w:color="000000" w:sz="4" w:space="0"/>
              <w:right w:val="single" w:color="000000" w:sz="4" w:space="0"/>
            </w:tcBorders>
            <w:vAlign w:val="center"/>
          </w:tcPr>
          <w:p>
            <w:pPr>
              <w:widowControl/>
              <w:jc w:val="left"/>
              <w:rPr>
                <w:rFonts w:ascii="??_GB2312" w:hAnsi="??_GB2312"/>
                <w:color w:val="000000"/>
                <w:sz w:val="24"/>
                <w:szCs w:val="24"/>
              </w:rPr>
            </w:pPr>
          </w:p>
        </w:tc>
        <w:tc>
          <w:tcPr>
            <w:tcW w:w="1549" w:type="dxa"/>
            <w:gridSpan w:val="4"/>
            <w:vMerge w:val="continue"/>
            <w:tcBorders>
              <w:top w:val="nil"/>
              <w:left w:val="nil"/>
              <w:bottom w:val="single" w:color="000000" w:sz="4" w:space="0"/>
              <w:right w:val="single" w:color="000000" w:sz="4" w:space="0"/>
            </w:tcBorders>
            <w:vAlign w:val="center"/>
          </w:tcPr>
          <w:p>
            <w:pPr>
              <w:widowControl/>
              <w:jc w:val="left"/>
              <w:rPr>
                <w:rFonts w:ascii="??_GB2312" w:hAnsi="??_GB2312"/>
                <w:color w:val="000000"/>
                <w:sz w:val="24"/>
                <w:szCs w:val="24"/>
              </w:rPr>
            </w:pPr>
          </w:p>
        </w:tc>
        <w:tc>
          <w:tcPr>
            <w:tcW w:w="1417" w:type="dxa"/>
            <w:gridSpan w:val="2"/>
            <w:vMerge w:val="continue"/>
            <w:tcBorders>
              <w:top w:val="nil"/>
              <w:left w:val="nil"/>
              <w:bottom w:val="single" w:color="000000" w:sz="4" w:space="0"/>
              <w:right w:val="single" w:color="000000" w:sz="4" w:space="0"/>
            </w:tcBorders>
            <w:vAlign w:val="center"/>
          </w:tcPr>
          <w:p>
            <w:pPr>
              <w:widowControl/>
              <w:jc w:val="left"/>
              <w:rPr>
                <w:rFonts w:ascii="??_GB2312" w:hAnsi="??_GB2312"/>
                <w:color w:val="000000"/>
                <w:sz w:val="24"/>
                <w:szCs w:val="24"/>
              </w:rPr>
            </w:pPr>
          </w:p>
        </w:tc>
        <w:tc>
          <w:tcPr>
            <w:tcW w:w="2709" w:type="dxa"/>
            <w:gridSpan w:val="4"/>
            <w:tcBorders>
              <w:top w:val="single" w:color="000000" w:sz="4" w:space="0"/>
              <w:left w:val="nil"/>
              <w:bottom w:val="single" w:color="000000" w:sz="4" w:space="0"/>
              <w:right w:val="single" w:color="000000" w:sz="4" w:space="0"/>
            </w:tcBorders>
            <w:vAlign w:val="center"/>
          </w:tcPr>
          <w:p>
            <w:pPr>
              <w:spacing w:before="100" w:after="206" w:line="280" w:lineRule="atLeast"/>
              <w:jc w:val="center"/>
              <w:textAlignment w:val="center"/>
              <w:rPr>
                <w:rFonts w:ascii="??_GB2312" w:hAnsi="??_GB2312"/>
                <w:color w:val="000000"/>
                <w:sz w:val="24"/>
                <w:szCs w:val="24"/>
              </w:rPr>
            </w:pPr>
            <w:r>
              <w:rPr>
                <w:rFonts w:hint="eastAsia" w:ascii="??_GB2312" w:hAnsi="??_GB2312"/>
                <w:color w:val="000000"/>
                <w:sz w:val="24"/>
                <w:szCs w:val="24"/>
              </w:rPr>
              <w:t>在职人员数</w:t>
            </w:r>
          </w:p>
        </w:tc>
        <w:tc>
          <w:tcPr>
            <w:tcW w:w="2684" w:type="dxa"/>
            <w:gridSpan w:val="6"/>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b/>
                <w:bCs/>
                <w:color w:val="000000"/>
                <w:sz w:val="24"/>
                <w:szCs w:val="24"/>
              </w:rPr>
            </w:pPr>
          </w:p>
        </w:tc>
      </w:tr>
      <w:tr>
        <w:tblPrEx>
          <w:tblCellMar>
            <w:top w:w="0" w:type="dxa"/>
            <w:left w:w="15" w:type="dxa"/>
            <w:bottom w:w="0" w:type="dxa"/>
            <w:right w:w="15" w:type="dxa"/>
          </w:tblCellMar>
        </w:tblPrEx>
        <w:trPr>
          <w:trHeight w:val="461" w:hRule="atLeast"/>
          <w:jc w:val="center"/>
        </w:trPr>
        <w:tc>
          <w:tcPr>
            <w:tcW w:w="1441" w:type="dxa"/>
            <w:vMerge w:val="continue"/>
            <w:tcBorders>
              <w:top w:val="nil"/>
              <w:left w:val="single" w:color="000000" w:sz="4" w:space="0"/>
              <w:bottom w:val="single" w:color="000000" w:sz="4" w:space="0"/>
              <w:right w:val="single" w:color="000000" w:sz="4" w:space="0"/>
            </w:tcBorders>
            <w:vAlign w:val="center"/>
          </w:tcPr>
          <w:p>
            <w:pPr>
              <w:widowControl/>
              <w:jc w:val="left"/>
              <w:rPr>
                <w:rFonts w:ascii="??_GB2312" w:hAnsi="??_GB2312"/>
                <w:color w:val="000000"/>
                <w:sz w:val="24"/>
                <w:szCs w:val="24"/>
              </w:rPr>
            </w:pPr>
          </w:p>
        </w:tc>
        <w:tc>
          <w:tcPr>
            <w:tcW w:w="1549" w:type="dxa"/>
            <w:gridSpan w:val="4"/>
            <w:vMerge w:val="continue"/>
            <w:tcBorders>
              <w:top w:val="nil"/>
              <w:left w:val="nil"/>
              <w:bottom w:val="single" w:color="000000" w:sz="4" w:space="0"/>
              <w:right w:val="single" w:color="000000" w:sz="4" w:space="0"/>
            </w:tcBorders>
            <w:vAlign w:val="center"/>
          </w:tcPr>
          <w:p>
            <w:pPr>
              <w:widowControl/>
              <w:jc w:val="left"/>
              <w:rPr>
                <w:rFonts w:ascii="??_GB2312" w:hAnsi="??_GB2312"/>
                <w:color w:val="000000"/>
                <w:sz w:val="24"/>
                <w:szCs w:val="24"/>
              </w:rPr>
            </w:pPr>
          </w:p>
        </w:tc>
        <w:tc>
          <w:tcPr>
            <w:tcW w:w="1417" w:type="dxa"/>
            <w:gridSpan w:val="2"/>
            <w:vMerge w:val="continue"/>
            <w:tcBorders>
              <w:top w:val="nil"/>
              <w:left w:val="nil"/>
              <w:bottom w:val="single" w:color="000000" w:sz="4" w:space="0"/>
              <w:right w:val="single" w:color="000000" w:sz="4" w:space="0"/>
            </w:tcBorders>
            <w:vAlign w:val="center"/>
          </w:tcPr>
          <w:p>
            <w:pPr>
              <w:widowControl/>
              <w:jc w:val="left"/>
              <w:rPr>
                <w:rFonts w:ascii="??_GB2312" w:hAnsi="??_GB2312"/>
                <w:color w:val="000000"/>
                <w:sz w:val="24"/>
                <w:szCs w:val="24"/>
              </w:rPr>
            </w:pPr>
          </w:p>
        </w:tc>
        <w:tc>
          <w:tcPr>
            <w:tcW w:w="2709" w:type="dxa"/>
            <w:gridSpan w:val="4"/>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_GB2312" w:hAnsi="??_GB2312"/>
                <w:color w:val="000000"/>
                <w:sz w:val="24"/>
                <w:szCs w:val="24"/>
              </w:rPr>
            </w:pPr>
            <w:r>
              <w:rPr>
                <w:rFonts w:ascii="??_GB2312" w:hAnsi="??_GB2312"/>
                <w:color w:val="000000"/>
                <w:sz w:val="24"/>
                <w:szCs w:val="24"/>
              </w:rPr>
              <w:t>……</w:t>
            </w:r>
          </w:p>
        </w:tc>
        <w:tc>
          <w:tcPr>
            <w:tcW w:w="2684" w:type="dxa"/>
            <w:gridSpan w:val="6"/>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b/>
                <w:bCs/>
                <w:color w:val="000000"/>
                <w:sz w:val="24"/>
                <w:szCs w:val="24"/>
              </w:rPr>
            </w:pPr>
          </w:p>
        </w:tc>
      </w:tr>
      <w:tr>
        <w:tblPrEx>
          <w:tblCellMar>
            <w:top w:w="0" w:type="dxa"/>
            <w:left w:w="15" w:type="dxa"/>
            <w:bottom w:w="0" w:type="dxa"/>
            <w:right w:w="15" w:type="dxa"/>
          </w:tblCellMar>
        </w:tblPrEx>
        <w:trPr>
          <w:trHeight w:val="454" w:hRule="atLeast"/>
          <w:jc w:val="center"/>
        </w:trPr>
        <w:tc>
          <w:tcPr>
            <w:tcW w:w="1441" w:type="dxa"/>
            <w:vMerge w:val="continue"/>
            <w:tcBorders>
              <w:top w:val="nil"/>
              <w:left w:val="single" w:color="000000" w:sz="4" w:space="0"/>
              <w:bottom w:val="single" w:color="000000" w:sz="4" w:space="0"/>
              <w:right w:val="single" w:color="000000" w:sz="4" w:space="0"/>
            </w:tcBorders>
            <w:vAlign w:val="center"/>
          </w:tcPr>
          <w:p>
            <w:pPr>
              <w:widowControl/>
              <w:jc w:val="left"/>
              <w:rPr>
                <w:rFonts w:ascii="??_GB2312" w:hAnsi="??_GB2312"/>
                <w:color w:val="000000"/>
                <w:sz w:val="24"/>
                <w:szCs w:val="24"/>
              </w:rPr>
            </w:pPr>
          </w:p>
        </w:tc>
        <w:tc>
          <w:tcPr>
            <w:tcW w:w="1549" w:type="dxa"/>
            <w:gridSpan w:val="4"/>
            <w:vMerge w:val="continue"/>
            <w:tcBorders>
              <w:top w:val="nil"/>
              <w:left w:val="nil"/>
              <w:bottom w:val="single" w:color="000000" w:sz="4" w:space="0"/>
              <w:right w:val="single" w:color="000000" w:sz="4" w:space="0"/>
            </w:tcBorders>
            <w:vAlign w:val="center"/>
          </w:tcPr>
          <w:p>
            <w:pPr>
              <w:widowControl/>
              <w:jc w:val="left"/>
              <w:rPr>
                <w:rFonts w:ascii="??_GB2312" w:hAnsi="??_GB2312"/>
                <w:color w:val="000000"/>
                <w:sz w:val="24"/>
                <w:szCs w:val="24"/>
              </w:rPr>
            </w:pPr>
          </w:p>
        </w:tc>
        <w:tc>
          <w:tcPr>
            <w:tcW w:w="1417" w:type="dxa"/>
            <w:gridSpan w:val="2"/>
            <w:vMerge w:val="restart"/>
            <w:tcBorders>
              <w:top w:val="nil"/>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时效指标</w:t>
            </w:r>
          </w:p>
        </w:tc>
        <w:tc>
          <w:tcPr>
            <w:tcW w:w="2709" w:type="dxa"/>
            <w:gridSpan w:val="4"/>
            <w:tcBorders>
              <w:top w:val="single" w:color="000000" w:sz="4" w:space="0"/>
              <w:left w:val="nil"/>
              <w:bottom w:val="single" w:color="000000" w:sz="4" w:space="0"/>
              <w:right w:val="single" w:color="000000" w:sz="4" w:space="0"/>
            </w:tcBorders>
            <w:vAlign w:val="center"/>
          </w:tcPr>
          <w:p>
            <w:pPr>
              <w:spacing w:before="100" w:after="206" w:line="280" w:lineRule="atLeast"/>
              <w:jc w:val="center"/>
              <w:textAlignment w:val="center"/>
              <w:rPr>
                <w:rFonts w:ascii="??_GB2312" w:hAnsi="??_GB2312"/>
                <w:color w:val="000000"/>
                <w:sz w:val="24"/>
                <w:szCs w:val="24"/>
              </w:rPr>
            </w:pPr>
            <w:r>
              <w:rPr>
                <w:rFonts w:ascii="??_GB2312" w:hAnsi="??_GB2312"/>
                <w:color w:val="000000"/>
                <w:sz w:val="24"/>
                <w:szCs w:val="24"/>
              </w:rPr>
              <w:t>201</w:t>
            </w:r>
            <w:r>
              <w:rPr>
                <w:rFonts w:hint="eastAsia" w:ascii="??_GB2312" w:hAnsi="??_GB2312"/>
                <w:color w:val="000000"/>
                <w:sz w:val="24"/>
                <w:szCs w:val="24"/>
                <w:lang w:val="en-US" w:eastAsia="zh-CN"/>
              </w:rPr>
              <w:t>8</w:t>
            </w:r>
            <w:r>
              <w:rPr>
                <w:rFonts w:hint="eastAsia" w:ascii="??_GB2312" w:hAnsi="??_GB2312"/>
                <w:color w:val="000000"/>
                <w:sz w:val="24"/>
                <w:szCs w:val="24"/>
              </w:rPr>
              <w:t>年度</w:t>
            </w:r>
          </w:p>
        </w:tc>
        <w:tc>
          <w:tcPr>
            <w:tcW w:w="2684" w:type="dxa"/>
            <w:gridSpan w:val="6"/>
            <w:tcBorders>
              <w:top w:val="single" w:color="000000" w:sz="4" w:space="0"/>
              <w:left w:val="nil"/>
              <w:bottom w:val="single" w:color="000000" w:sz="4" w:space="0"/>
              <w:right w:val="single" w:color="000000" w:sz="4" w:space="0"/>
            </w:tcBorders>
            <w:vAlign w:val="center"/>
          </w:tcPr>
          <w:p>
            <w:pPr>
              <w:spacing w:before="100" w:after="206" w:line="280" w:lineRule="atLeast"/>
              <w:jc w:val="center"/>
              <w:textAlignment w:val="center"/>
              <w:rPr>
                <w:rFonts w:ascii="??_GB2312" w:hAnsi="??_GB2312"/>
                <w:color w:val="000000"/>
                <w:sz w:val="24"/>
                <w:szCs w:val="24"/>
              </w:rPr>
            </w:pPr>
            <w:r>
              <w:rPr>
                <w:rFonts w:ascii="??_GB2312" w:hAnsi="??_GB2312"/>
                <w:color w:val="000000"/>
                <w:sz w:val="24"/>
                <w:szCs w:val="24"/>
              </w:rPr>
              <w:t>1-12</w:t>
            </w:r>
            <w:r>
              <w:rPr>
                <w:rFonts w:hint="eastAsia" w:ascii="??_GB2312" w:hAnsi="??_GB2312"/>
                <w:color w:val="000000"/>
                <w:sz w:val="24"/>
                <w:szCs w:val="24"/>
              </w:rPr>
              <w:t>月</w:t>
            </w:r>
          </w:p>
        </w:tc>
      </w:tr>
      <w:tr>
        <w:tblPrEx>
          <w:tblCellMar>
            <w:top w:w="0" w:type="dxa"/>
            <w:left w:w="15" w:type="dxa"/>
            <w:bottom w:w="0" w:type="dxa"/>
            <w:right w:w="15" w:type="dxa"/>
          </w:tblCellMar>
        </w:tblPrEx>
        <w:trPr>
          <w:trHeight w:val="454" w:hRule="atLeast"/>
          <w:jc w:val="center"/>
        </w:trPr>
        <w:tc>
          <w:tcPr>
            <w:tcW w:w="1441" w:type="dxa"/>
            <w:vMerge w:val="continue"/>
            <w:tcBorders>
              <w:top w:val="nil"/>
              <w:left w:val="single" w:color="000000" w:sz="4" w:space="0"/>
              <w:bottom w:val="single" w:color="000000" w:sz="4" w:space="0"/>
              <w:right w:val="single" w:color="000000" w:sz="4" w:space="0"/>
            </w:tcBorders>
            <w:vAlign w:val="center"/>
          </w:tcPr>
          <w:p>
            <w:pPr>
              <w:widowControl/>
              <w:jc w:val="left"/>
              <w:rPr>
                <w:rFonts w:ascii="??_GB2312" w:hAnsi="??_GB2312"/>
                <w:color w:val="000000"/>
                <w:sz w:val="24"/>
                <w:szCs w:val="24"/>
              </w:rPr>
            </w:pPr>
          </w:p>
        </w:tc>
        <w:tc>
          <w:tcPr>
            <w:tcW w:w="1549" w:type="dxa"/>
            <w:gridSpan w:val="4"/>
            <w:vMerge w:val="continue"/>
            <w:tcBorders>
              <w:top w:val="nil"/>
              <w:left w:val="nil"/>
              <w:bottom w:val="single" w:color="000000" w:sz="4" w:space="0"/>
              <w:right w:val="single" w:color="000000" w:sz="4" w:space="0"/>
            </w:tcBorders>
            <w:vAlign w:val="center"/>
          </w:tcPr>
          <w:p>
            <w:pPr>
              <w:widowControl/>
              <w:jc w:val="left"/>
              <w:rPr>
                <w:rFonts w:ascii="??_GB2312" w:hAnsi="??_GB2312"/>
                <w:color w:val="000000"/>
                <w:sz w:val="24"/>
                <w:szCs w:val="24"/>
              </w:rPr>
            </w:pPr>
          </w:p>
        </w:tc>
        <w:tc>
          <w:tcPr>
            <w:tcW w:w="1417" w:type="dxa"/>
            <w:gridSpan w:val="2"/>
            <w:vMerge w:val="continue"/>
            <w:tcBorders>
              <w:top w:val="nil"/>
              <w:left w:val="nil"/>
              <w:bottom w:val="single" w:color="000000" w:sz="4" w:space="0"/>
              <w:right w:val="single" w:color="000000" w:sz="4" w:space="0"/>
            </w:tcBorders>
            <w:vAlign w:val="center"/>
          </w:tcPr>
          <w:p>
            <w:pPr>
              <w:widowControl/>
              <w:jc w:val="left"/>
              <w:rPr>
                <w:rFonts w:ascii="??_GB2312" w:hAnsi="??_GB2312"/>
                <w:color w:val="000000"/>
                <w:sz w:val="24"/>
                <w:szCs w:val="24"/>
              </w:rPr>
            </w:pPr>
          </w:p>
        </w:tc>
        <w:tc>
          <w:tcPr>
            <w:tcW w:w="2709" w:type="dxa"/>
            <w:gridSpan w:val="4"/>
            <w:tcBorders>
              <w:top w:val="single" w:color="000000" w:sz="4" w:space="0"/>
              <w:left w:val="nil"/>
              <w:bottom w:val="single" w:color="000000" w:sz="4" w:space="0"/>
              <w:right w:val="single" w:color="000000" w:sz="4" w:space="0"/>
            </w:tcBorders>
            <w:vAlign w:val="center"/>
          </w:tcPr>
          <w:p>
            <w:pPr>
              <w:spacing w:before="100" w:after="206" w:line="280" w:lineRule="atLeast"/>
              <w:jc w:val="center"/>
              <w:textAlignment w:val="center"/>
              <w:rPr>
                <w:rFonts w:ascii="??_GB2312" w:hAnsi="??_GB2312"/>
                <w:color w:val="000000"/>
                <w:sz w:val="24"/>
                <w:szCs w:val="24"/>
              </w:rPr>
            </w:pPr>
            <w:r>
              <w:rPr>
                <w:rFonts w:ascii="??_GB2312" w:hAnsi="??_GB2312"/>
                <w:color w:val="000000"/>
                <w:sz w:val="24"/>
                <w:szCs w:val="24"/>
              </w:rPr>
              <w:t>201</w:t>
            </w:r>
            <w:r>
              <w:rPr>
                <w:rFonts w:hint="eastAsia" w:ascii="??_GB2312" w:hAnsi="??_GB2312"/>
                <w:color w:val="000000"/>
                <w:sz w:val="24"/>
                <w:szCs w:val="24"/>
                <w:lang w:val="en-US" w:eastAsia="zh-CN"/>
              </w:rPr>
              <w:t>8</w:t>
            </w:r>
            <w:r>
              <w:rPr>
                <w:rFonts w:hint="eastAsia" w:ascii="??_GB2312" w:hAnsi="??_GB2312"/>
                <w:color w:val="000000"/>
                <w:sz w:val="24"/>
                <w:szCs w:val="24"/>
              </w:rPr>
              <w:t>年度</w:t>
            </w:r>
          </w:p>
        </w:tc>
        <w:tc>
          <w:tcPr>
            <w:tcW w:w="2684" w:type="dxa"/>
            <w:gridSpan w:val="6"/>
            <w:tcBorders>
              <w:top w:val="single" w:color="000000" w:sz="4" w:space="0"/>
              <w:left w:val="nil"/>
              <w:bottom w:val="single" w:color="000000" w:sz="4" w:space="0"/>
              <w:right w:val="single" w:color="000000" w:sz="4" w:space="0"/>
            </w:tcBorders>
            <w:vAlign w:val="center"/>
          </w:tcPr>
          <w:p>
            <w:pPr>
              <w:spacing w:before="100" w:after="206" w:line="280" w:lineRule="atLeast"/>
              <w:jc w:val="center"/>
              <w:textAlignment w:val="center"/>
              <w:rPr>
                <w:rFonts w:ascii="??_GB2312" w:hAnsi="??_GB2312"/>
                <w:color w:val="000000"/>
                <w:sz w:val="24"/>
                <w:szCs w:val="24"/>
              </w:rPr>
            </w:pPr>
            <w:r>
              <w:rPr>
                <w:rFonts w:ascii="??_GB2312" w:hAnsi="??_GB2312"/>
                <w:color w:val="000000"/>
                <w:sz w:val="24"/>
                <w:szCs w:val="24"/>
              </w:rPr>
              <w:t>1-12</w:t>
            </w:r>
            <w:r>
              <w:rPr>
                <w:rFonts w:hint="eastAsia" w:ascii="??_GB2312" w:hAnsi="??_GB2312"/>
                <w:color w:val="000000"/>
                <w:sz w:val="24"/>
                <w:szCs w:val="24"/>
              </w:rPr>
              <w:t>月</w:t>
            </w:r>
          </w:p>
        </w:tc>
      </w:tr>
      <w:tr>
        <w:tblPrEx>
          <w:tblCellMar>
            <w:top w:w="0" w:type="dxa"/>
            <w:left w:w="15" w:type="dxa"/>
            <w:bottom w:w="0" w:type="dxa"/>
            <w:right w:w="15" w:type="dxa"/>
          </w:tblCellMar>
        </w:tblPrEx>
        <w:trPr>
          <w:trHeight w:val="454" w:hRule="atLeast"/>
          <w:jc w:val="center"/>
        </w:trPr>
        <w:tc>
          <w:tcPr>
            <w:tcW w:w="1441" w:type="dxa"/>
            <w:vMerge w:val="continue"/>
            <w:tcBorders>
              <w:top w:val="nil"/>
              <w:left w:val="single" w:color="000000" w:sz="4" w:space="0"/>
              <w:bottom w:val="single" w:color="000000" w:sz="4" w:space="0"/>
              <w:right w:val="single" w:color="000000" w:sz="4" w:space="0"/>
            </w:tcBorders>
            <w:vAlign w:val="center"/>
          </w:tcPr>
          <w:p>
            <w:pPr>
              <w:widowControl/>
              <w:jc w:val="left"/>
              <w:rPr>
                <w:rFonts w:ascii="??_GB2312" w:hAnsi="??_GB2312"/>
                <w:color w:val="000000"/>
                <w:sz w:val="24"/>
                <w:szCs w:val="24"/>
              </w:rPr>
            </w:pPr>
          </w:p>
        </w:tc>
        <w:tc>
          <w:tcPr>
            <w:tcW w:w="1549" w:type="dxa"/>
            <w:gridSpan w:val="4"/>
            <w:vMerge w:val="continue"/>
            <w:tcBorders>
              <w:top w:val="nil"/>
              <w:left w:val="nil"/>
              <w:bottom w:val="single" w:color="000000" w:sz="4" w:space="0"/>
              <w:right w:val="single" w:color="000000" w:sz="4" w:space="0"/>
            </w:tcBorders>
            <w:vAlign w:val="center"/>
          </w:tcPr>
          <w:p>
            <w:pPr>
              <w:widowControl/>
              <w:jc w:val="left"/>
              <w:rPr>
                <w:rFonts w:ascii="??_GB2312" w:hAnsi="??_GB2312"/>
                <w:color w:val="000000"/>
                <w:sz w:val="24"/>
                <w:szCs w:val="24"/>
              </w:rPr>
            </w:pPr>
          </w:p>
        </w:tc>
        <w:tc>
          <w:tcPr>
            <w:tcW w:w="1417" w:type="dxa"/>
            <w:gridSpan w:val="2"/>
            <w:vMerge w:val="continue"/>
            <w:tcBorders>
              <w:top w:val="nil"/>
              <w:left w:val="nil"/>
              <w:bottom w:val="single" w:color="000000" w:sz="4" w:space="0"/>
              <w:right w:val="single" w:color="000000" w:sz="4" w:space="0"/>
            </w:tcBorders>
            <w:vAlign w:val="center"/>
          </w:tcPr>
          <w:p>
            <w:pPr>
              <w:widowControl/>
              <w:jc w:val="left"/>
              <w:rPr>
                <w:rFonts w:ascii="??_GB2312" w:hAnsi="??_GB2312"/>
                <w:color w:val="000000"/>
                <w:sz w:val="24"/>
                <w:szCs w:val="24"/>
              </w:rPr>
            </w:pPr>
          </w:p>
        </w:tc>
        <w:tc>
          <w:tcPr>
            <w:tcW w:w="2709" w:type="dxa"/>
            <w:gridSpan w:val="4"/>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_GB2312" w:hAnsi="??_GB2312"/>
                <w:color w:val="000000"/>
                <w:sz w:val="24"/>
                <w:szCs w:val="24"/>
              </w:rPr>
            </w:pPr>
            <w:r>
              <w:rPr>
                <w:rFonts w:ascii="??_GB2312" w:hAnsi="??_GB2312"/>
                <w:color w:val="000000"/>
                <w:sz w:val="24"/>
                <w:szCs w:val="24"/>
              </w:rPr>
              <w:t>……</w:t>
            </w:r>
          </w:p>
        </w:tc>
        <w:tc>
          <w:tcPr>
            <w:tcW w:w="2684" w:type="dxa"/>
            <w:gridSpan w:val="6"/>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b/>
                <w:bCs/>
                <w:color w:val="000000"/>
                <w:sz w:val="24"/>
                <w:szCs w:val="24"/>
              </w:rPr>
            </w:pPr>
          </w:p>
        </w:tc>
      </w:tr>
      <w:tr>
        <w:tblPrEx>
          <w:tblCellMar>
            <w:top w:w="0" w:type="dxa"/>
            <w:left w:w="15" w:type="dxa"/>
            <w:bottom w:w="0" w:type="dxa"/>
            <w:right w:w="15" w:type="dxa"/>
          </w:tblCellMar>
        </w:tblPrEx>
        <w:trPr>
          <w:trHeight w:val="454" w:hRule="atLeast"/>
          <w:jc w:val="center"/>
        </w:trPr>
        <w:tc>
          <w:tcPr>
            <w:tcW w:w="1441" w:type="dxa"/>
            <w:vMerge w:val="continue"/>
            <w:tcBorders>
              <w:top w:val="nil"/>
              <w:left w:val="single" w:color="000000" w:sz="4" w:space="0"/>
              <w:bottom w:val="single" w:color="000000" w:sz="4" w:space="0"/>
              <w:right w:val="single" w:color="000000" w:sz="4" w:space="0"/>
            </w:tcBorders>
            <w:vAlign w:val="center"/>
          </w:tcPr>
          <w:p>
            <w:pPr>
              <w:widowControl/>
              <w:jc w:val="left"/>
              <w:rPr>
                <w:rFonts w:ascii="??_GB2312" w:hAnsi="??_GB2312"/>
                <w:color w:val="000000"/>
                <w:sz w:val="24"/>
                <w:szCs w:val="24"/>
              </w:rPr>
            </w:pPr>
          </w:p>
        </w:tc>
        <w:tc>
          <w:tcPr>
            <w:tcW w:w="1549" w:type="dxa"/>
            <w:gridSpan w:val="4"/>
            <w:vMerge w:val="continue"/>
            <w:tcBorders>
              <w:top w:val="nil"/>
              <w:left w:val="nil"/>
              <w:bottom w:val="single" w:color="000000" w:sz="4" w:space="0"/>
              <w:right w:val="single" w:color="000000" w:sz="4" w:space="0"/>
            </w:tcBorders>
            <w:vAlign w:val="center"/>
          </w:tcPr>
          <w:p>
            <w:pPr>
              <w:widowControl/>
              <w:jc w:val="left"/>
              <w:rPr>
                <w:rFonts w:ascii="??_GB2312" w:hAnsi="??_GB2312"/>
                <w:color w:val="000000"/>
                <w:sz w:val="24"/>
                <w:szCs w:val="24"/>
              </w:rPr>
            </w:pPr>
          </w:p>
        </w:tc>
        <w:tc>
          <w:tcPr>
            <w:tcW w:w="1417" w:type="dxa"/>
            <w:gridSpan w:val="2"/>
            <w:vMerge w:val="restart"/>
            <w:tcBorders>
              <w:top w:val="nil"/>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成本指标</w:t>
            </w:r>
          </w:p>
        </w:tc>
        <w:tc>
          <w:tcPr>
            <w:tcW w:w="2709" w:type="dxa"/>
            <w:gridSpan w:val="4"/>
            <w:tcBorders>
              <w:top w:val="single" w:color="000000" w:sz="4" w:space="0"/>
              <w:left w:val="nil"/>
              <w:bottom w:val="single" w:color="000000" w:sz="4" w:space="0"/>
              <w:right w:val="single" w:color="000000" w:sz="4" w:space="0"/>
            </w:tcBorders>
            <w:vAlign w:val="center"/>
          </w:tcPr>
          <w:p>
            <w:pPr>
              <w:spacing w:before="100" w:after="206" w:line="280" w:lineRule="atLeast"/>
              <w:jc w:val="center"/>
              <w:textAlignment w:val="center"/>
              <w:rPr>
                <w:rFonts w:ascii="??_GB2312" w:hAnsi="??_GB2312"/>
                <w:color w:val="000000"/>
                <w:sz w:val="24"/>
                <w:szCs w:val="24"/>
              </w:rPr>
            </w:pPr>
            <w:r>
              <w:rPr>
                <w:rFonts w:hint="eastAsia" w:ascii="??_GB2312" w:hAnsi="??_GB2312"/>
                <w:color w:val="000000"/>
                <w:sz w:val="24"/>
                <w:szCs w:val="24"/>
              </w:rPr>
              <w:t>人员费用金额</w:t>
            </w:r>
          </w:p>
        </w:tc>
        <w:tc>
          <w:tcPr>
            <w:tcW w:w="2684" w:type="dxa"/>
            <w:gridSpan w:val="6"/>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b/>
                <w:bCs/>
                <w:color w:val="000000"/>
                <w:sz w:val="24"/>
                <w:szCs w:val="24"/>
              </w:rPr>
            </w:pPr>
            <w:r>
              <w:rPr>
                <w:rFonts w:hint="eastAsia" w:ascii="??_GB2312" w:hAnsi="??_GB2312"/>
                <w:b/>
                <w:bCs/>
                <w:color w:val="000000"/>
                <w:sz w:val="24"/>
                <w:szCs w:val="24"/>
                <w:lang w:val="en-US" w:eastAsia="zh-CN"/>
              </w:rPr>
              <w:t>168.77</w:t>
            </w:r>
            <w:r>
              <w:rPr>
                <w:rFonts w:hint="eastAsia" w:ascii="??_GB2312" w:hAnsi="??_GB2312"/>
                <w:b/>
                <w:bCs/>
                <w:color w:val="000000"/>
                <w:sz w:val="24"/>
                <w:szCs w:val="24"/>
              </w:rPr>
              <w:t>万无</w:t>
            </w:r>
          </w:p>
        </w:tc>
      </w:tr>
      <w:tr>
        <w:tblPrEx>
          <w:tblCellMar>
            <w:top w:w="0" w:type="dxa"/>
            <w:left w:w="15" w:type="dxa"/>
            <w:bottom w:w="0" w:type="dxa"/>
            <w:right w:w="15" w:type="dxa"/>
          </w:tblCellMar>
        </w:tblPrEx>
        <w:trPr>
          <w:trHeight w:val="454" w:hRule="atLeast"/>
          <w:jc w:val="center"/>
        </w:trPr>
        <w:tc>
          <w:tcPr>
            <w:tcW w:w="1441" w:type="dxa"/>
            <w:vMerge w:val="continue"/>
            <w:tcBorders>
              <w:top w:val="nil"/>
              <w:left w:val="single" w:color="000000" w:sz="4" w:space="0"/>
              <w:bottom w:val="single" w:color="000000" w:sz="4" w:space="0"/>
              <w:right w:val="single" w:color="000000" w:sz="4" w:space="0"/>
            </w:tcBorders>
            <w:vAlign w:val="center"/>
          </w:tcPr>
          <w:p>
            <w:pPr>
              <w:widowControl/>
              <w:jc w:val="left"/>
              <w:rPr>
                <w:rFonts w:ascii="??_GB2312" w:hAnsi="??_GB2312"/>
                <w:color w:val="000000"/>
                <w:sz w:val="24"/>
                <w:szCs w:val="24"/>
              </w:rPr>
            </w:pPr>
          </w:p>
        </w:tc>
        <w:tc>
          <w:tcPr>
            <w:tcW w:w="1549" w:type="dxa"/>
            <w:gridSpan w:val="4"/>
            <w:vMerge w:val="continue"/>
            <w:tcBorders>
              <w:top w:val="nil"/>
              <w:left w:val="nil"/>
              <w:bottom w:val="single" w:color="000000" w:sz="4" w:space="0"/>
              <w:right w:val="single" w:color="000000" w:sz="4" w:space="0"/>
            </w:tcBorders>
            <w:vAlign w:val="center"/>
          </w:tcPr>
          <w:p>
            <w:pPr>
              <w:widowControl/>
              <w:jc w:val="left"/>
              <w:rPr>
                <w:rFonts w:ascii="??_GB2312" w:hAnsi="??_GB2312"/>
                <w:color w:val="000000"/>
                <w:sz w:val="24"/>
                <w:szCs w:val="24"/>
              </w:rPr>
            </w:pPr>
          </w:p>
        </w:tc>
        <w:tc>
          <w:tcPr>
            <w:tcW w:w="1417" w:type="dxa"/>
            <w:gridSpan w:val="2"/>
            <w:vMerge w:val="continue"/>
            <w:tcBorders>
              <w:top w:val="nil"/>
              <w:left w:val="nil"/>
              <w:bottom w:val="single" w:color="000000" w:sz="4" w:space="0"/>
              <w:right w:val="single" w:color="000000" w:sz="4" w:space="0"/>
            </w:tcBorders>
            <w:vAlign w:val="center"/>
          </w:tcPr>
          <w:p>
            <w:pPr>
              <w:widowControl/>
              <w:jc w:val="left"/>
              <w:rPr>
                <w:rFonts w:ascii="??_GB2312" w:hAnsi="??_GB2312"/>
                <w:color w:val="000000"/>
                <w:sz w:val="24"/>
                <w:szCs w:val="24"/>
              </w:rPr>
            </w:pPr>
          </w:p>
        </w:tc>
        <w:tc>
          <w:tcPr>
            <w:tcW w:w="2709" w:type="dxa"/>
            <w:gridSpan w:val="4"/>
            <w:tcBorders>
              <w:top w:val="single" w:color="000000" w:sz="4" w:space="0"/>
              <w:left w:val="nil"/>
              <w:bottom w:val="single" w:color="000000" w:sz="4" w:space="0"/>
              <w:right w:val="single" w:color="000000" w:sz="4" w:space="0"/>
            </w:tcBorders>
            <w:vAlign w:val="center"/>
          </w:tcPr>
          <w:p>
            <w:pPr>
              <w:spacing w:before="100" w:after="206" w:line="280" w:lineRule="atLeast"/>
              <w:jc w:val="center"/>
              <w:textAlignment w:val="center"/>
              <w:rPr>
                <w:rFonts w:ascii="??_GB2312" w:hAnsi="??_GB2312"/>
                <w:color w:val="000000"/>
                <w:sz w:val="24"/>
                <w:szCs w:val="24"/>
              </w:rPr>
            </w:pPr>
            <w:r>
              <w:rPr>
                <w:rFonts w:hint="eastAsia" w:ascii="??_GB2312" w:hAnsi="??_GB2312"/>
                <w:color w:val="000000"/>
                <w:sz w:val="24"/>
                <w:szCs w:val="24"/>
              </w:rPr>
              <w:t>公用费用金额</w:t>
            </w:r>
          </w:p>
        </w:tc>
        <w:tc>
          <w:tcPr>
            <w:tcW w:w="2684" w:type="dxa"/>
            <w:gridSpan w:val="6"/>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b/>
                <w:bCs/>
                <w:color w:val="000000"/>
                <w:sz w:val="24"/>
                <w:szCs w:val="24"/>
              </w:rPr>
            </w:pPr>
            <w:r>
              <w:rPr>
                <w:rFonts w:hint="eastAsia" w:ascii="??_GB2312" w:hAnsi="??_GB2312"/>
                <w:b/>
                <w:bCs/>
                <w:color w:val="000000"/>
                <w:sz w:val="24"/>
                <w:szCs w:val="24"/>
                <w:lang w:val="en-US" w:eastAsia="zh-CN"/>
              </w:rPr>
              <w:t>101.23</w:t>
            </w:r>
            <w:r>
              <w:rPr>
                <w:rFonts w:hint="eastAsia" w:ascii="??_GB2312" w:hAnsi="??_GB2312"/>
                <w:b/>
                <w:bCs/>
                <w:color w:val="000000"/>
                <w:sz w:val="24"/>
                <w:szCs w:val="24"/>
              </w:rPr>
              <w:t>万元</w:t>
            </w:r>
          </w:p>
        </w:tc>
      </w:tr>
      <w:tr>
        <w:tblPrEx>
          <w:tblCellMar>
            <w:top w:w="0" w:type="dxa"/>
            <w:left w:w="15" w:type="dxa"/>
            <w:bottom w:w="0" w:type="dxa"/>
            <w:right w:w="15" w:type="dxa"/>
          </w:tblCellMar>
        </w:tblPrEx>
        <w:trPr>
          <w:trHeight w:val="454" w:hRule="atLeast"/>
          <w:jc w:val="center"/>
        </w:trPr>
        <w:tc>
          <w:tcPr>
            <w:tcW w:w="1441" w:type="dxa"/>
            <w:vMerge w:val="continue"/>
            <w:tcBorders>
              <w:top w:val="nil"/>
              <w:left w:val="single" w:color="000000" w:sz="4" w:space="0"/>
              <w:bottom w:val="single" w:color="000000" w:sz="4" w:space="0"/>
              <w:right w:val="single" w:color="000000" w:sz="4" w:space="0"/>
            </w:tcBorders>
            <w:vAlign w:val="center"/>
          </w:tcPr>
          <w:p>
            <w:pPr>
              <w:widowControl/>
              <w:jc w:val="left"/>
              <w:rPr>
                <w:rFonts w:ascii="??_GB2312" w:hAnsi="??_GB2312"/>
                <w:color w:val="000000"/>
                <w:sz w:val="24"/>
                <w:szCs w:val="24"/>
              </w:rPr>
            </w:pPr>
          </w:p>
        </w:tc>
        <w:tc>
          <w:tcPr>
            <w:tcW w:w="1549" w:type="dxa"/>
            <w:gridSpan w:val="4"/>
            <w:vMerge w:val="continue"/>
            <w:tcBorders>
              <w:top w:val="nil"/>
              <w:left w:val="nil"/>
              <w:bottom w:val="single" w:color="000000" w:sz="4" w:space="0"/>
              <w:right w:val="single" w:color="000000" w:sz="4" w:space="0"/>
            </w:tcBorders>
            <w:vAlign w:val="center"/>
          </w:tcPr>
          <w:p>
            <w:pPr>
              <w:widowControl/>
              <w:jc w:val="left"/>
              <w:rPr>
                <w:rFonts w:ascii="??_GB2312" w:hAnsi="??_GB2312"/>
                <w:color w:val="000000"/>
                <w:sz w:val="24"/>
                <w:szCs w:val="24"/>
              </w:rPr>
            </w:pPr>
          </w:p>
        </w:tc>
        <w:tc>
          <w:tcPr>
            <w:tcW w:w="1417" w:type="dxa"/>
            <w:gridSpan w:val="2"/>
            <w:vMerge w:val="continue"/>
            <w:tcBorders>
              <w:top w:val="nil"/>
              <w:left w:val="nil"/>
              <w:bottom w:val="single" w:color="000000" w:sz="4" w:space="0"/>
              <w:right w:val="single" w:color="000000" w:sz="4" w:space="0"/>
            </w:tcBorders>
            <w:vAlign w:val="center"/>
          </w:tcPr>
          <w:p>
            <w:pPr>
              <w:widowControl/>
              <w:jc w:val="left"/>
              <w:rPr>
                <w:rFonts w:ascii="??_GB2312" w:hAnsi="??_GB2312"/>
                <w:color w:val="000000"/>
                <w:sz w:val="24"/>
                <w:szCs w:val="24"/>
              </w:rPr>
            </w:pPr>
          </w:p>
        </w:tc>
        <w:tc>
          <w:tcPr>
            <w:tcW w:w="2709" w:type="dxa"/>
            <w:gridSpan w:val="4"/>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_GB2312" w:hAnsi="??_GB2312"/>
                <w:color w:val="000000"/>
                <w:sz w:val="24"/>
                <w:szCs w:val="24"/>
              </w:rPr>
            </w:pPr>
            <w:r>
              <w:rPr>
                <w:rFonts w:ascii="??_GB2312" w:hAnsi="??_GB2312"/>
                <w:color w:val="000000"/>
                <w:sz w:val="24"/>
                <w:szCs w:val="24"/>
              </w:rPr>
              <w:t>……</w:t>
            </w:r>
          </w:p>
        </w:tc>
        <w:tc>
          <w:tcPr>
            <w:tcW w:w="2684" w:type="dxa"/>
            <w:gridSpan w:val="6"/>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b/>
                <w:bCs/>
                <w:color w:val="000000"/>
                <w:sz w:val="24"/>
                <w:szCs w:val="24"/>
              </w:rPr>
            </w:pPr>
          </w:p>
        </w:tc>
      </w:tr>
      <w:tr>
        <w:tblPrEx>
          <w:tblCellMar>
            <w:top w:w="0" w:type="dxa"/>
            <w:left w:w="15" w:type="dxa"/>
            <w:bottom w:w="0" w:type="dxa"/>
            <w:right w:w="15" w:type="dxa"/>
          </w:tblCellMar>
        </w:tblPrEx>
        <w:trPr>
          <w:trHeight w:val="454" w:hRule="atLeast"/>
          <w:jc w:val="center"/>
        </w:trPr>
        <w:tc>
          <w:tcPr>
            <w:tcW w:w="1441" w:type="dxa"/>
            <w:vMerge w:val="continue"/>
            <w:tcBorders>
              <w:top w:val="nil"/>
              <w:left w:val="single" w:color="000000" w:sz="4" w:space="0"/>
              <w:bottom w:val="single" w:color="000000" w:sz="4" w:space="0"/>
              <w:right w:val="single" w:color="000000" w:sz="4" w:space="0"/>
            </w:tcBorders>
            <w:vAlign w:val="center"/>
          </w:tcPr>
          <w:p>
            <w:pPr>
              <w:widowControl/>
              <w:jc w:val="left"/>
              <w:rPr>
                <w:rFonts w:ascii="??_GB2312" w:hAnsi="??_GB2312"/>
                <w:color w:val="000000"/>
                <w:sz w:val="24"/>
                <w:szCs w:val="24"/>
              </w:rPr>
            </w:pPr>
          </w:p>
        </w:tc>
        <w:tc>
          <w:tcPr>
            <w:tcW w:w="1549" w:type="dxa"/>
            <w:gridSpan w:val="4"/>
            <w:vMerge w:val="restart"/>
            <w:tcBorders>
              <w:top w:val="nil"/>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效益目标</w:t>
            </w:r>
          </w:p>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（预期实现的效益）</w:t>
            </w:r>
          </w:p>
        </w:tc>
        <w:tc>
          <w:tcPr>
            <w:tcW w:w="1417"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社会效益</w:t>
            </w:r>
          </w:p>
        </w:tc>
        <w:tc>
          <w:tcPr>
            <w:tcW w:w="2709" w:type="dxa"/>
            <w:gridSpan w:val="4"/>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_GB2312" w:hAnsi="??_GB2312"/>
                <w:color w:val="000000"/>
                <w:sz w:val="24"/>
                <w:szCs w:val="24"/>
              </w:rPr>
            </w:pPr>
            <w:r>
              <w:rPr>
                <w:rFonts w:hint="eastAsia" w:ascii="??_GB2312" w:hAnsi="??_GB2312"/>
                <w:color w:val="000000"/>
                <w:sz w:val="24"/>
                <w:szCs w:val="24"/>
              </w:rPr>
              <w:t>维持机关干部队伍</w:t>
            </w:r>
          </w:p>
          <w:p>
            <w:pPr>
              <w:spacing w:line="320" w:lineRule="exact"/>
              <w:jc w:val="left"/>
              <w:textAlignment w:val="center"/>
              <w:rPr>
                <w:rFonts w:ascii="??_GB2312" w:hAnsi="??_GB2312"/>
                <w:color w:val="000000"/>
                <w:sz w:val="24"/>
                <w:szCs w:val="24"/>
              </w:rPr>
            </w:pPr>
            <w:r>
              <w:rPr>
                <w:rFonts w:hint="eastAsia" w:ascii="??_GB2312" w:hAnsi="??_GB2312"/>
                <w:color w:val="000000"/>
                <w:sz w:val="24"/>
                <w:szCs w:val="24"/>
              </w:rPr>
              <w:t>维持社会稳定</w:t>
            </w:r>
          </w:p>
          <w:p>
            <w:pPr>
              <w:spacing w:line="320" w:lineRule="exact"/>
              <w:jc w:val="left"/>
              <w:textAlignment w:val="center"/>
              <w:rPr>
                <w:rFonts w:ascii="??_GB2312" w:hAnsi="??_GB2312"/>
                <w:color w:val="000000"/>
                <w:sz w:val="24"/>
                <w:szCs w:val="24"/>
              </w:rPr>
            </w:pPr>
            <w:r>
              <w:rPr>
                <w:rFonts w:ascii="??_GB2312" w:hAnsi="??_GB2312"/>
                <w:color w:val="000000"/>
                <w:sz w:val="24"/>
                <w:szCs w:val="24"/>
              </w:rPr>
              <w:t>……</w:t>
            </w:r>
          </w:p>
        </w:tc>
        <w:tc>
          <w:tcPr>
            <w:tcW w:w="2684" w:type="dxa"/>
            <w:gridSpan w:val="6"/>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b/>
                <w:bCs/>
                <w:color w:val="000000"/>
                <w:sz w:val="24"/>
                <w:szCs w:val="24"/>
              </w:rPr>
            </w:pPr>
            <w:r>
              <w:rPr>
                <w:rFonts w:hint="eastAsia" w:ascii="??_GB2312" w:hAnsi="??_GB2312"/>
                <w:b/>
                <w:bCs/>
                <w:color w:val="000000"/>
                <w:sz w:val="24"/>
                <w:szCs w:val="24"/>
              </w:rPr>
              <w:t>上等</w:t>
            </w:r>
          </w:p>
        </w:tc>
      </w:tr>
      <w:tr>
        <w:tblPrEx>
          <w:tblCellMar>
            <w:top w:w="0" w:type="dxa"/>
            <w:left w:w="15" w:type="dxa"/>
            <w:bottom w:w="0" w:type="dxa"/>
            <w:right w:w="15" w:type="dxa"/>
          </w:tblCellMar>
        </w:tblPrEx>
        <w:trPr>
          <w:trHeight w:val="454" w:hRule="atLeast"/>
          <w:jc w:val="center"/>
        </w:trPr>
        <w:tc>
          <w:tcPr>
            <w:tcW w:w="1441" w:type="dxa"/>
            <w:vMerge w:val="continue"/>
            <w:tcBorders>
              <w:top w:val="nil"/>
              <w:left w:val="single" w:color="000000" w:sz="4" w:space="0"/>
              <w:bottom w:val="single" w:color="000000" w:sz="4" w:space="0"/>
              <w:right w:val="single" w:color="000000" w:sz="4" w:space="0"/>
            </w:tcBorders>
            <w:vAlign w:val="center"/>
          </w:tcPr>
          <w:p>
            <w:pPr>
              <w:widowControl/>
              <w:jc w:val="left"/>
              <w:rPr>
                <w:rFonts w:ascii="??_GB2312" w:hAnsi="??_GB2312"/>
                <w:color w:val="000000"/>
                <w:sz w:val="24"/>
                <w:szCs w:val="24"/>
              </w:rPr>
            </w:pPr>
          </w:p>
        </w:tc>
        <w:tc>
          <w:tcPr>
            <w:tcW w:w="1549" w:type="dxa"/>
            <w:gridSpan w:val="4"/>
            <w:vMerge w:val="continue"/>
            <w:tcBorders>
              <w:top w:val="nil"/>
              <w:left w:val="nil"/>
              <w:bottom w:val="single" w:color="000000" w:sz="4" w:space="0"/>
              <w:right w:val="single" w:color="000000" w:sz="4" w:space="0"/>
            </w:tcBorders>
            <w:vAlign w:val="center"/>
          </w:tcPr>
          <w:p>
            <w:pPr>
              <w:widowControl/>
              <w:jc w:val="left"/>
              <w:rPr>
                <w:rFonts w:ascii="??_GB2312" w:hAnsi="??_GB2312"/>
                <w:color w:val="000000"/>
                <w:sz w:val="24"/>
                <w:szCs w:val="24"/>
              </w:rPr>
            </w:pPr>
          </w:p>
        </w:tc>
        <w:tc>
          <w:tcPr>
            <w:tcW w:w="1417"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经济效益</w:t>
            </w:r>
          </w:p>
        </w:tc>
        <w:tc>
          <w:tcPr>
            <w:tcW w:w="2709" w:type="dxa"/>
            <w:gridSpan w:val="4"/>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_GB2312" w:hAnsi="??_GB2312"/>
                <w:color w:val="000000"/>
                <w:sz w:val="24"/>
                <w:szCs w:val="24"/>
              </w:rPr>
            </w:pPr>
            <w:r>
              <w:rPr>
                <w:rFonts w:hint="eastAsia" w:ascii="??_GB2312" w:hAnsi="??_GB2312"/>
                <w:color w:val="000000"/>
                <w:sz w:val="24"/>
                <w:szCs w:val="24"/>
              </w:rPr>
              <w:t>工作人员工作水平</w:t>
            </w:r>
          </w:p>
          <w:p>
            <w:pPr>
              <w:spacing w:line="320" w:lineRule="exact"/>
              <w:jc w:val="left"/>
              <w:textAlignment w:val="center"/>
              <w:rPr>
                <w:rFonts w:ascii="??_GB2312" w:hAnsi="??_GB2312"/>
                <w:color w:val="000000"/>
                <w:sz w:val="24"/>
                <w:szCs w:val="24"/>
              </w:rPr>
            </w:pPr>
            <w:r>
              <w:rPr>
                <w:rFonts w:hint="eastAsia" w:ascii="??_GB2312" w:hAnsi="??_GB2312"/>
                <w:color w:val="000000"/>
                <w:sz w:val="24"/>
                <w:szCs w:val="24"/>
              </w:rPr>
              <w:t>促进社会健康发展</w:t>
            </w:r>
          </w:p>
          <w:p>
            <w:pPr>
              <w:spacing w:line="320" w:lineRule="exact"/>
              <w:jc w:val="left"/>
              <w:textAlignment w:val="center"/>
              <w:rPr>
                <w:rFonts w:ascii="??_GB2312" w:hAnsi="??_GB2312"/>
                <w:color w:val="000000"/>
                <w:sz w:val="24"/>
                <w:szCs w:val="24"/>
              </w:rPr>
            </w:pPr>
            <w:r>
              <w:rPr>
                <w:rFonts w:ascii="??_GB2312" w:hAnsi="??_GB2312"/>
                <w:color w:val="000000"/>
                <w:sz w:val="24"/>
                <w:szCs w:val="24"/>
              </w:rPr>
              <w:t>……</w:t>
            </w:r>
          </w:p>
        </w:tc>
        <w:tc>
          <w:tcPr>
            <w:tcW w:w="2684" w:type="dxa"/>
            <w:gridSpan w:val="6"/>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b/>
                <w:bCs/>
                <w:color w:val="000000"/>
                <w:sz w:val="24"/>
                <w:szCs w:val="24"/>
              </w:rPr>
            </w:pPr>
            <w:r>
              <w:rPr>
                <w:rFonts w:hint="eastAsia" w:ascii="??_GB2312" w:hAnsi="??_GB2312"/>
                <w:b/>
                <w:bCs/>
                <w:color w:val="000000"/>
                <w:sz w:val="24"/>
                <w:szCs w:val="24"/>
              </w:rPr>
              <w:t>上等</w:t>
            </w:r>
          </w:p>
        </w:tc>
      </w:tr>
      <w:tr>
        <w:tblPrEx>
          <w:tblCellMar>
            <w:top w:w="0" w:type="dxa"/>
            <w:left w:w="15" w:type="dxa"/>
            <w:bottom w:w="0" w:type="dxa"/>
            <w:right w:w="15" w:type="dxa"/>
          </w:tblCellMar>
        </w:tblPrEx>
        <w:trPr>
          <w:trHeight w:val="454" w:hRule="atLeast"/>
          <w:jc w:val="center"/>
        </w:trPr>
        <w:tc>
          <w:tcPr>
            <w:tcW w:w="1441" w:type="dxa"/>
            <w:vMerge w:val="continue"/>
            <w:tcBorders>
              <w:top w:val="nil"/>
              <w:left w:val="single" w:color="000000" w:sz="4" w:space="0"/>
              <w:bottom w:val="single" w:color="000000" w:sz="4" w:space="0"/>
              <w:right w:val="single" w:color="000000" w:sz="4" w:space="0"/>
            </w:tcBorders>
            <w:vAlign w:val="center"/>
          </w:tcPr>
          <w:p>
            <w:pPr>
              <w:widowControl/>
              <w:jc w:val="left"/>
              <w:rPr>
                <w:rFonts w:ascii="??_GB2312" w:hAnsi="??_GB2312"/>
                <w:color w:val="000000"/>
                <w:sz w:val="24"/>
                <w:szCs w:val="24"/>
              </w:rPr>
            </w:pPr>
          </w:p>
        </w:tc>
        <w:tc>
          <w:tcPr>
            <w:tcW w:w="1549" w:type="dxa"/>
            <w:gridSpan w:val="4"/>
            <w:vMerge w:val="continue"/>
            <w:tcBorders>
              <w:top w:val="nil"/>
              <w:left w:val="nil"/>
              <w:bottom w:val="single" w:color="000000" w:sz="4" w:space="0"/>
              <w:right w:val="single" w:color="000000" w:sz="4" w:space="0"/>
            </w:tcBorders>
            <w:vAlign w:val="center"/>
          </w:tcPr>
          <w:p>
            <w:pPr>
              <w:widowControl/>
              <w:jc w:val="left"/>
              <w:rPr>
                <w:rFonts w:ascii="??_GB2312" w:hAnsi="??_GB2312"/>
                <w:color w:val="000000"/>
                <w:sz w:val="24"/>
                <w:szCs w:val="24"/>
              </w:rPr>
            </w:pPr>
          </w:p>
        </w:tc>
        <w:tc>
          <w:tcPr>
            <w:tcW w:w="1417"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生态效益</w:t>
            </w:r>
          </w:p>
        </w:tc>
        <w:tc>
          <w:tcPr>
            <w:tcW w:w="2709" w:type="dxa"/>
            <w:gridSpan w:val="4"/>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_GB2312" w:hAnsi="??_GB2312"/>
                <w:color w:val="000000"/>
                <w:sz w:val="24"/>
                <w:szCs w:val="24"/>
              </w:rPr>
            </w:pPr>
            <w:r>
              <w:rPr>
                <w:rFonts w:hint="eastAsia" w:ascii="??_GB2312" w:hAnsi="??_GB2312"/>
                <w:color w:val="000000"/>
                <w:sz w:val="24"/>
                <w:szCs w:val="24"/>
              </w:rPr>
              <w:t>维持系统工作健康发展：</w:t>
            </w:r>
          </w:p>
          <w:p>
            <w:pPr>
              <w:spacing w:line="320" w:lineRule="exact"/>
              <w:jc w:val="left"/>
              <w:textAlignment w:val="center"/>
              <w:rPr>
                <w:rFonts w:ascii="??_GB2312" w:hAnsi="??_GB2312"/>
                <w:color w:val="000000"/>
                <w:sz w:val="24"/>
                <w:szCs w:val="24"/>
              </w:rPr>
            </w:pPr>
            <w:r>
              <w:rPr>
                <w:rFonts w:ascii="??_GB2312" w:hAnsi="??_GB2312"/>
                <w:color w:val="000000"/>
                <w:sz w:val="24"/>
                <w:szCs w:val="24"/>
              </w:rPr>
              <w:t>……</w:t>
            </w:r>
          </w:p>
        </w:tc>
        <w:tc>
          <w:tcPr>
            <w:tcW w:w="2684" w:type="dxa"/>
            <w:gridSpan w:val="6"/>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b/>
                <w:bCs/>
                <w:color w:val="000000"/>
                <w:sz w:val="24"/>
                <w:szCs w:val="24"/>
              </w:rPr>
            </w:pPr>
            <w:r>
              <w:rPr>
                <w:rFonts w:hint="eastAsia" w:ascii="??_GB2312" w:hAnsi="??_GB2312"/>
                <w:b/>
                <w:bCs/>
                <w:color w:val="000000"/>
                <w:sz w:val="24"/>
                <w:szCs w:val="24"/>
              </w:rPr>
              <w:t>上等</w:t>
            </w:r>
          </w:p>
        </w:tc>
      </w:tr>
      <w:tr>
        <w:tblPrEx>
          <w:tblCellMar>
            <w:top w:w="0" w:type="dxa"/>
            <w:left w:w="15" w:type="dxa"/>
            <w:bottom w:w="0" w:type="dxa"/>
            <w:right w:w="15" w:type="dxa"/>
          </w:tblCellMar>
        </w:tblPrEx>
        <w:trPr>
          <w:trHeight w:val="454" w:hRule="atLeast"/>
          <w:jc w:val="center"/>
        </w:trPr>
        <w:tc>
          <w:tcPr>
            <w:tcW w:w="1441" w:type="dxa"/>
            <w:vMerge w:val="continue"/>
            <w:tcBorders>
              <w:top w:val="nil"/>
              <w:left w:val="single" w:color="000000" w:sz="4" w:space="0"/>
              <w:bottom w:val="single" w:color="000000" w:sz="4" w:space="0"/>
              <w:right w:val="single" w:color="000000" w:sz="4" w:space="0"/>
            </w:tcBorders>
            <w:vAlign w:val="center"/>
          </w:tcPr>
          <w:p>
            <w:pPr>
              <w:widowControl/>
              <w:jc w:val="left"/>
              <w:rPr>
                <w:rFonts w:ascii="??_GB2312" w:hAnsi="??_GB2312"/>
                <w:color w:val="000000"/>
                <w:sz w:val="24"/>
                <w:szCs w:val="24"/>
              </w:rPr>
            </w:pPr>
          </w:p>
        </w:tc>
        <w:tc>
          <w:tcPr>
            <w:tcW w:w="1549" w:type="dxa"/>
            <w:gridSpan w:val="4"/>
            <w:vMerge w:val="continue"/>
            <w:tcBorders>
              <w:top w:val="nil"/>
              <w:left w:val="nil"/>
              <w:bottom w:val="single" w:color="000000" w:sz="4" w:space="0"/>
              <w:right w:val="single" w:color="000000" w:sz="4" w:space="0"/>
            </w:tcBorders>
            <w:vAlign w:val="center"/>
          </w:tcPr>
          <w:p>
            <w:pPr>
              <w:widowControl/>
              <w:jc w:val="left"/>
              <w:rPr>
                <w:rFonts w:ascii="??_GB2312" w:hAnsi="??_GB2312"/>
                <w:color w:val="000000"/>
                <w:sz w:val="24"/>
                <w:szCs w:val="24"/>
              </w:rPr>
            </w:pPr>
          </w:p>
        </w:tc>
        <w:tc>
          <w:tcPr>
            <w:tcW w:w="1417"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社会公众或服务对象满意度</w:t>
            </w:r>
          </w:p>
        </w:tc>
        <w:tc>
          <w:tcPr>
            <w:tcW w:w="2709" w:type="dxa"/>
            <w:gridSpan w:val="4"/>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_GB2312" w:hAnsi="??_GB2312"/>
                <w:color w:val="000000"/>
                <w:sz w:val="24"/>
                <w:szCs w:val="24"/>
              </w:rPr>
            </w:pPr>
            <w:r>
              <w:rPr>
                <w:rFonts w:hint="eastAsia" w:ascii="??_GB2312" w:hAnsi="??_GB2312"/>
                <w:color w:val="000000"/>
                <w:sz w:val="24"/>
                <w:szCs w:val="24"/>
              </w:rPr>
              <w:t>群众满意，</w:t>
            </w:r>
          </w:p>
          <w:p>
            <w:pPr>
              <w:spacing w:line="320" w:lineRule="exact"/>
              <w:jc w:val="left"/>
              <w:textAlignment w:val="center"/>
              <w:rPr>
                <w:rFonts w:ascii="??_GB2312" w:hAnsi="??_GB2312"/>
                <w:color w:val="000000"/>
                <w:sz w:val="24"/>
                <w:szCs w:val="24"/>
              </w:rPr>
            </w:pPr>
            <w:r>
              <w:rPr>
                <w:rFonts w:hint="eastAsia" w:ascii="??_GB2312" w:hAnsi="??_GB2312"/>
                <w:color w:val="000000"/>
                <w:sz w:val="24"/>
                <w:szCs w:val="24"/>
              </w:rPr>
              <w:t>社会认可</w:t>
            </w:r>
          </w:p>
          <w:p>
            <w:pPr>
              <w:spacing w:line="320" w:lineRule="exact"/>
              <w:jc w:val="left"/>
              <w:textAlignment w:val="center"/>
              <w:rPr>
                <w:rFonts w:ascii="??_GB2312" w:hAnsi="??_GB2312"/>
                <w:color w:val="000000"/>
                <w:sz w:val="24"/>
                <w:szCs w:val="24"/>
              </w:rPr>
            </w:pPr>
            <w:r>
              <w:rPr>
                <w:rFonts w:ascii="??_GB2312" w:hAnsi="??_GB2312"/>
                <w:color w:val="000000"/>
                <w:sz w:val="24"/>
                <w:szCs w:val="24"/>
              </w:rPr>
              <w:t>……</w:t>
            </w:r>
          </w:p>
        </w:tc>
        <w:tc>
          <w:tcPr>
            <w:tcW w:w="2684" w:type="dxa"/>
            <w:gridSpan w:val="6"/>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b/>
                <w:bCs/>
                <w:color w:val="000000"/>
                <w:sz w:val="24"/>
                <w:szCs w:val="24"/>
              </w:rPr>
            </w:pPr>
            <w:r>
              <w:rPr>
                <w:rFonts w:ascii="??_GB2312" w:hAnsi="??_GB2312"/>
                <w:b/>
                <w:bCs/>
                <w:color w:val="000000"/>
                <w:sz w:val="24"/>
                <w:szCs w:val="24"/>
              </w:rPr>
              <w:t>100%</w:t>
            </w:r>
          </w:p>
        </w:tc>
      </w:tr>
      <w:tr>
        <w:tblPrEx>
          <w:tblCellMar>
            <w:top w:w="0" w:type="dxa"/>
            <w:left w:w="15" w:type="dxa"/>
            <w:bottom w:w="0" w:type="dxa"/>
            <w:right w:w="15" w:type="dxa"/>
          </w:tblCellMar>
        </w:tblPrEx>
        <w:trPr>
          <w:trHeight w:val="567" w:hRule="atLeast"/>
          <w:jc w:val="center"/>
        </w:trPr>
        <w:tc>
          <w:tcPr>
            <w:tcW w:w="2990" w:type="dxa"/>
            <w:gridSpan w:val="5"/>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绩效自评综合得分</w:t>
            </w:r>
          </w:p>
        </w:tc>
        <w:tc>
          <w:tcPr>
            <w:tcW w:w="6810" w:type="dxa"/>
            <w:gridSpan w:val="1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ascii="??_GB2312" w:hAnsi="??_GB2312"/>
                <w:color w:val="000000"/>
                <w:sz w:val="24"/>
                <w:szCs w:val="24"/>
              </w:rPr>
              <w:t>96</w:t>
            </w:r>
          </w:p>
        </w:tc>
      </w:tr>
      <w:tr>
        <w:tblPrEx>
          <w:tblCellMar>
            <w:top w:w="0" w:type="dxa"/>
            <w:left w:w="15" w:type="dxa"/>
            <w:bottom w:w="0" w:type="dxa"/>
            <w:right w:w="15" w:type="dxa"/>
          </w:tblCellMar>
        </w:tblPrEx>
        <w:trPr>
          <w:trHeight w:val="567" w:hRule="atLeast"/>
          <w:jc w:val="center"/>
        </w:trPr>
        <w:tc>
          <w:tcPr>
            <w:tcW w:w="2990" w:type="dxa"/>
            <w:gridSpan w:val="5"/>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评价等次</w:t>
            </w:r>
          </w:p>
        </w:tc>
        <w:tc>
          <w:tcPr>
            <w:tcW w:w="6810" w:type="dxa"/>
            <w:gridSpan w:val="1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优</w:t>
            </w:r>
          </w:p>
        </w:tc>
      </w:tr>
      <w:tr>
        <w:tblPrEx>
          <w:tblCellMar>
            <w:top w:w="0" w:type="dxa"/>
            <w:left w:w="15" w:type="dxa"/>
            <w:bottom w:w="0" w:type="dxa"/>
            <w:right w:w="15" w:type="dxa"/>
          </w:tblCellMar>
        </w:tblPrEx>
        <w:trPr>
          <w:trHeight w:val="680" w:hRule="atLeast"/>
          <w:jc w:val="center"/>
        </w:trPr>
        <w:tc>
          <w:tcPr>
            <w:tcW w:w="9800" w:type="dxa"/>
            <w:gridSpan w:val="17"/>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黑体" w:hAnsi="黑体" w:eastAsia="黑体"/>
                <w:color w:val="000000"/>
                <w:sz w:val="28"/>
                <w:szCs w:val="28"/>
              </w:rPr>
              <w:t>四、评价人员</w:t>
            </w:r>
          </w:p>
        </w:tc>
      </w:tr>
      <w:tr>
        <w:tblPrEx>
          <w:tblCellMar>
            <w:top w:w="0" w:type="dxa"/>
            <w:left w:w="15" w:type="dxa"/>
            <w:bottom w:w="0" w:type="dxa"/>
            <w:right w:w="15" w:type="dxa"/>
          </w:tblCellMar>
        </w:tblPrEx>
        <w:trPr>
          <w:trHeight w:val="567" w:hRule="atLeast"/>
          <w:jc w:val="center"/>
        </w:trPr>
        <w:tc>
          <w:tcPr>
            <w:tcW w:w="1654" w:type="dxa"/>
            <w:gridSpan w:val="2"/>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姓</w:t>
            </w:r>
            <w:r>
              <w:rPr>
                <w:rFonts w:ascii="??_GB2312" w:hAnsi="??_GB2312"/>
                <w:color w:val="000000"/>
                <w:sz w:val="24"/>
                <w:szCs w:val="24"/>
              </w:rPr>
              <w:t xml:space="preserve">  </w:t>
            </w:r>
            <w:r>
              <w:rPr>
                <w:rFonts w:hint="eastAsia" w:ascii="??_GB2312" w:hAnsi="??_GB2312"/>
                <w:color w:val="000000"/>
                <w:sz w:val="24"/>
                <w:szCs w:val="24"/>
              </w:rPr>
              <w:t>名</w:t>
            </w:r>
          </w:p>
        </w:tc>
        <w:tc>
          <w:tcPr>
            <w:tcW w:w="3561" w:type="dxa"/>
            <w:gridSpan w:val="6"/>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职务</w:t>
            </w:r>
            <w:r>
              <w:rPr>
                <w:rFonts w:ascii="??_GB2312" w:hAnsi="??_GB2312"/>
                <w:color w:val="000000"/>
                <w:sz w:val="24"/>
                <w:szCs w:val="24"/>
              </w:rPr>
              <w:t>/</w:t>
            </w:r>
            <w:r>
              <w:rPr>
                <w:rFonts w:hint="eastAsia" w:ascii="??_GB2312" w:hAnsi="??_GB2312"/>
                <w:color w:val="000000"/>
                <w:sz w:val="24"/>
                <w:szCs w:val="24"/>
              </w:rPr>
              <w:t>职称</w:t>
            </w:r>
          </w:p>
        </w:tc>
        <w:tc>
          <w:tcPr>
            <w:tcW w:w="1479"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单</w:t>
            </w:r>
            <w:r>
              <w:rPr>
                <w:rFonts w:ascii="??_GB2312" w:hAnsi="??_GB2312"/>
                <w:color w:val="000000"/>
                <w:sz w:val="24"/>
                <w:szCs w:val="24"/>
              </w:rPr>
              <w:t xml:space="preserve">  </w:t>
            </w:r>
            <w:r>
              <w:rPr>
                <w:rFonts w:hint="eastAsia" w:ascii="??_GB2312" w:hAnsi="??_GB2312"/>
                <w:color w:val="000000"/>
                <w:sz w:val="24"/>
                <w:szCs w:val="24"/>
              </w:rPr>
              <w:t>位</w:t>
            </w:r>
          </w:p>
        </w:tc>
        <w:tc>
          <w:tcPr>
            <w:tcW w:w="3106" w:type="dxa"/>
            <w:gridSpan w:val="8"/>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签</w:t>
            </w:r>
            <w:r>
              <w:rPr>
                <w:rFonts w:ascii="??_GB2312" w:hAnsi="??_GB2312"/>
                <w:color w:val="000000"/>
                <w:sz w:val="24"/>
                <w:szCs w:val="24"/>
              </w:rPr>
              <w:t xml:space="preserve">  </w:t>
            </w:r>
            <w:r>
              <w:rPr>
                <w:rFonts w:hint="eastAsia" w:ascii="??_GB2312" w:hAnsi="??_GB2312"/>
                <w:color w:val="000000"/>
                <w:sz w:val="24"/>
                <w:szCs w:val="24"/>
              </w:rPr>
              <w:t>字</w:t>
            </w:r>
          </w:p>
        </w:tc>
      </w:tr>
      <w:tr>
        <w:tblPrEx>
          <w:tblCellMar>
            <w:top w:w="0" w:type="dxa"/>
            <w:left w:w="15" w:type="dxa"/>
            <w:bottom w:w="0" w:type="dxa"/>
            <w:right w:w="15" w:type="dxa"/>
          </w:tblCellMar>
        </w:tblPrEx>
        <w:trPr>
          <w:trHeight w:val="680" w:hRule="atLeast"/>
          <w:jc w:val="center"/>
        </w:trPr>
        <w:tc>
          <w:tcPr>
            <w:tcW w:w="1654" w:type="dxa"/>
            <w:gridSpan w:val="2"/>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hint="eastAsia" w:ascii="??_GB2312" w:hAnsi="??_GB2312" w:eastAsia="宋体" w:cs="Times New Roman"/>
                <w:color w:val="000000"/>
                <w:kern w:val="2"/>
                <w:sz w:val="24"/>
                <w:szCs w:val="24"/>
                <w:lang w:val="en-US" w:eastAsia="zh-CN" w:bidi="ar-SA"/>
              </w:rPr>
            </w:pPr>
            <w:r>
              <w:rPr>
                <w:rFonts w:hint="eastAsia" w:ascii="??_GB2312" w:hAnsi="??_GB2312"/>
                <w:color w:val="000000"/>
                <w:sz w:val="24"/>
                <w:szCs w:val="24"/>
                <w:lang w:val="en-US" w:eastAsia="zh-CN"/>
              </w:rPr>
              <w:t>双永华</w:t>
            </w:r>
          </w:p>
        </w:tc>
        <w:tc>
          <w:tcPr>
            <w:tcW w:w="3561" w:type="dxa"/>
            <w:gridSpan w:val="6"/>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eastAsia" w:ascii="??_GB2312" w:hAnsi="??_GB2312" w:eastAsia="宋体" w:cs="Times New Roman"/>
                <w:color w:val="000000"/>
                <w:kern w:val="2"/>
                <w:sz w:val="24"/>
                <w:szCs w:val="24"/>
                <w:lang w:val="en-US" w:eastAsia="zh-CN" w:bidi="ar-SA"/>
              </w:rPr>
            </w:pPr>
            <w:r>
              <w:rPr>
                <w:rFonts w:hint="eastAsia" w:ascii="??_GB2312" w:hAnsi="??_GB2312"/>
                <w:color w:val="000000"/>
                <w:sz w:val="24"/>
                <w:szCs w:val="24"/>
                <w:lang w:eastAsia="zh-CN"/>
              </w:rPr>
              <w:t>副书记</w:t>
            </w:r>
          </w:p>
        </w:tc>
        <w:tc>
          <w:tcPr>
            <w:tcW w:w="1479"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eastAsia" w:ascii="??_GB2312" w:hAnsi="??_GB2312" w:eastAsia="宋体" w:cs="Times New Roman"/>
                <w:color w:val="000000"/>
                <w:kern w:val="2"/>
                <w:sz w:val="24"/>
                <w:szCs w:val="24"/>
                <w:lang w:val="en-US" w:eastAsia="zh-CN" w:bidi="ar-SA"/>
              </w:rPr>
            </w:pPr>
            <w:r>
              <w:rPr>
                <w:rFonts w:hint="eastAsia" w:ascii="??_GB2312" w:hAnsi="??_GB2312"/>
                <w:color w:val="000000"/>
                <w:sz w:val="24"/>
                <w:szCs w:val="24"/>
                <w:lang w:eastAsia="zh-CN"/>
              </w:rPr>
              <w:t>县政法委</w:t>
            </w:r>
          </w:p>
        </w:tc>
        <w:tc>
          <w:tcPr>
            <w:tcW w:w="3106" w:type="dxa"/>
            <w:gridSpan w:val="8"/>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r>
      <w:tr>
        <w:tblPrEx>
          <w:tblCellMar>
            <w:top w:w="0" w:type="dxa"/>
            <w:left w:w="15" w:type="dxa"/>
            <w:bottom w:w="0" w:type="dxa"/>
            <w:right w:w="15" w:type="dxa"/>
          </w:tblCellMar>
        </w:tblPrEx>
        <w:trPr>
          <w:trHeight w:val="680" w:hRule="atLeast"/>
          <w:jc w:val="center"/>
        </w:trPr>
        <w:tc>
          <w:tcPr>
            <w:tcW w:w="1654" w:type="dxa"/>
            <w:gridSpan w:val="2"/>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hint="eastAsia" w:ascii="??_GB2312" w:hAnsi="??_GB2312" w:eastAsia="宋体"/>
                <w:color w:val="000000"/>
                <w:sz w:val="24"/>
                <w:szCs w:val="24"/>
                <w:lang w:val="en-US" w:eastAsia="zh-CN"/>
              </w:rPr>
            </w:pPr>
            <w:r>
              <w:rPr>
                <w:rFonts w:hint="eastAsia" w:ascii="??_GB2312" w:hAnsi="??_GB2312"/>
                <w:color w:val="000000"/>
                <w:sz w:val="24"/>
                <w:szCs w:val="24"/>
                <w:lang w:val="en-US" w:eastAsia="zh-CN"/>
              </w:rPr>
              <w:t>王刚</w:t>
            </w:r>
          </w:p>
        </w:tc>
        <w:tc>
          <w:tcPr>
            <w:tcW w:w="3561" w:type="dxa"/>
            <w:gridSpan w:val="6"/>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eastAsia" w:ascii="??_GB2312" w:hAnsi="??_GB2312" w:eastAsia="宋体"/>
                <w:color w:val="000000"/>
                <w:sz w:val="24"/>
                <w:szCs w:val="24"/>
                <w:lang w:eastAsia="zh-CN"/>
              </w:rPr>
            </w:pPr>
            <w:r>
              <w:rPr>
                <w:rFonts w:hint="eastAsia" w:ascii="??_GB2312" w:hAnsi="??_GB2312"/>
                <w:color w:val="000000"/>
                <w:sz w:val="24"/>
                <w:szCs w:val="24"/>
                <w:lang w:eastAsia="zh-CN"/>
              </w:rPr>
              <w:t>副书记</w:t>
            </w:r>
          </w:p>
        </w:tc>
        <w:tc>
          <w:tcPr>
            <w:tcW w:w="1479"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eastAsia" w:ascii="??_GB2312" w:hAnsi="??_GB2312" w:eastAsia="宋体" w:cs="Times New Roman"/>
                <w:color w:val="000000"/>
                <w:kern w:val="2"/>
                <w:sz w:val="24"/>
                <w:szCs w:val="24"/>
                <w:lang w:val="en-US" w:eastAsia="zh-CN" w:bidi="ar-SA"/>
              </w:rPr>
            </w:pPr>
            <w:r>
              <w:rPr>
                <w:rFonts w:hint="eastAsia" w:ascii="??_GB2312" w:hAnsi="??_GB2312"/>
                <w:color w:val="000000"/>
                <w:sz w:val="24"/>
                <w:szCs w:val="24"/>
                <w:lang w:eastAsia="zh-CN"/>
              </w:rPr>
              <w:t>县政法委</w:t>
            </w:r>
          </w:p>
        </w:tc>
        <w:tc>
          <w:tcPr>
            <w:tcW w:w="3106" w:type="dxa"/>
            <w:gridSpan w:val="8"/>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r>
      <w:tr>
        <w:tblPrEx>
          <w:tblCellMar>
            <w:top w:w="0" w:type="dxa"/>
            <w:left w:w="15" w:type="dxa"/>
            <w:bottom w:w="0" w:type="dxa"/>
            <w:right w:w="15" w:type="dxa"/>
          </w:tblCellMar>
        </w:tblPrEx>
        <w:trPr>
          <w:trHeight w:val="680" w:hRule="atLeast"/>
          <w:jc w:val="center"/>
        </w:trPr>
        <w:tc>
          <w:tcPr>
            <w:tcW w:w="1654" w:type="dxa"/>
            <w:gridSpan w:val="2"/>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hint="eastAsia" w:ascii="??_GB2312" w:hAnsi="??_GB2312" w:eastAsia="宋体" w:cs="Times New Roman"/>
                <w:color w:val="000000"/>
                <w:kern w:val="2"/>
                <w:sz w:val="24"/>
                <w:szCs w:val="24"/>
                <w:lang w:val="en-US" w:eastAsia="zh-CN" w:bidi="ar-SA"/>
              </w:rPr>
            </w:pPr>
            <w:r>
              <w:rPr>
                <w:rFonts w:hint="eastAsia" w:ascii="??_GB2312" w:hAnsi="??_GB2312"/>
                <w:color w:val="000000"/>
                <w:sz w:val="24"/>
                <w:szCs w:val="24"/>
              </w:rPr>
              <w:t>张国文</w:t>
            </w:r>
          </w:p>
        </w:tc>
        <w:tc>
          <w:tcPr>
            <w:tcW w:w="3561" w:type="dxa"/>
            <w:gridSpan w:val="6"/>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eastAsia" w:ascii="??_GB2312" w:hAnsi="??_GB2312" w:eastAsia="宋体" w:cs="Times New Roman"/>
                <w:color w:val="000000"/>
                <w:kern w:val="2"/>
                <w:sz w:val="24"/>
                <w:szCs w:val="24"/>
                <w:lang w:val="en-US" w:eastAsia="zh-CN" w:bidi="ar-SA"/>
              </w:rPr>
            </w:pPr>
            <w:r>
              <w:rPr>
                <w:rFonts w:hint="eastAsia" w:ascii="??_GB2312" w:hAnsi="??_GB2312"/>
                <w:color w:val="000000"/>
                <w:sz w:val="24"/>
                <w:szCs w:val="24"/>
              </w:rPr>
              <w:t>会</w:t>
            </w:r>
            <w:r>
              <w:rPr>
                <w:rFonts w:ascii="??_GB2312" w:hAnsi="??_GB2312"/>
                <w:color w:val="000000"/>
                <w:sz w:val="24"/>
                <w:szCs w:val="24"/>
              </w:rPr>
              <w:t xml:space="preserve">  </w:t>
            </w:r>
            <w:r>
              <w:rPr>
                <w:rFonts w:hint="eastAsia" w:ascii="??_GB2312" w:hAnsi="??_GB2312"/>
                <w:color w:val="000000"/>
                <w:sz w:val="24"/>
                <w:szCs w:val="24"/>
              </w:rPr>
              <w:t>计</w:t>
            </w:r>
          </w:p>
        </w:tc>
        <w:tc>
          <w:tcPr>
            <w:tcW w:w="1479" w:type="dxa"/>
            <w:tcBorders>
              <w:top w:val="single" w:color="000000" w:sz="4" w:space="0"/>
              <w:left w:val="nil"/>
              <w:bottom w:val="single" w:color="000000" w:sz="4" w:space="0"/>
              <w:right w:val="single" w:color="000000" w:sz="4" w:space="0"/>
            </w:tcBorders>
            <w:vAlign w:val="center"/>
          </w:tcPr>
          <w:p>
            <w:pPr>
              <w:jc w:val="center"/>
              <w:rPr>
                <w:rFonts w:hint="eastAsia" w:ascii="Times New Roman" w:hAnsi="Times New Roman" w:eastAsia="宋体" w:cs="Times New Roman"/>
                <w:kern w:val="2"/>
                <w:sz w:val="21"/>
                <w:szCs w:val="21"/>
                <w:lang w:val="en-US" w:eastAsia="zh-CN" w:bidi="ar-SA"/>
              </w:rPr>
            </w:pPr>
            <w:r>
              <w:rPr>
                <w:rFonts w:hint="eastAsia" w:ascii="??_GB2312" w:hAnsi="??_GB2312"/>
                <w:color w:val="000000"/>
                <w:sz w:val="24"/>
                <w:szCs w:val="24"/>
              </w:rPr>
              <w:t>县政法委</w:t>
            </w:r>
          </w:p>
        </w:tc>
        <w:tc>
          <w:tcPr>
            <w:tcW w:w="3106" w:type="dxa"/>
            <w:gridSpan w:val="8"/>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r>
      <w:tr>
        <w:tblPrEx>
          <w:tblCellMar>
            <w:top w:w="0" w:type="dxa"/>
            <w:left w:w="15" w:type="dxa"/>
            <w:bottom w:w="0" w:type="dxa"/>
            <w:right w:w="15" w:type="dxa"/>
          </w:tblCellMar>
        </w:tblPrEx>
        <w:trPr>
          <w:trHeight w:val="2722" w:hRule="atLeast"/>
          <w:jc w:val="center"/>
        </w:trPr>
        <w:tc>
          <w:tcPr>
            <w:tcW w:w="9800" w:type="dxa"/>
            <w:gridSpan w:val="17"/>
            <w:tcBorders>
              <w:top w:val="single" w:color="000000" w:sz="4" w:space="0"/>
              <w:left w:val="single" w:color="000000" w:sz="4" w:space="0"/>
              <w:bottom w:val="single" w:color="000000" w:sz="4" w:space="0"/>
              <w:right w:val="single" w:color="000000" w:sz="4" w:space="0"/>
            </w:tcBorders>
            <w:vAlign w:val="center"/>
          </w:tcPr>
          <w:p>
            <w:pPr>
              <w:spacing w:line="320" w:lineRule="exact"/>
              <w:jc w:val="left"/>
              <w:textAlignment w:val="center"/>
              <w:rPr>
                <w:rFonts w:ascii="??_GB2312" w:hAnsi="??_GB2312"/>
                <w:color w:val="000000"/>
                <w:sz w:val="24"/>
                <w:szCs w:val="24"/>
              </w:rPr>
            </w:pPr>
            <w:r>
              <w:rPr>
                <w:rFonts w:hint="eastAsia" w:ascii="??_GB2312" w:hAnsi="??_GB2312"/>
                <w:color w:val="000000"/>
                <w:sz w:val="24"/>
                <w:szCs w:val="24"/>
              </w:rPr>
              <w:t>评价组组长（签字）：</w:t>
            </w:r>
          </w:p>
          <w:p>
            <w:pPr>
              <w:spacing w:line="320" w:lineRule="exact"/>
              <w:jc w:val="left"/>
              <w:textAlignment w:val="center"/>
              <w:rPr>
                <w:rFonts w:ascii="??_GB2312" w:hAnsi="??_GB2312"/>
                <w:color w:val="000000"/>
                <w:sz w:val="24"/>
                <w:szCs w:val="24"/>
              </w:rPr>
            </w:pPr>
          </w:p>
          <w:p>
            <w:pPr>
              <w:spacing w:line="320" w:lineRule="exact"/>
              <w:jc w:val="left"/>
              <w:textAlignment w:val="center"/>
              <w:rPr>
                <w:rFonts w:ascii="??_GB2312" w:hAnsi="??_GB2312"/>
                <w:color w:val="000000"/>
                <w:sz w:val="24"/>
                <w:szCs w:val="24"/>
              </w:rPr>
            </w:pPr>
          </w:p>
          <w:p>
            <w:pPr>
              <w:spacing w:line="320" w:lineRule="exact"/>
              <w:jc w:val="left"/>
              <w:textAlignment w:val="center"/>
              <w:rPr>
                <w:rFonts w:ascii="??_GB2312" w:hAnsi="??_GB2312"/>
                <w:color w:val="000000"/>
                <w:sz w:val="24"/>
                <w:szCs w:val="24"/>
              </w:rPr>
            </w:pPr>
          </w:p>
          <w:p>
            <w:pPr>
              <w:spacing w:line="320" w:lineRule="exact"/>
              <w:jc w:val="left"/>
              <w:textAlignment w:val="center"/>
              <w:rPr>
                <w:rFonts w:ascii="??_GB2312" w:hAnsi="??_GB2312"/>
                <w:color w:val="000000"/>
                <w:sz w:val="24"/>
                <w:szCs w:val="24"/>
              </w:rPr>
            </w:pPr>
          </w:p>
          <w:p>
            <w:pPr>
              <w:spacing w:line="320" w:lineRule="exact"/>
              <w:jc w:val="left"/>
              <w:textAlignment w:val="center"/>
              <w:rPr>
                <w:rFonts w:ascii="??_GB2312" w:hAnsi="??_GB2312"/>
                <w:color w:val="000000"/>
                <w:sz w:val="24"/>
                <w:szCs w:val="24"/>
              </w:rPr>
            </w:pPr>
          </w:p>
          <w:p>
            <w:pPr>
              <w:spacing w:line="320" w:lineRule="exact"/>
              <w:jc w:val="left"/>
              <w:textAlignment w:val="center"/>
              <w:rPr>
                <w:rFonts w:ascii="??_GB2312" w:hAnsi="??_GB2312"/>
                <w:color w:val="000000"/>
                <w:sz w:val="24"/>
                <w:szCs w:val="24"/>
              </w:rPr>
            </w:pPr>
            <w:r>
              <w:rPr>
                <w:rFonts w:ascii="??_GB2312" w:hAnsi="??_GB2312"/>
                <w:color w:val="000000"/>
                <w:sz w:val="24"/>
                <w:szCs w:val="24"/>
              </w:rPr>
              <w:t xml:space="preserve">                                                               </w:t>
            </w:r>
            <w:r>
              <w:rPr>
                <w:rFonts w:hint="eastAsia" w:ascii="??_GB2312" w:hAnsi="??_GB2312"/>
                <w:color w:val="000000"/>
                <w:sz w:val="24"/>
                <w:szCs w:val="24"/>
              </w:rPr>
              <w:t>年</w:t>
            </w:r>
            <w:r>
              <w:rPr>
                <w:rFonts w:ascii="??_GB2312" w:hAnsi="??_GB2312"/>
                <w:color w:val="000000"/>
                <w:sz w:val="24"/>
                <w:szCs w:val="24"/>
              </w:rPr>
              <w:t xml:space="preserve">    </w:t>
            </w:r>
            <w:r>
              <w:rPr>
                <w:rFonts w:hint="eastAsia" w:ascii="??_GB2312" w:hAnsi="??_GB2312"/>
                <w:color w:val="000000"/>
                <w:sz w:val="24"/>
                <w:szCs w:val="24"/>
              </w:rPr>
              <w:t>月</w:t>
            </w:r>
            <w:r>
              <w:rPr>
                <w:rFonts w:ascii="??_GB2312" w:hAnsi="??_GB2312"/>
                <w:color w:val="000000"/>
                <w:sz w:val="24"/>
                <w:szCs w:val="24"/>
              </w:rPr>
              <w:t xml:space="preserve">    </w:t>
            </w:r>
            <w:r>
              <w:rPr>
                <w:rFonts w:hint="eastAsia" w:ascii="??_GB2312" w:hAnsi="??_GB2312"/>
                <w:color w:val="000000"/>
                <w:sz w:val="24"/>
                <w:szCs w:val="24"/>
              </w:rPr>
              <w:t>日</w:t>
            </w:r>
          </w:p>
        </w:tc>
      </w:tr>
      <w:tr>
        <w:tblPrEx>
          <w:tblCellMar>
            <w:top w:w="0" w:type="dxa"/>
            <w:left w:w="15" w:type="dxa"/>
            <w:bottom w:w="0" w:type="dxa"/>
            <w:right w:w="15" w:type="dxa"/>
          </w:tblCellMar>
        </w:tblPrEx>
        <w:trPr>
          <w:trHeight w:val="2722" w:hRule="atLeast"/>
          <w:jc w:val="center"/>
        </w:trPr>
        <w:tc>
          <w:tcPr>
            <w:tcW w:w="9800" w:type="dxa"/>
            <w:gridSpan w:val="17"/>
            <w:tcBorders>
              <w:top w:val="single" w:color="000000" w:sz="4" w:space="0"/>
              <w:left w:val="single" w:color="000000" w:sz="4" w:space="0"/>
              <w:bottom w:val="single" w:color="000000" w:sz="4" w:space="0"/>
              <w:right w:val="single" w:color="000000" w:sz="4" w:space="0"/>
            </w:tcBorders>
            <w:vAlign w:val="center"/>
          </w:tcPr>
          <w:p>
            <w:pPr>
              <w:spacing w:line="320" w:lineRule="exact"/>
              <w:jc w:val="left"/>
              <w:textAlignment w:val="center"/>
              <w:rPr>
                <w:rFonts w:ascii="??_GB2312" w:hAnsi="??_GB2312"/>
                <w:color w:val="000000"/>
                <w:sz w:val="24"/>
                <w:szCs w:val="24"/>
              </w:rPr>
            </w:pPr>
            <w:r>
              <w:rPr>
                <w:rFonts w:hint="eastAsia" w:ascii="??_GB2312" w:hAnsi="??_GB2312"/>
                <w:color w:val="000000"/>
                <w:sz w:val="24"/>
                <w:szCs w:val="24"/>
              </w:rPr>
              <w:t>部门（单位）意见：</w:t>
            </w:r>
          </w:p>
          <w:p>
            <w:pPr>
              <w:spacing w:line="320" w:lineRule="exact"/>
              <w:jc w:val="left"/>
              <w:textAlignment w:val="center"/>
              <w:rPr>
                <w:rFonts w:ascii="??_GB2312" w:hAnsi="??_GB2312"/>
                <w:color w:val="000000"/>
                <w:sz w:val="24"/>
                <w:szCs w:val="24"/>
              </w:rPr>
            </w:pPr>
          </w:p>
          <w:p>
            <w:pPr>
              <w:spacing w:line="320" w:lineRule="exact"/>
              <w:jc w:val="left"/>
              <w:textAlignment w:val="center"/>
              <w:rPr>
                <w:rFonts w:ascii="??_GB2312" w:hAnsi="??_GB2312"/>
                <w:color w:val="000000"/>
                <w:sz w:val="24"/>
                <w:szCs w:val="24"/>
              </w:rPr>
            </w:pPr>
          </w:p>
          <w:p>
            <w:pPr>
              <w:spacing w:line="320" w:lineRule="exact"/>
              <w:jc w:val="left"/>
              <w:textAlignment w:val="center"/>
              <w:rPr>
                <w:rFonts w:ascii="??_GB2312" w:hAnsi="??_GB2312"/>
                <w:color w:val="000000"/>
                <w:sz w:val="24"/>
                <w:szCs w:val="24"/>
              </w:rPr>
            </w:pPr>
          </w:p>
          <w:p>
            <w:pPr>
              <w:spacing w:line="320" w:lineRule="exact"/>
              <w:jc w:val="left"/>
              <w:textAlignment w:val="center"/>
              <w:rPr>
                <w:rFonts w:ascii="??_GB2312" w:hAnsi="??_GB2312"/>
                <w:color w:val="000000"/>
                <w:sz w:val="24"/>
                <w:szCs w:val="24"/>
              </w:rPr>
            </w:pPr>
          </w:p>
          <w:p>
            <w:pPr>
              <w:spacing w:line="320" w:lineRule="exact"/>
              <w:jc w:val="left"/>
              <w:textAlignment w:val="center"/>
              <w:rPr>
                <w:rFonts w:ascii="??_GB2312" w:hAnsi="??_GB2312"/>
                <w:color w:val="000000"/>
                <w:sz w:val="24"/>
                <w:szCs w:val="24"/>
              </w:rPr>
            </w:pPr>
            <w:r>
              <w:rPr>
                <w:rFonts w:ascii="??_GB2312" w:hAnsi="??_GB2312"/>
                <w:color w:val="000000"/>
                <w:sz w:val="24"/>
                <w:szCs w:val="24"/>
              </w:rPr>
              <w:t xml:space="preserve">                                         </w:t>
            </w:r>
            <w:r>
              <w:rPr>
                <w:rFonts w:hint="eastAsia" w:ascii="??_GB2312" w:hAnsi="??_GB2312"/>
                <w:color w:val="000000"/>
                <w:sz w:val="24"/>
                <w:szCs w:val="24"/>
              </w:rPr>
              <w:t>部门（单位）负责人（签章）：</w:t>
            </w:r>
          </w:p>
          <w:p>
            <w:pPr>
              <w:spacing w:line="320" w:lineRule="exact"/>
              <w:jc w:val="left"/>
              <w:textAlignment w:val="center"/>
              <w:rPr>
                <w:rFonts w:ascii="??_GB2312" w:hAnsi="??_GB2312"/>
                <w:color w:val="000000"/>
                <w:sz w:val="24"/>
                <w:szCs w:val="24"/>
              </w:rPr>
            </w:pPr>
            <w:r>
              <w:rPr>
                <w:rFonts w:ascii="??_GB2312" w:hAnsi="??_GB2312"/>
                <w:color w:val="000000"/>
                <w:sz w:val="24"/>
                <w:szCs w:val="24"/>
              </w:rPr>
              <w:t xml:space="preserve">                                                               </w:t>
            </w:r>
            <w:r>
              <w:rPr>
                <w:rFonts w:hint="eastAsia" w:ascii="??_GB2312" w:hAnsi="??_GB2312"/>
                <w:color w:val="000000"/>
                <w:sz w:val="24"/>
                <w:szCs w:val="24"/>
              </w:rPr>
              <w:t>年</w:t>
            </w:r>
            <w:r>
              <w:rPr>
                <w:rFonts w:ascii="??_GB2312" w:hAnsi="??_GB2312"/>
                <w:color w:val="000000"/>
                <w:sz w:val="24"/>
                <w:szCs w:val="24"/>
              </w:rPr>
              <w:t xml:space="preserve">    </w:t>
            </w:r>
            <w:r>
              <w:rPr>
                <w:rFonts w:hint="eastAsia" w:ascii="??_GB2312" w:hAnsi="??_GB2312"/>
                <w:color w:val="000000"/>
                <w:sz w:val="24"/>
                <w:szCs w:val="24"/>
              </w:rPr>
              <w:t>月</w:t>
            </w:r>
            <w:r>
              <w:rPr>
                <w:rFonts w:ascii="??_GB2312" w:hAnsi="??_GB2312"/>
                <w:color w:val="000000"/>
                <w:sz w:val="24"/>
                <w:szCs w:val="24"/>
              </w:rPr>
              <w:t xml:space="preserve">    </w:t>
            </w:r>
            <w:r>
              <w:rPr>
                <w:rFonts w:hint="eastAsia" w:ascii="??_GB2312" w:hAnsi="??_GB2312"/>
                <w:color w:val="000000"/>
                <w:sz w:val="24"/>
                <w:szCs w:val="24"/>
              </w:rPr>
              <w:t>日</w:t>
            </w:r>
          </w:p>
        </w:tc>
      </w:tr>
      <w:tr>
        <w:tblPrEx>
          <w:tblCellMar>
            <w:top w:w="0" w:type="dxa"/>
            <w:left w:w="15" w:type="dxa"/>
            <w:bottom w:w="0" w:type="dxa"/>
            <w:right w:w="15" w:type="dxa"/>
          </w:tblCellMar>
        </w:tblPrEx>
        <w:trPr>
          <w:trHeight w:val="2794" w:hRule="atLeast"/>
          <w:jc w:val="center"/>
        </w:trPr>
        <w:tc>
          <w:tcPr>
            <w:tcW w:w="9800" w:type="dxa"/>
            <w:gridSpan w:val="17"/>
            <w:tcBorders>
              <w:top w:val="single" w:color="000000" w:sz="4" w:space="0"/>
              <w:left w:val="single" w:color="000000" w:sz="4" w:space="0"/>
              <w:bottom w:val="single" w:color="000000" w:sz="4" w:space="0"/>
              <w:right w:val="single" w:color="000000" w:sz="4" w:space="0"/>
            </w:tcBorders>
            <w:vAlign w:val="center"/>
          </w:tcPr>
          <w:p>
            <w:pPr>
              <w:spacing w:line="320" w:lineRule="exact"/>
              <w:rPr>
                <w:sz w:val="24"/>
                <w:szCs w:val="24"/>
              </w:rPr>
            </w:pPr>
            <w:r>
              <w:rPr>
                <w:rFonts w:hint="eastAsia"/>
                <w:sz w:val="24"/>
                <w:szCs w:val="24"/>
              </w:rPr>
              <w:t>财政部门归口业务股室意见：</w:t>
            </w:r>
          </w:p>
          <w:p>
            <w:pPr>
              <w:spacing w:line="320" w:lineRule="exact"/>
              <w:rPr>
                <w:sz w:val="24"/>
                <w:szCs w:val="24"/>
              </w:rPr>
            </w:pPr>
          </w:p>
          <w:p>
            <w:pPr>
              <w:spacing w:line="320" w:lineRule="exact"/>
              <w:rPr>
                <w:sz w:val="24"/>
                <w:szCs w:val="24"/>
              </w:rPr>
            </w:pPr>
          </w:p>
          <w:p>
            <w:pPr>
              <w:spacing w:line="320" w:lineRule="exact"/>
              <w:rPr>
                <w:sz w:val="24"/>
                <w:szCs w:val="24"/>
              </w:rPr>
            </w:pPr>
          </w:p>
          <w:p>
            <w:pPr>
              <w:spacing w:line="320" w:lineRule="exact"/>
              <w:rPr>
                <w:sz w:val="24"/>
                <w:szCs w:val="24"/>
              </w:rPr>
            </w:pPr>
          </w:p>
          <w:p>
            <w:pPr>
              <w:spacing w:line="320" w:lineRule="exact"/>
              <w:rPr>
                <w:sz w:val="24"/>
                <w:szCs w:val="24"/>
              </w:rPr>
            </w:pPr>
            <w:r>
              <w:rPr>
                <w:sz w:val="24"/>
                <w:szCs w:val="24"/>
              </w:rPr>
              <w:t xml:space="preserve">                                  </w:t>
            </w:r>
            <w:r>
              <w:rPr>
                <w:rFonts w:hint="eastAsia"/>
                <w:sz w:val="24"/>
                <w:szCs w:val="24"/>
              </w:rPr>
              <w:t>财政部门归口业务股室（签章）：</w:t>
            </w:r>
          </w:p>
          <w:p>
            <w:pPr>
              <w:spacing w:line="320" w:lineRule="exact"/>
              <w:jc w:val="left"/>
              <w:textAlignment w:val="center"/>
              <w:rPr>
                <w:rFonts w:ascii="??_GB2312" w:hAnsi="??_GB2312"/>
                <w:color w:val="000000"/>
                <w:sz w:val="24"/>
                <w:szCs w:val="24"/>
              </w:rPr>
            </w:pPr>
            <w:r>
              <w:rPr>
                <w:sz w:val="24"/>
                <w:szCs w:val="24"/>
              </w:rPr>
              <w:t xml:space="preserve">                                                                 </w:t>
            </w:r>
            <w:r>
              <w:rPr>
                <w:rFonts w:hint="eastAsia"/>
                <w:sz w:val="24"/>
                <w:szCs w:val="24"/>
              </w:rPr>
              <w:t>年</w:t>
            </w:r>
            <w:r>
              <w:rPr>
                <w:sz w:val="24"/>
                <w:szCs w:val="24"/>
              </w:rPr>
              <w:t xml:space="preserve">    </w:t>
            </w:r>
            <w:r>
              <w:rPr>
                <w:rFonts w:hint="eastAsia"/>
                <w:sz w:val="24"/>
                <w:szCs w:val="24"/>
              </w:rPr>
              <w:t>月</w:t>
            </w:r>
            <w:r>
              <w:rPr>
                <w:sz w:val="24"/>
                <w:szCs w:val="24"/>
              </w:rPr>
              <w:t xml:space="preserve">   </w:t>
            </w:r>
            <w:r>
              <w:rPr>
                <w:rFonts w:hint="eastAsia"/>
                <w:sz w:val="24"/>
                <w:szCs w:val="24"/>
              </w:rPr>
              <w:t>日</w:t>
            </w:r>
          </w:p>
        </w:tc>
      </w:tr>
    </w:tbl>
    <w:p>
      <w:pPr>
        <w:rPr>
          <w:rFonts w:hint="eastAsia" w:ascii="仿宋" w:hAnsi="仿宋" w:eastAsia="仿宋" w:cs="仿宋"/>
          <w:sz w:val="28"/>
          <w:szCs w:val="28"/>
          <w:lang w:val="en-US" w:eastAsia="zh-CN"/>
        </w:rPr>
      </w:pPr>
      <w:r>
        <w:rPr>
          <w:rFonts w:hint="eastAsia" w:ascii="仿宋" w:hAnsi="仿宋" w:eastAsia="仿宋" w:cs="仿宋"/>
          <w:sz w:val="28"/>
          <w:szCs w:val="28"/>
        </w:rPr>
        <w:t xml:space="preserve">填报人（签名）：  </w:t>
      </w:r>
      <w:r>
        <w:rPr>
          <w:rFonts w:hint="eastAsia" w:ascii="仿宋" w:hAnsi="仿宋" w:eastAsia="仿宋" w:cs="仿宋"/>
          <w:sz w:val="28"/>
          <w:szCs w:val="28"/>
          <w:lang w:eastAsia="zh-CN"/>
        </w:rPr>
        <w:t>张国文</w:t>
      </w:r>
      <w:r>
        <w:rPr>
          <w:rFonts w:hint="eastAsia" w:ascii="仿宋" w:hAnsi="仿宋" w:eastAsia="仿宋" w:cs="仿宋"/>
          <w:sz w:val="28"/>
          <w:szCs w:val="28"/>
        </w:rPr>
        <w:t xml:space="preserve">              联系电话：</w:t>
      </w:r>
      <w:r>
        <w:rPr>
          <w:rFonts w:hint="eastAsia" w:ascii="仿宋" w:hAnsi="仿宋" w:eastAsia="仿宋" w:cs="仿宋"/>
          <w:sz w:val="28"/>
          <w:szCs w:val="28"/>
          <w:lang w:val="en-US" w:eastAsia="zh-CN"/>
        </w:rPr>
        <w:t>13762768886</w:t>
      </w:r>
    </w:p>
    <w:tbl>
      <w:tblPr>
        <w:tblStyle w:val="3"/>
        <w:tblW w:w="9558" w:type="dxa"/>
        <w:jc w:val="center"/>
        <w:tblLayout w:type="fixed"/>
        <w:tblCellMar>
          <w:top w:w="0" w:type="dxa"/>
          <w:left w:w="108" w:type="dxa"/>
          <w:bottom w:w="0" w:type="dxa"/>
          <w:right w:w="108" w:type="dxa"/>
        </w:tblCellMar>
      </w:tblPr>
      <w:tblGrid>
        <w:gridCol w:w="9558"/>
      </w:tblGrid>
      <w:tr>
        <w:tblPrEx>
          <w:tblCellMar>
            <w:top w:w="0" w:type="dxa"/>
            <w:left w:w="108" w:type="dxa"/>
            <w:bottom w:w="0" w:type="dxa"/>
            <w:right w:w="108" w:type="dxa"/>
          </w:tblCellMar>
        </w:tblPrEx>
        <w:trPr>
          <w:trHeight w:val="12998" w:hRule="atLeast"/>
          <w:jc w:val="center"/>
        </w:trPr>
        <w:tc>
          <w:tcPr>
            <w:tcW w:w="9558" w:type="dxa"/>
            <w:tcBorders>
              <w:top w:val="single" w:color="auto" w:sz="4" w:space="0"/>
              <w:left w:val="single" w:color="auto" w:sz="4" w:space="0"/>
              <w:bottom w:val="single" w:color="auto" w:sz="4" w:space="0"/>
              <w:right w:val="single" w:color="auto" w:sz="4" w:space="0"/>
            </w:tcBorders>
          </w:tcPr>
          <w:p>
            <w:pPr>
              <w:jc w:val="center"/>
              <w:rPr>
                <w:rFonts w:hint="eastAsia" w:ascii="华文中宋" w:hAnsi="华文中宋" w:eastAsia="华文中宋" w:cs="华文中宋"/>
                <w:sz w:val="36"/>
                <w:szCs w:val="36"/>
              </w:rPr>
            </w:pPr>
          </w:p>
          <w:p>
            <w:pPr>
              <w:jc w:val="center"/>
              <w:rPr>
                <w:rFonts w:hint="eastAsia" w:ascii="华文中宋" w:hAnsi="华文中宋" w:eastAsia="华文中宋" w:cs="华文中宋"/>
                <w:sz w:val="36"/>
                <w:szCs w:val="36"/>
              </w:rPr>
            </w:pPr>
            <w:r>
              <w:rPr>
                <w:rFonts w:hint="eastAsia" w:ascii="华文中宋" w:hAnsi="华文中宋" w:eastAsia="华文中宋" w:cs="华文中宋"/>
                <w:sz w:val="36"/>
                <w:szCs w:val="36"/>
              </w:rPr>
              <w:t>五、评价报告综述（文字部分）</w:t>
            </w:r>
          </w:p>
          <w:p>
            <w:pPr>
              <w:spacing w:line="440" w:lineRule="exact"/>
              <w:ind w:firstLine="720" w:firstLineChars="200"/>
              <w:rPr>
                <w:rFonts w:hint="eastAsia" w:ascii="华文中宋" w:hAnsi="华文中宋" w:eastAsia="华文中宋" w:cs="华文中宋"/>
                <w:sz w:val="36"/>
                <w:szCs w:val="36"/>
              </w:rPr>
            </w:pPr>
          </w:p>
          <w:p>
            <w:pPr>
              <w:spacing w:line="560" w:lineRule="exact"/>
              <w:ind w:firstLine="600" w:firstLineChars="200"/>
              <w:rPr>
                <w:rFonts w:hint="eastAsia" w:ascii="黑体" w:hAnsi="黑体" w:eastAsia="黑体" w:cs="黑体"/>
                <w:sz w:val="30"/>
                <w:szCs w:val="30"/>
              </w:rPr>
            </w:pPr>
            <w:r>
              <w:rPr>
                <w:rFonts w:hint="eastAsia" w:ascii="黑体" w:hAnsi="黑体" w:eastAsia="黑体" w:cs="黑体"/>
                <w:sz w:val="30"/>
                <w:szCs w:val="30"/>
              </w:rPr>
              <w:t>一、部门（单位）概况</w:t>
            </w:r>
          </w:p>
          <w:p>
            <w:pPr>
              <w:spacing w:line="560" w:lineRule="exact"/>
              <w:ind w:firstLine="602" w:firstLineChars="200"/>
              <w:rPr>
                <w:rFonts w:hint="eastAsia" w:ascii="楷体" w:hAnsi="楷体" w:eastAsia="楷体" w:cs="楷体"/>
                <w:b/>
                <w:bCs/>
                <w:sz w:val="30"/>
                <w:szCs w:val="30"/>
              </w:rPr>
            </w:pPr>
            <w:r>
              <w:rPr>
                <w:rFonts w:hint="eastAsia" w:ascii="楷体" w:hAnsi="楷体" w:eastAsia="楷体" w:cs="楷体"/>
                <w:b/>
                <w:bCs/>
                <w:sz w:val="30"/>
                <w:szCs w:val="30"/>
              </w:rPr>
              <w:t>（一）部门（单位）基本情况</w:t>
            </w:r>
          </w:p>
          <w:p>
            <w:pPr>
              <w:pStyle w:val="5"/>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640" w:lineRule="exact"/>
              <w:ind w:firstLine="600" w:firstLineChars="200"/>
              <w:jc w:val="both"/>
              <w:rPr>
                <w:rFonts w:hint="eastAsia" w:ascii="仿宋" w:hAnsi="仿宋" w:eastAsia="仿宋" w:cs="仿宋"/>
                <w:kern w:val="2"/>
                <w:sz w:val="30"/>
                <w:szCs w:val="30"/>
                <w:lang w:eastAsia="zh-CN"/>
              </w:rPr>
            </w:pPr>
            <w:r>
              <w:rPr>
                <w:rFonts w:hint="eastAsia" w:ascii="仿宋" w:hAnsi="仿宋" w:eastAsia="仿宋" w:cs="仿宋"/>
                <w:kern w:val="2"/>
                <w:sz w:val="30"/>
                <w:szCs w:val="30"/>
                <w:lang w:eastAsia="zh-CN"/>
              </w:rPr>
              <w:t>县政法委现有人员编制1</w:t>
            </w:r>
            <w:r>
              <w:rPr>
                <w:rFonts w:hint="eastAsia" w:ascii="仿宋" w:hAnsi="仿宋" w:eastAsia="仿宋" w:cs="仿宋"/>
                <w:kern w:val="2"/>
                <w:sz w:val="30"/>
                <w:szCs w:val="30"/>
                <w:lang w:val="en-US" w:eastAsia="zh-CN"/>
              </w:rPr>
              <w:t>2</w:t>
            </w:r>
            <w:r>
              <w:rPr>
                <w:rFonts w:hint="eastAsia" w:ascii="仿宋" w:hAnsi="仿宋" w:eastAsia="仿宋" w:cs="仿宋"/>
                <w:kern w:val="2"/>
                <w:sz w:val="30"/>
                <w:szCs w:val="30"/>
                <w:lang w:eastAsia="zh-CN"/>
              </w:rPr>
              <w:t>名，(其中：行政编制</w:t>
            </w:r>
            <w:r>
              <w:rPr>
                <w:rFonts w:hint="eastAsia" w:ascii="仿宋" w:hAnsi="仿宋" w:eastAsia="仿宋" w:cs="仿宋"/>
                <w:kern w:val="2"/>
                <w:sz w:val="30"/>
                <w:szCs w:val="30"/>
                <w:lang w:val="en-US" w:eastAsia="zh-CN"/>
              </w:rPr>
              <w:t>10</w:t>
            </w:r>
            <w:r>
              <w:rPr>
                <w:rFonts w:hint="eastAsia" w:ascii="仿宋" w:hAnsi="仿宋" w:eastAsia="仿宋" w:cs="仿宋"/>
                <w:kern w:val="2"/>
                <w:sz w:val="30"/>
                <w:szCs w:val="30"/>
                <w:lang w:eastAsia="zh-CN"/>
              </w:rPr>
              <w:t>名；工勤编制</w:t>
            </w:r>
            <w:r>
              <w:rPr>
                <w:rFonts w:hint="eastAsia" w:ascii="仿宋" w:hAnsi="仿宋" w:eastAsia="仿宋" w:cs="仿宋"/>
                <w:kern w:val="2"/>
                <w:sz w:val="30"/>
                <w:szCs w:val="30"/>
                <w:lang w:val="en-US" w:eastAsia="zh-CN"/>
              </w:rPr>
              <w:t>2</w:t>
            </w:r>
            <w:r>
              <w:rPr>
                <w:rFonts w:hint="eastAsia" w:ascii="仿宋" w:hAnsi="仿宋" w:eastAsia="仿宋" w:cs="仿宋"/>
                <w:kern w:val="2"/>
                <w:sz w:val="30"/>
                <w:szCs w:val="30"/>
                <w:lang w:eastAsia="zh-CN"/>
              </w:rPr>
              <w:t>名)；年末实有人员</w:t>
            </w:r>
            <w:r>
              <w:rPr>
                <w:rFonts w:hint="eastAsia" w:ascii="仿宋" w:hAnsi="仿宋" w:eastAsia="仿宋" w:cs="仿宋"/>
                <w:kern w:val="2"/>
                <w:sz w:val="30"/>
                <w:szCs w:val="30"/>
                <w:lang w:val="en-US" w:eastAsia="zh-CN"/>
              </w:rPr>
              <w:t>24</w:t>
            </w:r>
            <w:r>
              <w:rPr>
                <w:rFonts w:hint="eastAsia" w:ascii="仿宋" w:hAnsi="仿宋" w:eastAsia="仿宋" w:cs="仿宋"/>
                <w:kern w:val="2"/>
                <w:sz w:val="30"/>
                <w:szCs w:val="30"/>
                <w:lang w:eastAsia="zh-CN"/>
              </w:rPr>
              <w:t>人（其中：全额人员</w:t>
            </w:r>
            <w:r>
              <w:rPr>
                <w:rFonts w:hint="eastAsia" w:ascii="仿宋" w:hAnsi="仿宋" w:eastAsia="仿宋" w:cs="仿宋"/>
                <w:kern w:val="2"/>
                <w:sz w:val="30"/>
                <w:szCs w:val="30"/>
                <w:lang w:val="en-US" w:eastAsia="zh-CN"/>
              </w:rPr>
              <w:t>24</w:t>
            </w:r>
            <w:r>
              <w:rPr>
                <w:rFonts w:hint="eastAsia" w:ascii="仿宋" w:hAnsi="仿宋" w:eastAsia="仿宋" w:cs="仿宋"/>
                <w:kern w:val="2"/>
                <w:sz w:val="30"/>
                <w:szCs w:val="30"/>
                <w:lang w:eastAsia="zh-CN"/>
              </w:rPr>
              <w:t>人）。</w:t>
            </w:r>
          </w:p>
          <w:p>
            <w:pPr>
              <w:pStyle w:val="5"/>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640" w:lineRule="exact"/>
              <w:ind w:firstLine="602" w:firstLineChars="200"/>
              <w:jc w:val="both"/>
              <w:rPr>
                <w:rFonts w:hint="eastAsia" w:ascii="楷体" w:hAnsi="楷体" w:eastAsia="楷体" w:cs="楷体"/>
                <w:b/>
                <w:bCs/>
                <w:kern w:val="2"/>
                <w:sz w:val="30"/>
                <w:szCs w:val="30"/>
                <w:lang w:eastAsia="zh-CN"/>
              </w:rPr>
            </w:pPr>
            <w:r>
              <w:rPr>
                <w:rFonts w:hint="eastAsia" w:ascii="楷体" w:hAnsi="楷体" w:eastAsia="楷体" w:cs="楷体"/>
                <w:b/>
                <w:bCs/>
                <w:kern w:val="2"/>
                <w:sz w:val="30"/>
                <w:szCs w:val="30"/>
                <w:lang w:eastAsia="zh-CN"/>
              </w:rPr>
              <w:t>当年取得的主要成效：</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both"/>
              <w:textAlignment w:val="auto"/>
              <w:outlineLvl w:val="9"/>
              <w:rPr>
                <w:rFonts w:hint="eastAsia" w:ascii="仿宋" w:hAnsi="仿宋" w:eastAsia="仿宋" w:cs="仿宋"/>
                <w:color w:val="000000"/>
                <w:sz w:val="30"/>
                <w:szCs w:val="30"/>
                <w:lang w:val="en-US" w:eastAsia="zh-CN"/>
              </w:rPr>
            </w:pPr>
            <w:r>
              <w:rPr>
                <w:rFonts w:hint="eastAsia" w:ascii="仿宋" w:hAnsi="仿宋" w:eastAsia="仿宋" w:cs="仿宋"/>
                <w:color w:val="000000"/>
                <w:sz w:val="30"/>
                <w:szCs w:val="30"/>
                <w:lang w:val="en-US" w:eastAsia="zh-CN"/>
              </w:rPr>
              <w:t>2018年，</w:t>
            </w:r>
            <w:r>
              <w:rPr>
                <w:rFonts w:hint="eastAsia" w:ascii="仿宋" w:hAnsi="仿宋" w:eastAsia="仿宋" w:cs="仿宋"/>
                <w:color w:val="000000"/>
                <w:sz w:val="30"/>
                <w:szCs w:val="30"/>
                <w:lang w:eastAsia="zh-CN"/>
              </w:rPr>
              <w:t>全县政法战线在县委的坚强领导下，认真贯彻落实中央和省委、市委、县委决策部署，扎实推进平安华容、法治华容和过硬队伍建设，各项工作均有新的进步。我县被评为第四批全国法治县创建活动先进单位，连续多年保持全省平安县称号，获评全省“三调联动解纠纷、防控风险促发展”专项调解活动先进集体，华容河法治文化广场获评第三批全省法治文化示范项目，马鞍山实验学校获评省级平安学校创建示范单位，万庾镇万庾村居民张丽容同志被推选为湖南省见义勇为英雄；县公安局获评全省公安机关扫黑除恶工作成绩突出单位，看守所保持全国一级看守所称号，城中派出所获评全省优秀基层所，督察大队获评全省公安警务督察工作成绩突出集体</w:t>
            </w:r>
            <w:r>
              <w:rPr>
                <w:rFonts w:hint="eastAsia" w:ascii="仿宋" w:hAnsi="仿宋" w:eastAsia="仿宋" w:cs="仿宋"/>
                <w:color w:val="000000"/>
                <w:sz w:val="30"/>
                <w:szCs w:val="30"/>
                <w:lang w:val="en-US" w:eastAsia="zh-CN"/>
              </w:rPr>
              <w:t>；</w:t>
            </w:r>
            <w:r>
              <w:rPr>
                <w:rFonts w:hint="eastAsia" w:ascii="仿宋" w:hAnsi="仿宋" w:eastAsia="仿宋" w:cs="仿宋"/>
                <w:color w:val="000000"/>
                <w:sz w:val="30"/>
                <w:szCs w:val="30"/>
                <w:lang w:eastAsia="zh-CN"/>
              </w:rPr>
              <w:t>县检察院先后被评为</w:t>
            </w:r>
            <w:r>
              <w:rPr>
                <w:rFonts w:hint="eastAsia" w:ascii="仿宋" w:hAnsi="仿宋" w:eastAsia="仿宋" w:cs="仿宋"/>
                <w:b w:val="0"/>
                <w:bCs w:val="0"/>
                <w:color w:val="000000"/>
                <w:sz w:val="30"/>
                <w:szCs w:val="30"/>
                <w:lang w:eastAsia="zh-CN"/>
              </w:rPr>
              <w:t>全国检察宣传先进单位、</w:t>
            </w:r>
            <w:r>
              <w:rPr>
                <w:rFonts w:hint="eastAsia" w:ascii="仿宋" w:hAnsi="仿宋" w:eastAsia="仿宋" w:cs="仿宋"/>
                <w:color w:val="000000"/>
                <w:sz w:val="30"/>
                <w:szCs w:val="30"/>
                <w:lang w:eastAsia="zh-CN"/>
              </w:rPr>
              <w:t>全省公益诉讼先进单位、全省政法系统文艺之星、全省读书风气最盛检察院，保持省级文明标兵单位称号；县法院在全省</w:t>
            </w:r>
            <w:r>
              <w:rPr>
                <w:rFonts w:hint="eastAsia" w:ascii="仿宋" w:hAnsi="仿宋" w:eastAsia="仿宋" w:cs="仿宋"/>
                <w:color w:val="000000"/>
                <w:sz w:val="30"/>
                <w:szCs w:val="30"/>
                <w:lang w:val="en-US" w:eastAsia="zh-CN"/>
              </w:rPr>
              <w:t>125家法院综合考评</w:t>
            </w:r>
            <w:r>
              <w:rPr>
                <w:rFonts w:hint="eastAsia" w:ascii="仿宋" w:hAnsi="仿宋" w:eastAsia="仿宋" w:cs="仿宋"/>
                <w:color w:val="000000"/>
                <w:sz w:val="30"/>
                <w:szCs w:val="30"/>
                <w:lang w:eastAsia="zh-CN"/>
              </w:rPr>
              <w:t>中排名第</w:t>
            </w:r>
            <w:r>
              <w:rPr>
                <w:rFonts w:hint="eastAsia" w:ascii="仿宋" w:hAnsi="仿宋" w:eastAsia="仿宋" w:cs="仿宋"/>
                <w:color w:val="000000"/>
                <w:sz w:val="30"/>
                <w:szCs w:val="30"/>
                <w:lang w:val="en-US" w:eastAsia="zh-CN"/>
              </w:rPr>
              <w:t>25位，法检两院在市院绩效考核中均排名第一</w:t>
            </w:r>
            <w:r>
              <w:rPr>
                <w:rFonts w:hint="eastAsia" w:ascii="仿宋" w:hAnsi="仿宋" w:eastAsia="仿宋" w:cs="仿宋"/>
                <w:color w:val="000000"/>
                <w:sz w:val="30"/>
                <w:szCs w:val="30"/>
                <w:lang w:eastAsia="zh-CN"/>
              </w:rPr>
              <w:t xml:space="preserve">；县森林公安局被省局授予集体嘉奖；县消防大队被国家应急管理部消防局评为“改革转制教育整训先进大队”。 </w:t>
            </w:r>
          </w:p>
          <w:p>
            <w:pPr>
              <w:spacing w:line="560" w:lineRule="exact"/>
              <w:ind w:firstLine="600" w:firstLineChars="200"/>
              <w:rPr>
                <w:rFonts w:hint="eastAsia" w:ascii="黑体" w:hAnsi="黑体" w:eastAsia="黑体" w:cs="黑体"/>
                <w:sz w:val="30"/>
                <w:szCs w:val="30"/>
              </w:rPr>
            </w:pPr>
            <w:r>
              <w:rPr>
                <w:rFonts w:hint="eastAsia" w:ascii="黑体" w:hAnsi="黑体" w:eastAsia="黑体" w:cs="黑体"/>
                <w:sz w:val="30"/>
                <w:szCs w:val="30"/>
              </w:rPr>
              <w:t>二、部门（单位）整体支出管理及使用情况</w:t>
            </w:r>
          </w:p>
          <w:p>
            <w:pPr>
              <w:spacing w:line="560" w:lineRule="exact"/>
              <w:ind w:firstLine="602" w:firstLineChars="200"/>
              <w:rPr>
                <w:rFonts w:hint="eastAsia" w:ascii="楷体" w:hAnsi="楷体" w:eastAsia="楷体" w:cs="楷体"/>
                <w:b/>
                <w:bCs/>
                <w:sz w:val="30"/>
                <w:szCs w:val="30"/>
                <w:lang w:eastAsia="zh-CN"/>
              </w:rPr>
            </w:pPr>
            <w:r>
              <w:rPr>
                <w:rFonts w:hint="eastAsia" w:ascii="楷体" w:hAnsi="楷体" w:eastAsia="楷体" w:cs="楷体"/>
                <w:b/>
                <w:bCs/>
                <w:sz w:val="30"/>
                <w:szCs w:val="30"/>
              </w:rPr>
              <w:t>（一）基本支出</w:t>
            </w:r>
            <w:r>
              <w:rPr>
                <w:rFonts w:hint="eastAsia" w:ascii="楷体" w:hAnsi="楷体" w:eastAsia="楷体" w:cs="楷体"/>
                <w:b/>
                <w:bCs/>
                <w:sz w:val="30"/>
                <w:szCs w:val="30"/>
                <w:lang w:eastAsia="zh-CN"/>
              </w:rPr>
              <w:t>及专项支出</w:t>
            </w:r>
          </w:p>
          <w:p>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基本支出的主要用途是人员经费和日常公用经费，主要包括人员工资、津贴补贴、年终一次性奖金、社会保障缴费、办公费、印刷费、咨询费、水费、电费、邮电费、差旅费、维修（护）费、会议费、培训费、“三公”经费、生活补助、住房公积金、其他对个人和家庭的补助支出；其资金的管理通过国库集中支付；对“三公”经费的使用和管理，严格按照“只减不增”的原则控制，本单位“三公”经费其公务接待费</w:t>
            </w:r>
            <w:r>
              <w:rPr>
                <w:rFonts w:hint="eastAsia" w:ascii="仿宋" w:hAnsi="仿宋" w:eastAsia="仿宋" w:cs="仿宋"/>
                <w:sz w:val="30"/>
                <w:szCs w:val="30"/>
                <w:lang w:val="en-US" w:eastAsia="zh-CN"/>
              </w:rPr>
              <w:t>3.95万</w:t>
            </w:r>
            <w:r>
              <w:rPr>
                <w:rFonts w:hint="eastAsia" w:ascii="仿宋" w:hAnsi="仿宋" w:eastAsia="仿宋" w:cs="仿宋"/>
                <w:sz w:val="30"/>
                <w:szCs w:val="30"/>
              </w:rPr>
              <w:t>元，公车运行及维护费为0万元，会议费</w:t>
            </w:r>
            <w:r>
              <w:rPr>
                <w:rFonts w:hint="eastAsia" w:ascii="仿宋" w:hAnsi="仿宋" w:eastAsia="仿宋" w:cs="仿宋"/>
                <w:sz w:val="30"/>
                <w:szCs w:val="30"/>
                <w:lang w:val="en-US" w:eastAsia="zh-CN"/>
              </w:rPr>
              <w:t>3.2</w:t>
            </w:r>
            <w:r>
              <w:rPr>
                <w:rFonts w:hint="eastAsia" w:ascii="仿宋" w:hAnsi="仿宋" w:eastAsia="仿宋" w:cs="仿宋"/>
                <w:sz w:val="30"/>
                <w:szCs w:val="30"/>
              </w:rPr>
              <w:t>万元。</w:t>
            </w:r>
            <w:r>
              <w:rPr>
                <w:rFonts w:hint="eastAsia" w:ascii="仿宋" w:hAnsi="仿宋" w:eastAsia="仿宋" w:cs="仿宋"/>
                <w:sz w:val="30"/>
                <w:szCs w:val="30"/>
                <w:lang w:eastAsia="zh-CN"/>
              </w:rPr>
              <w:t>专项资金包括维稳、综治、涉法涉诉、处非、网格等项目，委机关成立专项资金集体审批小组，对每一笔专项资金使用进行集体审</w:t>
            </w:r>
            <w:bookmarkStart w:id="0" w:name="_GoBack"/>
            <w:bookmarkEnd w:id="0"/>
            <w:r>
              <w:rPr>
                <w:rFonts w:hint="eastAsia" w:ascii="仿宋" w:hAnsi="仿宋" w:eastAsia="仿宋" w:cs="仿宋"/>
                <w:sz w:val="30"/>
                <w:szCs w:val="30"/>
                <w:lang w:eastAsia="zh-CN"/>
              </w:rPr>
              <w:t>批制度，层层把关，严格按照制度落实。</w:t>
            </w:r>
          </w:p>
          <w:p>
            <w:pPr>
              <w:spacing w:line="560" w:lineRule="exact"/>
              <w:ind w:firstLine="600" w:firstLineChars="200"/>
              <w:rPr>
                <w:rFonts w:hint="eastAsia" w:ascii="黑体" w:hAnsi="黑体" w:eastAsia="黑体" w:cs="黑体"/>
                <w:sz w:val="30"/>
                <w:szCs w:val="30"/>
              </w:rPr>
            </w:pPr>
            <w:r>
              <w:rPr>
                <w:rFonts w:hint="eastAsia" w:ascii="黑体" w:hAnsi="黑体" w:eastAsia="黑体" w:cs="黑体"/>
                <w:sz w:val="30"/>
                <w:szCs w:val="30"/>
                <w:lang w:eastAsia="zh-CN"/>
              </w:rPr>
              <w:t>三</w:t>
            </w:r>
            <w:r>
              <w:rPr>
                <w:rFonts w:hint="eastAsia" w:ascii="黑体" w:hAnsi="黑体" w:eastAsia="黑体" w:cs="黑体"/>
                <w:sz w:val="30"/>
                <w:szCs w:val="30"/>
              </w:rPr>
              <w:t>、部门（单位）整体支出绩效情况</w:t>
            </w:r>
          </w:p>
          <w:p>
            <w:pPr>
              <w:ind w:firstLine="600" w:firstLineChars="200"/>
              <w:rPr>
                <w:rFonts w:hint="eastAsia" w:ascii="仿宋" w:hAnsi="仿宋" w:eastAsia="仿宋" w:cs="仿宋"/>
                <w:sz w:val="30"/>
                <w:szCs w:val="30"/>
              </w:rPr>
            </w:pPr>
            <w:r>
              <w:rPr>
                <w:rFonts w:hint="eastAsia" w:ascii="仿宋" w:hAnsi="仿宋" w:eastAsia="仿宋" w:cs="仿宋"/>
                <w:sz w:val="30"/>
                <w:szCs w:val="30"/>
              </w:rPr>
              <w:t>主要工作体现在</w:t>
            </w:r>
            <w:r>
              <w:rPr>
                <w:rFonts w:hint="eastAsia" w:ascii="仿宋" w:hAnsi="仿宋" w:eastAsia="仿宋" w:cs="仿宋"/>
                <w:sz w:val="30"/>
                <w:szCs w:val="30"/>
                <w:lang w:eastAsia="zh-CN"/>
              </w:rPr>
              <w:t>四</w:t>
            </w:r>
            <w:r>
              <w:rPr>
                <w:rFonts w:hint="eastAsia" w:ascii="仿宋" w:hAnsi="仿宋" w:eastAsia="仿宋" w:cs="仿宋"/>
                <w:sz w:val="30"/>
                <w:szCs w:val="30"/>
              </w:rPr>
              <w:t>个方面：</w:t>
            </w:r>
          </w:p>
          <w:p>
            <w:pPr>
              <w:keepNext w:val="0"/>
              <w:keepLines w:val="0"/>
              <w:pageBreakBefore w:val="0"/>
              <w:widowControl w:val="0"/>
              <w:kinsoku/>
              <w:wordWrap/>
              <w:overflowPunct/>
              <w:topLinePunct w:val="0"/>
              <w:autoSpaceDE/>
              <w:autoSpaceDN/>
              <w:bidi w:val="0"/>
              <w:adjustRightInd/>
              <w:snapToGrid/>
              <w:spacing w:line="600" w:lineRule="exact"/>
              <w:ind w:firstLine="602" w:firstLineChars="200"/>
              <w:textAlignment w:val="auto"/>
              <w:outlineLvl w:val="9"/>
              <w:rPr>
                <w:rFonts w:hint="eastAsia" w:ascii="仿宋" w:hAnsi="仿宋" w:eastAsia="仿宋" w:cs="仿宋"/>
                <w:b w:val="0"/>
                <w:bCs w:val="0"/>
                <w:color w:val="000000"/>
                <w:sz w:val="30"/>
                <w:szCs w:val="30"/>
                <w:lang w:eastAsia="zh-CN"/>
              </w:rPr>
            </w:pPr>
            <w:r>
              <w:rPr>
                <w:rFonts w:hint="eastAsia" w:ascii="楷体" w:hAnsi="楷体" w:eastAsia="楷体" w:cs="楷体"/>
                <w:b/>
                <w:bCs/>
                <w:color w:val="000000"/>
                <w:sz w:val="30"/>
                <w:szCs w:val="30"/>
                <w:lang w:eastAsia="zh-CN"/>
              </w:rPr>
              <w:t>一年来，我们深入排查化解矛盾纠纷，信访维稳形势总体平稳可控</w:t>
            </w:r>
            <w:r>
              <w:rPr>
                <w:rFonts w:hint="eastAsia" w:ascii="仿宋" w:hAnsi="仿宋" w:eastAsia="仿宋" w:cs="仿宋"/>
                <w:b/>
                <w:bCs/>
                <w:color w:val="000000"/>
                <w:sz w:val="30"/>
                <w:szCs w:val="30"/>
                <w:lang w:eastAsia="zh-CN"/>
              </w:rPr>
              <w:t>。</w:t>
            </w:r>
            <w:r>
              <w:rPr>
                <w:rFonts w:hint="eastAsia" w:ascii="仿宋" w:hAnsi="仿宋" w:eastAsia="仿宋" w:cs="仿宋"/>
                <w:color w:val="000000"/>
                <w:sz w:val="30"/>
                <w:szCs w:val="30"/>
                <w:lang w:val="en-US" w:eastAsia="zh-CN"/>
              </w:rPr>
              <w:t>全年共排查各类风险隐患4911个</w:t>
            </w:r>
            <w:r>
              <w:rPr>
                <w:rFonts w:hint="eastAsia" w:ascii="仿宋" w:hAnsi="仿宋" w:eastAsia="仿宋" w:cs="仿宋"/>
                <w:b w:val="0"/>
                <w:bCs w:val="0"/>
                <w:color w:val="000000"/>
                <w:sz w:val="30"/>
                <w:szCs w:val="30"/>
                <w:lang w:val="en-US" w:eastAsia="zh-CN"/>
              </w:rPr>
              <w:t>，</w:t>
            </w:r>
            <w:r>
              <w:rPr>
                <w:rFonts w:hint="eastAsia" w:ascii="仿宋" w:hAnsi="仿宋" w:eastAsia="仿宋" w:cs="仿宋"/>
                <w:color w:val="000000"/>
                <w:sz w:val="30"/>
                <w:szCs w:val="30"/>
                <w:lang w:eastAsia="zh-CN"/>
              </w:rPr>
              <w:t>依托各乡镇和村（社区）公共法律服务站点，成功</w:t>
            </w:r>
            <w:r>
              <w:rPr>
                <w:rFonts w:hint="eastAsia" w:ascii="仿宋" w:hAnsi="仿宋" w:eastAsia="仿宋" w:cs="仿宋"/>
                <w:color w:val="000000"/>
                <w:sz w:val="30"/>
                <w:szCs w:val="30"/>
                <w:lang w:val="en-US" w:eastAsia="zh-CN"/>
              </w:rPr>
              <w:t>调解各类矛盾纠纷4703件，涉及金额4700余万元。</w:t>
            </w:r>
            <w:r>
              <w:rPr>
                <w:rFonts w:hint="eastAsia" w:ascii="仿宋" w:hAnsi="仿宋" w:eastAsia="仿宋" w:cs="仿宋"/>
                <w:color w:val="000000"/>
                <w:sz w:val="30"/>
                <w:szCs w:val="30"/>
                <w:lang w:eastAsia="zh-CN"/>
              </w:rPr>
              <w:t>加强重点群体稳控，</w:t>
            </w:r>
            <w:r>
              <w:rPr>
                <w:rFonts w:hint="eastAsia" w:ascii="仿宋" w:hAnsi="仿宋" w:eastAsia="仿宋" w:cs="仿宋"/>
                <w:b w:val="0"/>
                <w:bCs w:val="0"/>
                <w:color w:val="000000"/>
                <w:sz w:val="30"/>
                <w:szCs w:val="30"/>
                <w:lang w:val="en-US" w:eastAsia="zh-CN"/>
              </w:rPr>
              <w:t>有效化解和制止越级上访、群访群闹50余起，打击非访12件15人。开展重点信访问题“三到位一处理”专项行动，上级交办的35件信访件全部化解到位，19件涉法涉诉信访事项导入司法途径解决，</w:t>
            </w:r>
            <w:r>
              <w:rPr>
                <w:rFonts w:hint="eastAsia" w:ascii="仿宋" w:hAnsi="仿宋" w:eastAsia="仿宋" w:cs="仿宋"/>
                <w:color w:val="000000"/>
                <w:sz w:val="30"/>
                <w:szCs w:val="30"/>
              </w:rPr>
              <w:t>推进</w:t>
            </w:r>
            <w:r>
              <w:rPr>
                <w:rFonts w:hint="eastAsia" w:ascii="仿宋" w:hAnsi="仿宋" w:eastAsia="仿宋" w:cs="仿宋"/>
                <w:color w:val="000000"/>
                <w:sz w:val="30"/>
                <w:szCs w:val="30"/>
                <w:lang w:eastAsia="zh-CN"/>
              </w:rPr>
              <w:t>司法</w:t>
            </w:r>
            <w:r>
              <w:rPr>
                <w:rFonts w:hint="eastAsia" w:ascii="仿宋" w:hAnsi="仿宋" w:eastAsia="仿宋" w:cs="仿宋"/>
                <w:color w:val="000000"/>
                <w:sz w:val="30"/>
                <w:szCs w:val="30"/>
              </w:rPr>
              <w:t>救助</w:t>
            </w:r>
            <w:r>
              <w:rPr>
                <w:rFonts w:hint="eastAsia" w:ascii="仿宋" w:hAnsi="仿宋" w:eastAsia="仿宋" w:cs="仿宋"/>
                <w:color w:val="000000"/>
                <w:sz w:val="30"/>
                <w:szCs w:val="30"/>
                <w:lang w:eastAsia="zh-CN"/>
              </w:rPr>
              <w:t>工作</w:t>
            </w:r>
            <w:r>
              <w:rPr>
                <w:rFonts w:hint="eastAsia" w:ascii="仿宋" w:hAnsi="仿宋" w:eastAsia="仿宋" w:cs="仿宋"/>
                <w:color w:val="000000"/>
                <w:sz w:val="30"/>
                <w:szCs w:val="30"/>
              </w:rPr>
              <w:t>，</w:t>
            </w:r>
            <w:r>
              <w:rPr>
                <w:rFonts w:hint="eastAsia" w:ascii="仿宋" w:hAnsi="仿宋" w:eastAsia="仿宋" w:cs="仿宋"/>
                <w:color w:val="000000"/>
                <w:sz w:val="30"/>
                <w:szCs w:val="30"/>
                <w:lang w:eastAsia="zh-CN"/>
              </w:rPr>
              <w:t>先后</w:t>
            </w:r>
            <w:r>
              <w:rPr>
                <w:rFonts w:hint="eastAsia" w:ascii="仿宋" w:hAnsi="仿宋" w:eastAsia="仿宋" w:cs="仿宋"/>
                <w:color w:val="000000"/>
                <w:sz w:val="30"/>
                <w:szCs w:val="30"/>
              </w:rPr>
              <w:t>办理救助</w:t>
            </w:r>
            <w:r>
              <w:rPr>
                <w:rFonts w:hint="eastAsia" w:ascii="仿宋" w:hAnsi="仿宋" w:eastAsia="仿宋" w:cs="仿宋"/>
                <w:color w:val="000000"/>
                <w:sz w:val="30"/>
                <w:szCs w:val="30"/>
                <w:lang w:val="en-US" w:eastAsia="zh-CN"/>
              </w:rPr>
              <w:t>23</w:t>
            </w:r>
            <w:r>
              <w:rPr>
                <w:rFonts w:hint="eastAsia" w:ascii="仿宋" w:hAnsi="仿宋" w:eastAsia="仿宋" w:cs="仿宋"/>
                <w:color w:val="000000"/>
                <w:sz w:val="30"/>
                <w:szCs w:val="30"/>
              </w:rPr>
              <w:t>件，拨付救助款</w:t>
            </w:r>
            <w:r>
              <w:rPr>
                <w:rFonts w:hint="eastAsia" w:ascii="仿宋" w:hAnsi="仿宋" w:eastAsia="仿宋" w:cs="仿宋"/>
                <w:color w:val="000000"/>
                <w:sz w:val="30"/>
                <w:szCs w:val="30"/>
                <w:lang w:val="en-US" w:eastAsia="zh-CN"/>
              </w:rPr>
              <w:t>66.7</w:t>
            </w:r>
            <w:r>
              <w:rPr>
                <w:rFonts w:hint="eastAsia" w:ascii="仿宋" w:hAnsi="仿宋" w:eastAsia="仿宋" w:cs="仿宋"/>
                <w:color w:val="000000"/>
                <w:sz w:val="30"/>
                <w:szCs w:val="30"/>
              </w:rPr>
              <w:t>万元</w:t>
            </w:r>
            <w:r>
              <w:rPr>
                <w:rFonts w:hint="eastAsia" w:ascii="仿宋" w:hAnsi="仿宋" w:eastAsia="仿宋" w:cs="仿宋"/>
                <w:color w:val="000000"/>
                <w:sz w:val="30"/>
                <w:szCs w:val="30"/>
                <w:lang w:eastAsia="zh-CN"/>
              </w:rPr>
              <w:t>，</w:t>
            </w:r>
            <w:r>
              <w:rPr>
                <w:rFonts w:hint="eastAsia" w:ascii="仿宋" w:hAnsi="仿宋" w:eastAsia="仿宋" w:cs="仿宋"/>
                <w:b w:val="0"/>
                <w:bCs w:val="0"/>
                <w:color w:val="000000"/>
                <w:sz w:val="30"/>
                <w:szCs w:val="30"/>
                <w:lang w:val="en-US" w:eastAsia="zh-CN"/>
              </w:rPr>
              <w:t>全县信访总量持续下降、存量逐年减少、变量总体可控</w:t>
            </w:r>
            <w:r>
              <w:rPr>
                <w:rFonts w:hint="eastAsia" w:ascii="仿宋" w:hAnsi="仿宋" w:eastAsia="仿宋" w:cs="仿宋"/>
                <w:color w:val="000000"/>
                <w:sz w:val="30"/>
                <w:szCs w:val="30"/>
                <w:lang w:val="en-US" w:eastAsia="zh-CN"/>
              </w:rPr>
              <w:t>。</w:t>
            </w:r>
          </w:p>
          <w:p>
            <w:pPr>
              <w:keepNext w:val="0"/>
              <w:keepLines w:val="0"/>
              <w:pageBreakBefore w:val="0"/>
              <w:widowControl w:val="0"/>
              <w:kinsoku/>
              <w:wordWrap/>
              <w:overflowPunct/>
              <w:topLinePunct w:val="0"/>
              <w:autoSpaceDE/>
              <w:autoSpaceDN/>
              <w:bidi w:val="0"/>
              <w:adjustRightInd/>
              <w:snapToGrid/>
              <w:spacing w:line="240" w:lineRule="auto"/>
              <w:ind w:firstLine="602" w:firstLineChars="200"/>
              <w:textAlignment w:val="auto"/>
              <w:outlineLvl w:val="9"/>
              <w:rPr>
                <w:rFonts w:hint="eastAsia" w:ascii="仿宋" w:hAnsi="仿宋" w:eastAsia="仿宋" w:cs="仿宋"/>
                <w:b w:val="0"/>
                <w:bCs w:val="0"/>
                <w:i w:val="0"/>
                <w:caps w:val="0"/>
                <w:color w:val="000000"/>
                <w:spacing w:val="0"/>
                <w:sz w:val="30"/>
                <w:szCs w:val="30"/>
                <w:shd w:val="clear" w:color="auto" w:fill="FFFFFF"/>
                <w:lang w:val="en-US" w:eastAsia="zh-CN"/>
              </w:rPr>
            </w:pPr>
            <w:r>
              <w:rPr>
                <w:rFonts w:hint="eastAsia" w:ascii="楷体" w:hAnsi="楷体" w:eastAsia="楷体" w:cs="楷体"/>
                <w:b/>
                <w:bCs/>
                <w:color w:val="000000"/>
                <w:sz w:val="30"/>
                <w:szCs w:val="30"/>
                <w:lang w:eastAsia="zh-CN"/>
              </w:rPr>
              <w:t>一年来，我们加强和创新社会治理，政法综治工作取得重要进展</w:t>
            </w:r>
            <w:r>
              <w:rPr>
                <w:rFonts w:hint="eastAsia" w:ascii="仿宋" w:hAnsi="仿宋" w:eastAsia="仿宋" w:cs="仿宋"/>
                <w:b/>
                <w:bCs/>
                <w:color w:val="000000"/>
                <w:sz w:val="30"/>
                <w:szCs w:val="30"/>
                <w:lang w:eastAsia="zh-CN"/>
              </w:rPr>
              <w:t>。</w:t>
            </w:r>
            <w:r>
              <w:rPr>
                <w:rFonts w:hint="eastAsia" w:ascii="仿宋" w:hAnsi="仿宋" w:eastAsia="仿宋" w:cs="仿宋"/>
                <w:b w:val="0"/>
                <w:bCs w:val="0"/>
                <w:color w:val="000000"/>
                <w:sz w:val="30"/>
                <w:szCs w:val="30"/>
                <w:shd w:val="clear" w:color="auto" w:fill="FFFFFF"/>
                <w:lang w:val="en-US" w:eastAsia="zh-CN"/>
              </w:rPr>
              <w:t>成立了县网格化管理服务中心，高标准建成了县级综治中心和网格化管理服务</w:t>
            </w:r>
            <w:r>
              <w:rPr>
                <w:rFonts w:hint="eastAsia" w:ascii="仿宋" w:hAnsi="仿宋" w:eastAsia="仿宋" w:cs="仿宋"/>
                <w:color w:val="000000"/>
                <w:sz w:val="30"/>
                <w:szCs w:val="30"/>
                <w:lang w:eastAsia="zh-CN"/>
              </w:rPr>
              <w:t>平台，配备专职网格员</w:t>
            </w:r>
            <w:r>
              <w:rPr>
                <w:rFonts w:hint="eastAsia" w:ascii="仿宋" w:hAnsi="仿宋" w:eastAsia="仿宋" w:cs="仿宋"/>
                <w:color w:val="000000"/>
                <w:sz w:val="30"/>
                <w:szCs w:val="30"/>
                <w:lang w:val="en-US" w:eastAsia="zh-CN"/>
              </w:rPr>
              <w:t>47名</w:t>
            </w:r>
            <w:r>
              <w:rPr>
                <w:rFonts w:hint="eastAsia" w:ascii="仿宋" w:hAnsi="仿宋" w:eastAsia="仿宋" w:cs="仿宋"/>
                <w:color w:val="000000"/>
                <w:sz w:val="30"/>
                <w:szCs w:val="30"/>
                <w:lang w:eastAsia="zh-CN"/>
              </w:rPr>
              <w:t>，录入基础信息</w:t>
            </w:r>
            <w:r>
              <w:rPr>
                <w:rFonts w:hint="eastAsia" w:ascii="仿宋" w:hAnsi="仿宋" w:eastAsia="仿宋" w:cs="仿宋"/>
                <w:color w:val="000000"/>
                <w:sz w:val="30"/>
                <w:szCs w:val="30"/>
                <w:lang w:val="en-US" w:eastAsia="zh-CN"/>
              </w:rPr>
              <w:t>100</w:t>
            </w:r>
            <w:r>
              <w:rPr>
                <w:rFonts w:hint="eastAsia" w:ascii="仿宋" w:hAnsi="仿宋" w:eastAsia="仿宋" w:cs="仿宋"/>
                <w:color w:val="000000"/>
                <w:sz w:val="30"/>
                <w:szCs w:val="30"/>
                <w:lang w:eastAsia="zh-CN"/>
              </w:rPr>
              <w:t>万余条</w:t>
            </w:r>
            <w:r>
              <w:rPr>
                <w:rFonts w:hint="eastAsia" w:ascii="仿宋" w:hAnsi="仿宋" w:eastAsia="仿宋" w:cs="仿宋"/>
                <w:b w:val="0"/>
                <w:bCs w:val="0"/>
                <w:color w:val="000000"/>
                <w:sz w:val="30"/>
                <w:szCs w:val="30"/>
                <w:lang w:eastAsia="zh-CN"/>
              </w:rPr>
              <w:t>。</w:t>
            </w:r>
            <w:r>
              <w:rPr>
                <w:rFonts w:hint="eastAsia" w:ascii="仿宋" w:hAnsi="仿宋" w:eastAsia="仿宋" w:cs="仿宋"/>
                <w:color w:val="000000"/>
                <w:sz w:val="30"/>
                <w:szCs w:val="30"/>
                <w:lang w:eastAsia="zh-CN"/>
              </w:rPr>
              <w:t>按照“一年打击遏制、两年深挖根治、三年长效长治”的工作目标，高位部署了扫黑除恶专项斗争，掀起了强大攻势。截至目前，共</w:t>
            </w:r>
            <w:r>
              <w:rPr>
                <w:rFonts w:hint="eastAsia" w:ascii="仿宋" w:hAnsi="仿宋" w:eastAsia="仿宋" w:cs="仿宋"/>
                <w:color w:val="000000"/>
                <w:sz w:val="30"/>
                <w:szCs w:val="30"/>
                <w:lang w:val="en-US" w:eastAsia="zh-CN"/>
              </w:rPr>
              <w:t>打掉涉恶犯罪团伙3个，破获</w:t>
            </w:r>
            <w:r>
              <w:rPr>
                <w:rFonts w:hint="eastAsia" w:ascii="仿宋" w:hAnsi="仿宋" w:eastAsia="仿宋" w:cs="仿宋"/>
                <w:color w:val="000000"/>
                <w:sz w:val="30"/>
                <w:szCs w:val="30"/>
              </w:rPr>
              <w:t>涉恶</w:t>
            </w:r>
            <w:r>
              <w:rPr>
                <w:rFonts w:hint="eastAsia" w:ascii="仿宋" w:hAnsi="仿宋" w:eastAsia="仿宋" w:cs="仿宋"/>
                <w:color w:val="000000"/>
                <w:sz w:val="30"/>
                <w:szCs w:val="30"/>
                <w:lang w:eastAsia="zh-CN"/>
              </w:rPr>
              <w:t>案件</w:t>
            </w:r>
            <w:r>
              <w:rPr>
                <w:rFonts w:hint="eastAsia" w:ascii="仿宋" w:hAnsi="仿宋" w:eastAsia="仿宋" w:cs="仿宋"/>
                <w:color w:val="000000"/>
                <w:sz w:val="30"/>
                <w:szCs w:val="30"/>
                <w:lang w:val="en-US" w:eastAsia="zh-CN"/>
              </w:rPr>
              <w:t>20起</w:t>
            </w:r>
            <w:r>
              <w:rPr>
                <w:rFonts w:hint="eastAsia" w:ascii="仿宋" w:hAnsi="仿宋" w:eastAsia="仿宋" w:cs="仿宋"/>
                <w:color w:val="000000"/>
                <w:sz w:val="30"/>
                <w:szCs w:val="30"/>
              </w:rPr>
              <w:t>，</w:t>
            </w:r>
            <w:r>
              <w:rPr>
                <w:rFonts w:hint="eastAsia" w:ascii="仿宋" w:hAnsi="仿宋" w:eastAsia="仿宋" w:cs="仿宋"/>
                <w:color w:val="000000"/>
                <w:sz w:val="30"/>
                <w:szCs w:val="30"/>
                <w:lang w:eastAsia="zh-CN"/>
              </w:rPr>
              <w:t>抓获涉案人员</w:t>
            </w:r>
            <w:r>
              <w:rPr>
                <w:rFonts w:hint="eastAsia" w:ascii="仿宋" w:hAnsi="仿宋" w:eastAsia="仿宋" w:cs="仿宋"/>
                <w:color w:val="000000"/>
                <w:sz w:val="30"/>
                <w:szCs w:val="30"/>
                <w:lang w:val="en-US" w:eastAsia="zh-CN"/>
              </w:rPr>
              <w:t>4</w:t>
            </w:r>
            <w:r>
              <w:rPr>
                <w:rFonts w:hint="eastAsia" w:ascii="仿宋" w:hAnsi="仿宋" w:eastAsia="仿宋" w:cs="仿宋"/>
                <w:color w:val="000000"/>
                <w:sz w:val="30"/>
                <w:szCs w:val="30"/>
              </w:rPr>
              <w:t>3人</w:t>
            </w:r>
            <w:r>
              <w:rPr>
                <w:rFonts w:hint="eastAsia" w:ascii="仿宋" w:hAnsi="仿宋" w:eastAsia="仿宋" w:cs="仿宋"/>
                <w:color w:val="000000"/>
                <w:sz w:val="30"/>
                <w:szCs w:val="30"/>
                <w:lang w:eastAsia="zh-CN"/>
              </w:rPr>
              <w:t>，对以刘练兵为首的</w:t>
            </w:r>
            <w:r>
              <w:rPr>
                <w:rFonts w:hint="eastAsia" w:ascii="仿宋" w:hAnsi="仿宋" w:eastAsia="仿宋" w:cs="仿宋"/>
                <w:color w:val="000000"/>
                <w:sz w:val="30"/>
                <w:szCs w:val="30"/>
                <w:lang w:val="en-US" w:eastAsia="zh-CN"/>
              </w:rPr>
              <w:t>16人</w:t>
            </w:r>
            <w:r>
              <w:rPr>
                <w:rFonts w:hint="eastAsia" w:ascii="仿宋" w:hAnsi="仿宋" w:eastAsia="仿宋" w:cs="仿宋"/>
                <w:color w:val="000000"/>
                <w:sz w:val="30"/>
                <w:szCs w:val="30"/>
                <w:lang w:eastAsia="zh-CN"/>
              </w:rPr>
              <w:t>恶势力犯罪集团进行了公开庭审，形成了较大震慑。严格落实综治领导责任制，强力推进综治民调，扎实开展了</w:t>
            </w:r>
            <w:r>
              <w:rPr>
                <w:rFonts w:hint="eastAsia" w:ascii="仿宋" w:hAnsi="仿宋" w:eastAsia="仿宋" w:cs="仿宋"/>
                <w:b w:val="0"/>
                <w:bCs w:val="0"/>
                <w:i w:val="0"/>
                <w:caps w:val="0"/>
                <w:color w:val="000000"/>
                <w:spacing w:val="0"/>
                <w:sz w:val="30"/>
                <w:szCs w:val="30"/>
                <w:shd w:val="clear" w:color="auto" w:fill="FFFFFF"/>
                <w:lang w:val="en-US" w:eastAsia="zh-CN"/>
              </w:rPr>
              <w:t>平安创建活动，平安华容建设深入人心。</w:t>
            </w:r>
            <w:r>
              <w:rPr>
                <w:rFonts w:hint="eastAsia" w:ascii="仿宋" w:hAnsi="仿宋" w:eastAsia="仿宋" w:cs="仿宋"/>
                <w:color w:val="000000"/>
                <w:sz w:val="30"/>
                <w:szCs w:val="30"/>
                <w:shd w:val="clear" w:color="auto" w:fill="FFFFFF"/>
                <w:lang w:val="en-US" w:eastAsia="zh-CN"/>
              </w:rPr>
              <w:t>坚持发展新时代“枫桥经验”，成功打造无非正常上访、无治安刑事案件、无公共安全事件的“三无”村（社区）61个</w:t>
            </w:r>
            <w:r>
              <w:rPr>
                <w:rFonts w:hint="eastAsia" w:ascii="仿宋" w:hAnsi="仿宋" w:eastAsia="仿宋" w:cs="仿宋"/>
                <w:color w:val="000000"/>
                <w:sz w:val="30"/>
                <w:szCs w:val="30"/>
                <w:lang w:eastAsia="zh-CN"/>
              </w:rPr>
              <w:t>。</w:t>
            </w:r>
            <w:r>
              <w:rPr>
                <w:rFonts w:hint="eastAsia" w:ascii="仿宋" w:hAnsi="仿宋" w:eastAsia="仿宋" w:cs="仿宋"/>
                <w:b w:val="0"/>
                <w:bCs w:val="0"/>
                <w:sz w:val="30"/>
                <w:szCs w:val="30"/>
                <w:lang w:val="en-US" w:eastAsia="zh-CN"/>
              </w:rPr>
              <w:t>统一为县域境内精神障碍患者肇事肇祸购买了责任保险，成功调处相关案事件6起，理赔47万余元。</w:t>
            </w:r>
          </w:p>
          <w:p>
            <w:pPr>
              <w:keepNext w:val="0"/>
              <w:keepLines w:val="0"/>
              <w:pageBreakBefore w:val="0"/>
              <w:widowControl w:val="0"/>
              <w:kinsoku/>
              <w:wordWrap/>
              <w:overflowPunct/>
              <w:topLinePunct w:val="0"/>
              <w:autoSpaceDE/>
              <w:autoSpaceDN/>
              <w:bidi w:val="0"/>
              <w:adjustRightInd/>
              <w:snapToGrid/>
              <w:spacing w:line="240" w:lineRule="auto"/>
              <w:ind w:firstLine="602" w:firstLineChars="200"/>
              <w:textAlignment w:val="auto"/>
              <w:outlineLvl w:val="9"/>
              <w:rPr>
                <w:rFonts w:hint="eastAsia" w:ascii="仿宋" w:hAnsi="仿宋" w:eastAsia="仿宋" w:cs="仿宋"/>
                <w:b w:val="0"/>
                <w:bCs w:val="0"/>
                <w:color w:val="000000"/>
                <w:sz w:val="30"/>
                <w:szCs w:val="30"/>
                <w:lang w:val="en-US" w:eastAsia="zh-CN"/>
              </w:rPr>
            </w:pPr>
            <w:r>
              <w:rPr>
                <w:rFonts w:hint="eastAsia" w:ascii="楷体" w:hAnsi="楷体" w:eastAsia="楷体" w:cs="楷体"/>
                <w:b/>
                <w:bCs/>
                <w:color w:val="000000"/>
                <w:sz w:val="30"/>
                <w:szCs w:val="30"/>
                <w:lang w:eastAsia="zh-CN"/>
              </w:rPr>
              <w:t>一年来，我们深入推进平安华容、法治华容建设，服务保障更加有力有效</w:t>
            </w:r>
            <w:r>
              <w:rPr>
                <w:rFonts w:hint="eastAsia" w:ascii="仿宋" w:hAnsi="仿宋" w:eastAsia="仿宋" w:cs="仿宋"/>
                <w:b/>
                <w:bCs/>
                <w:color w:val="000000"/>
                <w:sz w:val="30"/>
                <w:szCs w:val="30"/>
                <w:lang w:eastAsia="zh-CN"/>
              </w:rPr>
              <w:t>。</w:t>
            </w:r>
            <w:r>
              <w:rPr>
                <w:rFonts w:hint="eastAsia" w:ascii="仿宋" w:hAnsi="仿宋" w:eastAsia="仿宋" w:cs="仿宋"/>
                <w:color w:val="000000"/>
                <w:sz w:val="30"/>
                <w:szCs w:val="30"/>
                <w:lang w:val="en-US" w:eastAsia="zh-CN"/>
              </w:rPr>
              <w:t>坚持把完善立体化社会治安防控体系建设作为平安华容建设的基础工程，全力保障公共安全，</w:t>
            </w:r>
            <w:r>
              <w:rPr>
                <w:rFonts w:hint="eastAsia" w:ascii="仿宋" w:hAnsi="仿宋" w:eastAsia="仿宋" w:cs="仿宋"/>
                <w:b w:val="0"/>
                <w:bCs w:val="0"/>
                <w:color w:val="000000"/>
                <w:sz w:val="30"/>
                <w:szCs w:val="30"/>
                <w:lang w:val="en-US" w:eastAsia="zh-CN"/>
              </w:rPr>
              <w:t>实现了“三降两升”：刑事案件发案、火灾事故、交通亡人事故持续下降，群众安全感、满意度不断提升。公安局侦破刑事案件463起，查处治安行政案件1036件，检察院批准逮捕213件253人，提起公诉342件426人，</w:t>
            </w:r>
            <w:r>
              <w:rPr>
                <w:rFonts w:hint="eastAsia" w:ascii="仿宋" w:hAnsi="仿宋" w:eastAsia="仿宋" w:cs="仿宋"/>
                <w:b w:val="0"/>
                <w:bCs w:val="0"/>
                <w:color w:val="000000"/>
                <w:sz w:val="30"/>
                <w:szCs w:val="30"/>
                <w:lang w:eastAsia="zh-CN"/>
              </w:rPr>
              <w:t>法院审结</w:t>
            </w:r>
            <w:r>
              <w:rPr>
                <w:rFonts w:hint="eastAsia" w:ascii="仿宋" w:hAnsi="仿宋" w:eastAsia="仿宋" w:cs="仿宋"/>
                <w:b w:val="0"/>
                <w:bCs w:val="0"/>
                <w:color w:val="000000"/>
                <w:sz w:val="30"/>
                <w:szCs w:val="30"/>
                <w:lang w:val="en-US" w:eastAsia="zh-CN"/>
              </w:rPr>
              <w:t>4994件，司法局办理法律援助242件，公证件2300件，交警大队开展现场执法近3万起，非现场执法12万余起，查处酒驾380起、醉驾12起、毒驾1起，行政拘留218人，刑事拘留59人。</w:t>
            </w:r>
            <w:r>
              <w:rPr>
                <w:rFonts w:hint="eastAsia" w:ascii="仿宋" w:hAnsi="仿宋" w:eastAsia="仿宋" w:cs="仿宋"/>
                <w:b w:val="0"/>
                <w:bCs w:val="0"/>
                <w:color w:val="000000"/>
                <w:sz w:val="30"/>
                <w:szCs w:val="30"/>
                <w:lang w:eastAsia="zh-CN"/>
              </w:rPr>
              <w:t>全面实施禁毒工作“摘帽进位”工程，</w:t>
            </w:r>
            <w:r>
              <w:rPr>
                <w:rFonts w:hint="eastAsia" w:ascii="仿宋" w:hAnsi="仿宋" w:eastAsia="仿宋" w:cs="仿宋"/>
                <w:b w:val="0"/>
                <w:bCs w:val="0"/>
                <w:color w:val="000000"/>
                <w:sz w:val="30"/>
                <w:szCs w:val="30"/>
                <w:lang w:val="en-US" w:eastAsia="zh-CN"/>
              </w:rPr>
              <w:t>吸毒人员管控率达98%，禁毒民调全省排名第22位。</w:t>
            </w:r>
            <w:r>
              <w:rPr>
                <w:rFonts w:hint="eastAsia" w:ascii="仿宋" w:hAnsi="仿宋" w:eastAsia="仿宋" w:cs="仿宋"/>
                <w:color w:val="000000"/>
                <w:sz w:val="30"/>
                <w:szCs w:val="30"/>
                <w:lang w:val="en-US" w:eastAsia="zh-CN"/>
              </w:rPr>
              <w:t>积极推进法检两院内设机构改革和人财物省级统管，办案质效进一步提升。</w:t>
            </w:r>
            <w:r>
              <w:rPr>
                <w:rFonts w:hint="eastAsia" w:ascii="仿宋" w:hAnsi="仿宋" w:eastAsia="仿宋" w:cs="仿宋"/>
                <w:b w:val="0"/>
                <w:bCs w:val="0"/>
                <w:color w:val="000000"/>
                <w:sz w:val="30"/>
                <w:szCs w:val="30"/>
                <w:lang w:val="en-US" w:eastAsia="zh-CN"/>
              </w:rPr>
              <w:t>全力防范化解重大金融风险，查处涉众型经济案件13件20人。全面开展</w:t>
            </w:r>
            <w:r>
              <w:rPr>
                <w:rFonts w:hint="eastAsia" w:ascii="仿宋" w:hAnsi="仿宋" w:eastAsia="仿宋" w:cs="仿宋"/>
                <w:b w:val="0"/>
                <w:bCs w:val="0"/>
                <w:color w:val="000000"/>
                <w:sz w:val="30"/>
                <w:szCs w:val="30"/>
                <w:shd w:val="clear" w:color="auto" w:fill="FFFFFF"/>
                <w:lang w:val="en-US" w:eastAsia="zh-CN"/>
              </w:rPr>
              <w:t>公益诉讼工作，审结洞庭湖水域非法捕捞圆田螺案4件，关停排污企业2家；强化医药卫生领域监督，办理食药公益诉讼案件114件，注销乡村诊所经营资格13个。进一步</w:t>
            </w:r>
            <w:r>
              <w:rPr>
                <w:rFonts w:hint="eastAsia" w:ascii="仿宋" w:hAnsi="仿宋" w:eastAsia="仿宋" w:cs="仿宋"/>
                <w:b w:val="0"/>
                <w:bCs w:val="0"/>
                <w:color w:val="000000"/>
                <w:sz w:val="30"/>
                <w:szCs w:val="30"/>
                <w:lang w:val="en-US" w:eastAsia="zh-CN"/>
              </w:rPr>
              <w:t>加大执行力度，全年共执结案件1520件，司法拘留110余人，移送涉嫌拒不执行犯罪案件6件，336人列入失信被执行人“黑名单”，执行到位金额近1.2亿元。</w:t>
            </w:r>
            <w:r>
              <w:rPr>
                <w:rFonts w:hint="eastAsia" w:ascii="仿宋" w:hAnsi="仿宋" w:eastAsia="仿宋" w:cs="仿宋"/>
                <w:b w:val="0"/>
                <w:bCs w:val="0"/>
                <w:sz w:val="30"/>
                <w:szCs w:val="30"/>
                <w:lang w:val="en-US" w:eastAsia="zh-CN"/>
              </w:rPr>
              <w:t>全面开展法律服务市场清理整顿，</w:t>
            </w:r>
            <w:r>
              <w:rPr>
                <w:rFonts w:hint="eastAsia" w:ascii="仿宋" w:hAnsi="仿宋" w:eastAsia="仿宋" w:cs="仿宋"/>
                <w:b w:val="0"/>
                <w:bCs w:val="0"/>
                <w:color w:val="000000"/>
                <w:sz w:val="30"/>
                <w:szCs w:val="30"/>
                <w:lang w:val="en-US" w:eastAsia="zh-CN"/>
              </w:rPr>
              <w:t>公共法律服务体系建设深入推进。广泛开展法治宣教和法律服务，</w:t>
            </w:r>
            <w:r>
              <w:rPr>
                <w:rFonts w:hint="eastAsia" w:ascii="仿宋" w:hAnsi="仿宋" w:eastAsia="仿宋" w:cs="仿宋"/>
                <w:color w:val="000000"/>
                <w:sz w:val="30"/>
                <w:szCs w:val="30"/>
                <w:lang w:eastAsia="zh-CN"/>
              </w:rPr>
              <w:t>领导干部和国家工作人员学法考法实现全覆盖，</w:t>
            </w:r>
            <w:r>
              <w:rPr>
                <w:rFonts w:hint="eastAsia" w:ascii="仿宋" w:hAnsi="仿宋" w:eastAsia="仿宋" w:cs="仿宋"/>
                <w:b w:val="0"/>
                <w:bCs w:val="0"/>
                <w:color w:val="000000"/>
                <w:sz w:val="30"/>
                <w:szCs w:val="30"/>
                <w:lang w:val="en-US" w:eastAsia="zh-CN"/>
              </w:rPr>
              <w:t>成功</w:t>
            </w:r>
            <w:r>
              <w:rPr>
                <w:rFonts w:hint="eastAsia" w:ascii="仿宋" w:hAnsi="仿宋" w:eastAsia="仿宋" w:cs="仿宋"/>
                <w:color w:val="000000"/>
                <w:sz w:val="30"/>
                <w:szCs w:val="30"/>
                <w:shd w:val="clear" w:color="auto" w:fill="FFFFFF"/>
                <w:lang w:val="en-US" w:eastAsia="zh-CN"/>
              </w:rPr>
              <w:t>创建省级民主法治示范村（社区）3个</w:t>
            </w:r>
            <w:r>
              <w:rPr>
                <w:rFonts w:hint="eastAsia" w:ascii="仿宋" w:hAnsi="仿宋" w:eastAsia="仿宋" w:cs="仿宋"/>
                <w:b w:val="0"/>
                <w:bCs w:val="0"/>
                <w:color w:val="000000"/>
                <w:sz w:val="30"/>
                <w:szCs w:val="30"/>
                <w:lang w:val="en-US" w:eastAsia="zh-CN"/>
              </w:rPr>
              <w:t>，</w:t>
            </w:r>
            <w:r>
              <w:rPr>
                <w:rFonts w:hint="eastAsia" w:ascii="仿宋" w:hAnsi="仿宋" w:eastAsia="仿宋" w:cs="仿宋"/>
                <w:color w:val="000000"/>
                <w:sz w:val="30"/>
                <w:szCs w:val="30"/>
                <w:lang w:eastAsia="zh-CN"/>
              </w:rPr>
              <w:t>县花鼓戏协会作为全市唯一代表入选湖南省最美公益普法集体。</w:t>
            </w:r>
            <w:r>
              <w:rPr>
                <w:rFonts w:hint="eastAsia" w:ascii="仿宋" w:hAnsi="仿宋" w:eastAsia="仿宋" w:cs="仿宋"/>
                <w:b w:val="0"/>
                <w:bCs w:val="0"/>
                <w:color w:val="000000"/>
                <w:sz w:val="30"/>
                <w:szCs w:val="30"/>
                <w:lang w:val="en-US" w:eastAsia="zh-CN"/>
              </w:rPr>
              <w:t>争创省级道路交通平安县，在全市率先推行“路长制”，全年未发生一次性死亡3人以上较大交通事故，重大节假日未发生长时间、大面积交通拥堵，全市农村道路交通安全管理工作现场会在我县召开，有关经验在全市推广。</w:t>
            </w:r>
          </w:p>
          <w:p>
            <w:pPr>
              <w:keepNext w:val="0"/>
              <w:keepLines w:val="0"/>
              <w:pageBreakBefore w:val="0"/>
              <w:widowControl w:val="0"/>
              <w:kinsoku/>
              <w:wordWrap/>
              <w:overflowPunct/>
              <w:topLinePunct w:val="0"/>
              <w:autoSpaceDE/>
              <w:autoSpaceDN/>
              <w:bidi w:val="0"/>
              <w:adjustRightInd/>
              <w:snapToGrid/>
              <w:spacing w:line="240" w:lineRule="auto"/>
              <w:ind w:firstLine="602" w:firstLineChars="200"/>
              <w:textAlignment w:val="auto"/>
              <w:outlineLvl w:val="9"/>
              <w:rPr>
                <w:rFonts w:hint="eastAsia" w:ascii="仿宋" w:hAnsi="仿宋" w:eastAsia="仿宋" w:cs="仿宋"/>
                <w:b w:val="0"/>
                <w:bCs w:val="0"/>
                <w:color w:val="000000"/>
                <w:sz w:val="30"/>
                <w:szCs w:val="30"/>
                <w:lang w:val="en-US" w:eastAsia="zh-CN"/>
              </w:rPr>
            </w:pPr>
            <w:r>
              <w:rPr>
                <w:rFonts w:hint="eastAsia" w:ascii="楷体" w:hAnsi="楷体" w:eastAsia="楷体" w:cs="楷体"/>
                <w:b/>
                <w:bCs/>
                <w:color w:val="000000"/>
                <w:sz w:val="30"/>
                <w:szCs w:val="30"/>
                <w:lang w:eastAsia="zh-CN"/>
              </w:rPr>
              <w:t>一年来，我们扎实开展政法干警整训，政法基层基础更加夯实</w:t>
            </w:r>
            <w:r>
              <w:rPr>
                <w:rFonts w:hint="eastAsia" w:ascii="仿宋" w:hAnsi="仿宋" w:eastAsia="仿宋" w:cs="仿宋"/>
                <w:b/>
                <w:bCs/>
                <w:color w:val="000000"/>
                <w:sz w:val="30"/>
                <w:szCs w:val="30"/>
                <w:lang w:eastAsia="zh-CN"/>
              </w:rPr>
              <w:t>。</w:t>
            </w:r>
            <w:r>
              <w:rPr>
                <w:rFonts w:hint="eastAsia" w:ascii="仿宋" w:hAnsi="仿宋" w:eastAsia="仿宋" w:cs="仿宋"/>
                <w:b w:val="0"/>
                <w:bCs w:val="0"/>
                <w:color w:val="000000"/>
                <w:sz w:val="30"/>
                <w:szCs w:val="30"/>
                <w:lang w:eastAsia="zh-CN"/>
              </w:rPr>
              <w:t>先后组织了干警整训、警示教育，案件质量大评查、纪律作风大检查等系列活动，查处违纪违法案件1</w:t>
            </w:r>
            <w:r>
              <w:rPr>
                <w:rFonts w:hint="eastAsia" w:ascii="仿宋" w:hAnsi="仿宋" w:eastAsia="仿宋" w:cs="仿宋"/>
                <w:b w:val="0"/>
                <w:bCs w:val="0"/>
                <w:color w:val="000000"/>
                <w:sz w:val="30"/>
                <w:szCs w:val="30"/>
                <w:lang w:val="en-US" w:eastAsia="zh-CN"/>
              </w:rPr>
              <w:t>6</w:t>
            </w:r>
            <w:r>
              <w:rPr>
                <w:rFonts w:hint="eastAsia" w:ascii="仿宋" w:hAnsi="仿宋" w:eastAsia="仿宋" w:cs="仿宋"/>
                <w:b w:val="0"/>
                <w:bCs w:val="0"/>
                <w:color w:val="000000"/>
                <w:sz w:val="30"/>
                <w:szCs w:val="30"/>
                <w:lang w:eastAsia="zh-CN"/>
              </w:rPr>
              <w:t>件，处分1</w:t>
            </w:r>
            <w:r>
              <w:rPr>
                <w:rFonts w:hint="eastAsia" w:ascii="仿宋" w:hAnsi="仿宋" w:eastAsia="仿宋" w:cs="仿宋"/>
                <w:b w:val="0"/>
                <w:bCs w:val="0"/>
                <w:color w:val="000000"/>
                <w:sz w:val="30"/>
                <w:szCs w:val="30"/>
                <w:lang w:val="en-US" w:eastAsia="zh-CN"/>
              </w:rPr>
              <w:t>6</w:t>
            </w:r>
            <w:r>
              <w:rPr>
                <w:rFonts w:hint="eastAsia" w:ascii="仿宋" w:hAnsi="仿宋" w:eastAsia="仿宋" w:cs="仿宋"/>
                <w:b w:val="0"/>
                <w:bCs w:val="0"/>
                <w:color w:val="000000"/>
                <w:sz w:val="30"/>
                <w:szCs w:val="30"/>
                <w:lang w:eastAsia="zh-CN"/>
              </w:rPr>
              <w:t>人，谈话提醒24人次，诫勉谈话3人次。加强政法宣传和舆情管控</w:t>
            </w:r>
            <w:r>
              <w:rPr>
                <w:rFonts w:hint="eastAsia" w:ascii="仿宋" w:hAnsi="仿宋" w:eastAsia="仿宋" w:cs="仿宋"/>
                <w:b w:val="0"/>
                <w:bCs w:val="0"/>
                <w:color w:val="000000"/>
                <w:sz w:val="30"/>
                <w:szCs w:val="30"/>
              </w:rPr>
              <w:t>，</w:t>
            </w:r>
            <w:r>
              <w:rPr>
                <w:rFonts w:hint="eastAsia" w:ascii="仿宋" w:hAnsi="仿宋" w:eastAsia="仿宋" w:cs="仿宋"/>
                <w:b w:val="0"/>
                <w:bCs w:val="0"/>
                <w:color w:val="000000"/>
                <w:sz w:val="30"/>
                <w:szCs w:val="30"/>
                <w:lang w:eastAsia="zh-CN"/>
              </w:rPr>
              <w:t>组建了长安剑华容剑友群，并依托政法新媒体，</w:t>
            </w:r>
            <w:r>
              <w:rPr>
                <w:rFonts w:hint="eastAsia" w:ascii="仿宋" w:hAnsi="仿宋" w:eastAsia="仿宋" w:cs="仿宋"/>
                <w:b w:val="0"/>
                <w:bCs w:val="0"/>
                <w:color w:val="000000"/>
                <w:sz w:val="30"/>
                <w:szCs w:val="30"/>
              </w:rPr>
              <w:t>发布各类新闻消息千余篇。</w:t>
            </w:r>
            <w:r>
              <w:rPr>
                <w:rFonts w:hint="eastAsia" w:ascii="仿宋" w:hAnsi="仿宋" w:eastAsia="仿宋" w:cs="仿宋"/>
                <w:b w:val="0"/>
                <w:bCs w:val="0"/>
                <w:color w:val="000000"/>
                <w:sz w:val="30"/>
                <w:szCs w:val="30"/>
                <w:lang w:eastAsia="zh-CN"/>
              </w:rPr>
              <w:t>各乡镇、村（社区）综治中心、法律服务站点，以及</w:t>
            </w:r>
            <w:r>
              <w:rPr>
                <w:rFonts w:hint="eastAsia" w:ascii="仿宋" w:hAnsi="仿宋" w:eastAsia="仿宋" w:cs="仿宋"/>
                <w:b w:val="0"/>
                <w:bCs w:val="0"/>
                <w:color w:val="000000"/>
                <w:sz w:val="30"/>
                <w:szCs w:val="30"/>
                <w:lang w:val="en-US" w:eastAsia="zh-CN"/>
              </w:rPr>
              <w:t>186个</w:t>
            </w:r>
            <w:r>
              <w:rPr>
                <w:rFonts w:hint="eastAsia" w:ascii="仿宋" w:hAnsi="仿宋" w:eastAsia="仿宋" w:cs="仿宋"/>
                <w:b w:val="0"/>
                <w:bCs w:val="0"/>
                <w:color w:val="000000"/>
                <w:sz w:val="30"/>
                <w:szCs w:val="30"/>
                <w:lang w:eastAsia="zh-CN"/>
              </w:rPr>
              <w:t>驻村</w:t>
            </w:r>
            <w:r>
              <w:rPr>
                <w:rFonts w:hint="eastAsia" w:ascii="仿宋" w:hAnsi="仿宋" w:eastAsia="仿宋" w:cs="仿宋"/>
                <w:b w:val="0"/>
                <w:bCs w:val="0"/>
                <w:color w:val="000000"/>
                <w:sz w:val="30"/>
                <w:szCs w:val="30"/>
                <w:lang w:val="en-US" w:eastAsia="zh-CN"/>
              </w:rPr>
              <w:t>警务室</w:t>
            </w:r>
            <w:r>
              <w:rPr>
                <w:rFonts w:hint="eastAsia" w:ascii="仿宋" w:hAnsi="仿宋" w:eastAsia="仿宋" w:cs="仿宋"/>
                <w:b w:val="0"/>
                <w:bCs w:val="0"/>
                <w:color w:val="000000"/>
                <w:sz w:val="30"/>
                <w:szCs w:val="30"/>
                <w:lang w:eastAsia="zh-CN"/>
              </w:rPr>
              <w:t>建设全部到位，“一村一辅警”工作在全市率先完成，</w:t>
            </w:r>
            <w:r>
              <w:rPr>
                <w:rFonts w:hint="eastAsia" w:ascii="仿宋" w:hAnsi="仿宋" w:eastAsia="仿宋" w:cs="仿宋"/>
                <w:b w:val="0"/>
                <w:bCs w:val="0"/>
                <w:color w:val="000000"/>
                <w:sz w:val="30"/>
                <w:szCs w:val="30"/>
                <w:lang w:val="en-US" w:eastAsia="zh-CN"/>
              </w:rPr>
              <w:t>公安业务技术用房进入室内装修刹尾阶段，拘留所、强戒所即将投入使用，政法各单位基层队所庭室标准化建设也取得重要进展。</w:t>
            </w:r>
          </w:p>
          <w:p>
            <w:pPr>
              <w:spacing w:line="560" w:lineRule="exact"/>
              <w:ind w:firstLine="600" w:firstLineChars="200"/>
              <w:rPr>
                <w:rFonts w:hint="eastAsia" w:ascii="黑体" w:hAnsi="黑体" w:eastAsia="黑体" w:cs="黑体"/>
                <w:sz w:val="30"/>
                <w:szCs w:val="30"/>
              </w:rPr>
            </w:pPr>
            <w:r>
              <w:rPr>
                <w:rFonts w:hint="eastAsia" w:ascii="黑体" w:hAnsi="黑体" w:eastAsia="黑体" w:cs="黑体"/>
                <w:sz w:val="30"/>
                <w:szCs w:val="30"/>
                <w:lang w:eastAsia="zh-CN"/>
              </w:rPr>
              <w:t>四</w:t>
            </w:r>
            <w:r>
              <w:rPr>
                <w:rFonts w:hint="eastAsia" w:ascii="黑体" w:hAnsi="黑体" w:eastAsia="黑体" w:cs="黑体"/>
                <w:sz w:val="30"/>
                <w:szCs w:val="30"/>
              </w:rPr>
              <w:t>、存在的主要问题</w:t>
            </w:r>
          </w:p>
          <w:p>
            <w:pPr>
              <w:pStyle w:val="2"/>
              <w:shd w:val="clear" w:color="auto" w:fill="FFFFFF"/>
              <w:spacing w:before="0" w:beforeAutospacing="0" w:after="0" w:afterAutospacing="0" w:line="480" w:lineRule="auto"/>
              <w:ind w:firstLine="480"/>
              <w:rPr>
                <w:rFonts w:hint="eastAsia" w:ascii="仿宋" w:hAnsi="仿宋" w:eastAsia="仿宋" w:cs="仿宋"/>
                <w:kern w:val="2"/>
                <w:sz w:val="30"/>
                <w:szCs w:val="30"/>
              </w:rPr>
            </w:pPr>
            <w:r>
              <w:rPr>
                <w:rFonts w:hint="eastAsia" w:ascii="仿宋" w:hAnsi="仿宋" w:eastAsia="仿宋" w:cs="仿宋"/>
                <w:kern w:val="2"/>
                <w:sz w:val="30"/>
                <w:szCs w:val="30"/>
              </w:rPr>
              <w:t>1.预算执行存在偏差。因部分工作是年中或年末，根据中央和省里要求开展，未纳入年初预算，另外还有部分经费，比如绩效考核奖励资金等不可预见经费的追加，无法纳入预算。</w:t>
            </w:r>
          </w:p>
          <w:p>
            <w:pPr>
              <w:pStyle w:val="2"/>
              <w:shd w:val="clear" w:color="auto" w:fill="FFFFFF"/>
              <w:spacing w:before="0" w:beforeAutospacing="0" w:after="0" w:afterAutospacing="0" w:line="480" w:lineRule="auto"/>
              <w:ind w:firstLine="480"/>
              <w:rPr>
                <w:rFonts w:hint="eastAsia" w:ascii="仿宋" w:hAnsi="仿宋" w:eastAsia="仿宋" w:cs="仿宋"/>
                <w:kern w:val="2"/>
                <w:sz w:val="30"/>
                <w:szCs w:val="30"/>
              </w:rPr>
            </w:pPr>
            <w:r>
              <w:rPr>
                <w:rFonts w:hint="eastAsia" w:ascii="仿宋" w:hAnsi="仿宋" w:eastAsia="仿宋" w:cs="仿宋"/>
                <w:kern w:val="2"/>
                <w:sz w:val="30"/>
                <w:szCs w:val="30"/>
              </w:rPr>
              <w:t>2、公用经费不足，导致挤占项目经费。年初预算公用经费不足，加上人员变动，年初预算公用经费无法保证机关正常行政运行，导致挤占项目经费。</w:t>
            </w:r>
          </w:p>
          <w:p>
            <w:pPr>
              <w:pStyle w:val="2"/>
              <w:shd w:val="clear" w:color="auto" w:fill="FFFFFF"/>
              <w:spacing w:before="0" w:beforeAutospacing="0" w:after="0" w:afterAutospacing="0" w:line="480" w:lineRule="auto"/>
              <w:ind w:firstLine="480"/>
              <w:rPr>
                <w:rFonts w:hint="eastAsia" w:ascii="黑体" w:hAnsi="黑体" w:eastAsia="黑体" w:cs="黑体"/>
                <w:kern w:val="2"/>
                <w:sz w:val="30"/>
                <w:szCs w:val="30"/>
              </w:rPr>
            </w:pPr>
            <w:r>
              <w:rPr>
                <w:rFonts w:hint="eastAsia" w:ascii="黑体" w:hAnsi="黑体" w:eastAsia="黑体" w:cs="黑体"/>
                <w:kern w:val="2"/>
                <w:sz w:val="30"/>
                <w:szCs w:val="30"/>
                <w:lang w:eastAsia="zh-CN"/>
              </w:rPr>
              <w:t>五、</w:t>
            </w:r>
            <w:r>
              <w:rPr>
                <w:rFonts w:hint="eastAsia" w:ascii="黑体" w:hAnsi="黑体" w:eastAsia="黑体" w:cs="黑体"/>
                <w:kern w:val="2"/>
                <w:sz w:val="30"/>
                <w:szCs w:val="30"/>
              </w:rPr>
              <w:t>有关建议</w:t>
            </w:r>
          </w:p>
          <w:p>
            <w:pPr>
              <w:pStyle w:val="2"/>
              <w:shd w:val="clear" w:color="auto" w:fill="FFFFFF"/>
              <w:spacing w:before="0" w:beforeAutospacing="0" w:after="0" w:afterAutospacing="0" w:line="480" w:lineRule="auto"/>
              <w:ind w:firstLine="480"/>
              <w:rPr>
                <w:rFonts w:hint="eastAsia" w:ascii="仿宋" w:hAnsi="仿宋" w:eastAsia="仿宋" w:cs="仿宋"/>
                <w:kern w:val="2"/>
                <w:sz w:val="30"/>
                <w:szCs w:val="30"/>
              </w:rPr>
            </w:pPr>
            <w:r>
              <w:rPr>
                <w:rFonts w:hint="eastAsia" w:ascii="仿宋" w:hAnsi="仿宋" w:eastAsia="仿宋" w:cs="仿宋"/>
                <w:kern w:val="2"/>
                <w:sz w:val="30"/>
                <w:szCs w:val="30"/>
              </w:rPr>
              <w:t>针对上述存在的问题及我委整体支出管理工作的需要，拟实施的改进措施如下：</w:t>
            </w:r>
          </w:p>
          <w:p>
            <w:pPr>
              <w:pStyle w:val="2"/>
              <w:shd w:val="clear" w:color="auto" w:fill="FFFFFF"/>
              <w:spacing w:before="0" w:beforeAutospacing="0" w:after="0" w:afterAutospacing="0" w:line="480" w:lineRule="auto"/>
              <w:ind w:firstLine="480"/>
              <w:rPr>
                <w:rFonts w:hint="eastAsia" w:ascii="仿宋" w:hAnsi="仿宋" w:eastAsia="仿宋" w:cs="仿宋"/>
                <w:kern w:val="2"/>
                <w:sz w:val="30"/>
                <w:szCs w:val="30"/>
              </w:rPr>
            </w:pPr>
            <w:r>
              <w:rPr>
                <w:rFonts w:hint="eastAsia" w:ascii="仿宋" w:hAnsi="仿宋" w:eastAsia="仿宋" w:cs="仿宋"/>
                <w:kern w:val="2"/>
                <w:sz w:val="30"/>
                <w:szCs w:val="30"/>
              </w:rPr>
              <w:t>1、科学合理编制预算，严格执行预算。要按照《预算法》及其实施条例的相关规定，参考上一年的预算执行情况和年度的收支预测、部门重点工作等科学编制预算，避免年中大幅追加以及超预算。同时严格预算执行，提高资金使用效率。</w:t>
            </w:r>
          </w:p>
          <w:p>
            <w:pPr>
              <w:pStyle w:val="2"/>
              <w:shd w:val="clear" w:color="auto" w:fill="FFFFFF"/>
              <w:spacing w:before="0" w:beforeAutospacing="0" w:after="0" w:afterAutospacing="0" w:line="480" w:lineRule="auto"/>
              <w:ind w:firstLine="480"/>
              <w:rPr>
                <w:rFonts w:hint="eastAsia" w:ascii="仿宋" w:hAnsi="仿宋" w:eastAsia="仿宋" w:cs="仿宋"/>
                <w:kern w:val="2"/>
                <w:sz w:val="30"/>
                <w:szCs w:val="30"/>
              </w:rPr>
            </w:pPr>
            <w:r>
              <w:rPr>
                <w:rFonts w:hint="eastAsia" w:ascii="仿宋" w:hAnsi="仿宋" w:eastAsia="仿宋" w:cs="仿宋"/>
                <w:kern w:val="2"/>
                <w:sz w:val="30"/>
                <w:szCs w:val="30"/>
              </w:rPr>
              <w:t>2、加强单位内控制度建设，完善相关内部管理制度。按</w:t>
            </w:r>
            <w:r>
              <w:rPr>
                <w:rFonts w:hint="eastAsia" w:ascii="仿宋" w:hAnsi="仿宋" w:eastAsia="仿宋" w:cs="仿宋"/>
                <w:kern w:val="2"/>
                <w:sz w:val="30"/>
                <w:szCs w:val="30"/>
                <w:lang w:eastAsia="zh-CN"/>
              </w:rPr>
              <w:t>县</w:t>
            </w:r>
            <w:r>
              <w:rPr>
                <w:rFonts w:hint="eastAsia" w:ascii="仿宋" w:hAnsi="仿宋" w:eastAsia="仿宋" w:cs="仿宋"/>
                <w:kern w:val="2"/>
                <w:sz w:val="30"/>
                <w:szCs w:val="30"/>
              </w:rPr>
              <w:t>财政局要求开展内部控制建设工作，通过查找内部管理中的薄弱环节，建立健全各项内部控制制度，更好地发挥内部控制在提升单位内部治理水平、规范内部权力运行、促进依法行政、推进廉政建设中的重要作用。</w:t>
            </w:r>
          </w:p>
          <w:p>
            <w:pPr>
              <w:rPr>
                <w:rFonts w:ascii="??_GB2312" w:hAnsi="??_GB2312"/>
                <w:sz w:val="28"/>
                <w:szCs w:val="28"/>
              </w:rPr>
            </w:pP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altName w:val="宋体"/>
    <w:panose1 w:val="02010600040101010101"/>
    <w:charset w:val="86"/>
    <w:family w:val="auto"/>
    <w:pitch w:val="default"/>
    <w:sig w:usb0="00000000" w:usb1="00000000" w:usb2="00000000" w:usb3="00000000" w:csb0="0004009F" w:csb1="DFD70000"/>
  </w:font>
  <w:font w:name="楷体">
    <w:panose1 w:val="02010609060101010101"/>
    <w:charset w:val="86"/>
    <w:family w:val="auto"/>
    <w:pitch w:val="default"/>
    <w:sig w:usb0="800002BF" w:usb1="38CF7CFA" w:usb2="00000016" w:usb3="00000000" w:csb0="00040001" w:csb1="00000000"/>
  </w:font>
  <w:font w:name="??_GB2312">
    <w:altName w:val="Times New Roman"/>
    <w:panose1 w:val="00000000000000000000"/>
    <w:charset w:val="00"/>
    <w:family w:val="auto"/>
    <w:pitch w:val="default"/>
    <w:sig w:usb0="00000000" w:usb1="00000000" w:usb2="00000000" w:usb3="00000000" w:csb0="0000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1A64E9D"/>
    <w:rsid w:val="00001114"/>
    <w:rsid w:val="000C2DE5"/>
    <w:rsid w:val="001106BC"/>
    <w:rsid w:val="001773EF"/>
    <w:rsid w:val="001A1595"/>
    <w:rsid w:val="001B31DB"/>
    <w:rsid w:val="001D1B01"/>
    <w:rsid w:val="0020101C"/>
    <w:rsid w:val="002B0883"/>
    <w:rsid w:val="003842BF"/>
    <w:rsid w:val="003C4EDF"/>
    <w:rsid w:val="003D6F0F"/>
    <w:rsid w:val="0049618C"/>
    <w:rsid w:val="00523177"/>
    <w:rsid w:val="00567317"/>
    <w:rsid w:val="0059265F"/>
    <w:rsid w:val="00592ADF"/>
    <w:rsid w:val="006276A1"/>
    <w:rsid w:val="00627B87"/>
    <w:rsid w:val="00670DB9"/>
    <w:rsid w:val="00680B14"/>
    <w:rsid w:val="00690F2D"/>
    <w:rsid w:val="00725D55"/>
    <w:rsid w:val="007639DF"/>
    <w:rsid w:val="00830448"/>
    <w:rsid w:val="008C072F"/>
    <w:rsid w:val="008C7073"/>
    <w:rsid w:val="008D6DF0"/>
    <w:rsid w:val="00972FCA"/>
    <w:rsid w:val="009829B9"/>
    <w:rsid w:val="009C4763"/>
    <w:rsid w:val="00A702CE"/>
    <w:rsid w:val="00B00226"/>
    <w:rsid w:val="00B43616"/>
    <w:rsid w:val="00BC4BF5"/>
    <w:rsid w:val="00BD20BE"/>
    <w:rsid w:val="00BF771E"/>
    <w:rsid w:val="00CD14AD"/>
    <w:rsid w:val="00D20F86"/>
    <w:rsid w:val="00E27552"/>
    <w:rsid w:val="00E77244"/>
    <w:rsid w:val="00E80515"/>
    <w:rsid w:val="00E91FE7"/>
    <w:rsid w:val="00ED1DDA"/>
    <w:rsid w:val="00F064E1"/>
    <w:rsid w:val="00F13D13"/>
    <w:rsid w:val="00F365AE"/>
    <w:rsid w:val="00FC5034"/>
    <w:rsid w:val="0BAD024A"/>
    <w:rsid w:val="0EA44DA5"/>
    <w:rsid w:val="13C819A5"/>
    <w:rsid w:val="233263B6"/>
    <w:rsid w:val="2C313051"/>
    <w:rsid w:val="2FCB7627"/>
    <w:rsid w:val="35F177F6"/>
    <w:rsid w:val="376A734E"/>
    <w:rsid w:val="3F72780F"/>
    <w:rsid w:val="41816098"/>
    <w:rsid w:val="47945FF1"/>
    <w:rsid w:val="51A64E9D"/>
    <w:rsid w:val="53E456A2"/>
    <w:rsid w:val="5B1C0066"/>
    <w:rsid w:val="5D7E69DC"/>
    <w:rsid w:val="634163AD"/>
    <w:rsid w:val="6626268D"/>
    <w:rsid w:val="6F910638"/>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4">
    <w:name w:val="Default Paragraph Font"/>
    <w:semiHidden/>
    <w:qFormat/>
    <w:uiPriority w:val="99"/>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5">
    <w:name w:val="[Normal]"/>
    <w:qFormat/>
    <w:uiPriority w:val="99"/>
    <w:rPr>
      <w:rFonts w:ascii="宋体" w:hAnsi="宋体" w:eastAsia="宋体" w:cs="Times New Roman"/>
      <w:kern w:val="0"/>
      <w:sz w:val="24"/>
      <w:szCs w:val="20"/>
      <w:lang w:val="en-US" w:eastAsia="en-US"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18</Pages>
  <Words>1253</Words>
  <Characters>7143</Characters>
  <Lines>0</Lines>
  <Paragraphs>0</Paragraphs>
  <TotalTime>2</TotalTime>
  <ScaleCrop>false</ScaleCrop>
  <LinksUpToDate>false</LinksUpToDate>
  <CharactersWithSpaces>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2018-06-19T01:40:00Z</dcterms:created>
  <dc:creator>Administrator</dc:creator>
  <cp:lastModifiedBy>小猪包</cp:lastModifiedBy>
  <cp:lastPrinted>2019-11-05T09:05:00Z</cp:lastPrinted>
  <dcterms:modified xsi:type="dcterms:W3CDTF">2021-06-04T02:06:40Z</dcterms:modified>
  <dc:title>附件2-1</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359C23D3CE8C41B3A48DB7024F6DE85E</vt:lpwstr>
  </property>
</Properties>
</file>