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w:t>
      </w:r>
      <w:r>
        <w:rPr>
          <w:rFonts w:hint="eastAsia" w:eastAsia="方正小标宋简体"/>
          <w:bCs/>
          <w:sz w:val="46"/>
          <w:szCs w:val="46"/>
          <w:u w:val="single"/>
        </w:rPr>
        <w:t>18</w:t>
      </w:r>
      <w:r>
        <w:rPr>
          <w:rFonts w:hint="eastAsia" w:eastAsia="方正小标宋简体"/>
          <w:bCs/>
          <w:sz w:val="46"/>
          <w:szCs w:val="46"/>
        </w:rPr>
        <w:t>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301"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eastAsia="仿宋_GB2312"/>
          <w:sz w:val="32"/>
          <w:szCs w:val="32"/>
          <w:u w:val="single"/>
        </w:rPr>
        <w:t xml:space="preserve">  </w:t>
      </w:r>
      <w:r>
        <w:rPr>
          <w:rFonts w:hint="eastAsia" w:eastAsia="仿宋_GB2312"/>
          <w:sz w:val="32"/>
          <w:szCs w:val="32"/>
          <w:u w:val="single"/>
        </w:rPr>
        <w:t xml:space="preserve">华容县小集成洪泛区管理委员会    </w:t>
      </w:r>
    </w:p>
    <w:p>
      <w:pPr>
        <w:spacing w:before="301"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eastAsia="仿宋_GB2312"/>
          <w:spacing w:val="20"/>
          <w:sz w:val="32"/>
          <w:szCs w:val="32"/>
          <w:u w:val="single"/>
        </w:rPr>
        <w:t>408</w:t>
      </w:r>
      <w:r>
        <w:rPr>
          <w:rFonts w:hint="eastAsia" w:eastAsia="仿宋_GB2312"/>
          <w:spacing w:val="20"/>
          <w:sz w:val="32"/>
          <w:szCs w:val="32"/>
          <w:u w:val="single"/>
        </w:rPr>
        <w:t xml:space="preserve">                  </w:t>
      </w:r>
    </w:p>
    <w:p>
      <w:pPr>
        <w:spacing w:before="301"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w:t>
      </w:r>
      <w:r>
        <w:rPr>
          <w:rFonts w:eastAsia="仿宋_GB2312"/>
          <w:sz w:val="32"/>
        </w:rPr>
        <w:t>2019</w:t>
      </w:r>
      <w:r>
        <w:rPr>
          <w:rFonts w:hint="eastAsia" w:eastAsia="仿宋_GB2312"/>
          <w:sz w:val="32"/>
        </w:rPr>
        <w:t xml:space="preserve">年 </w:t>
      </w:r>
      <w:r>
        <w:rPr>
          <w:rFonts w:eastAsia="仿宋_GB2312"/>
          <w:sz w:val="32"/>
        </w:rPr>
        <w:t>9</w:t>
      </w:r>
      <w:r>
        <w:rPr>
          <w:rFonts w:hint="eastAsia" w:eastAsia="仿宋_GB2312"/>
          <w:sz w:val="32"/>
        </w:rPr>
        <w:t xml:space="preserve"> 月 </w:t>
      </w:r>
      <w:r>
        <w:rPr>
          <w:rFonts w:eastAsia="仿宋_GB2312"/>
          <w:sz w:val="32"/>
        </w:rPr>
        <w:t>20</w:t>
      </w:r>
      <w:r>
        <w:rPr>
          <w:rFonts w:hint="eastAsia" w:eastAsia="仿宋_GB2312"/>
          <w:sz w:val="32"/>
        </w:rPr>
        <w:t xml:space="preserve"> 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4"/>
        <w:tblW w:w="980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吴洁</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w:t>
            </w:r>
            <w:r>
              <w:rPr>
                <w:rFonts w:ascii="仿宋_GB2312" w:hAnsi="仿宋_GB2312" w:eastAsia="仿宋_GB2312" w:cs="仿宋_GB2312"/>
                <w:color w:val="000000"/>
                <w:sz w:val="24"/>
              </w:rPr>
              <w:t>8573070657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人员编制</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2</w:t>
            </w:r>
            <w:r>
              <w:rPr>
                <w:rFonts w:ascii="仿宋_GB2312" w:hAnsi="仿宋_GB2312" w:eastAsia="仿宋_GB2312" w:cs="仿宋_GB2312"/>
                <w:sz w:val="24"/>
              </w:rPr>
              <w:t>3</w:t>
            </w:r>
          </w:p>
        </w:tc>
        <w:tc>
          <w:tcPr>
            <w:tcW w:w="1479" w:type="dxa"/>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贯彻执行中央、省、市关于行洪区移民的方针政策；研究制订小集成洪泛区发展近远期规划和相关的政策性措施并组织实施；根据县人民政府的授权在洪泛区行使下区内的行政管理和综合执法职能；负责做好滞留移民的劝返和劝返工作，搞好社会治安和综合治理、精神文明建设等工作；依法依规收取辖区内的规费；承办县委、县政府交办的其它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一是严格执法。</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二是环境保护。</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三是信访维稳。</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四是渡运安全。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根据湖南省“绿盾2018”监督检查专项行动的要求，我们在湖南集成麋鹿自然保护区专项整治行动指挥部的统一部署下，强力推进集成麋鹿自然保护区专项整治行动，取得较好成效。共解除租赁合同21份；拆除遗留工矿建筑2处；打开龙虾池扒口135处；矮围网围全部摧毁，拆除网围矮堤159784米，移动土方989250立方米，其中麋鹿保护区拆除矮堤151056米，移动土方846451立方米，江豚保护区拆除矮堤8728米，移动土方142799立方米；拆除房屋261栋，</w:t>
            </w:r>
            <w:r>
              <w:rPr>
                <w:rFonts w:ascii="仿宋_GB2312" w:hAnsi="仿宋_GB2312" w:eastAsia="仿宋_GB2312" w:cs="仿宋_GB2312"/>
                <w:color w:val="000000"/>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w:t>
            </w:r>
            <w:r>
              <w:rPr>
                <w:rFonts w:ascii="仿宋_GB2312" w:hAnsi="仿宋_GB2312" w:eastAsia="仿宋_GB2312" w:cs="仿宋_GB2312"/>
                <w:color w:val="000000"/>
                <w:sz w:val="24"/>
              </w:rPr>
              <w:t>33.87</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w:t>
            </w:r>
            <w:r>
              <w:rPr>
                <w:rFonts w:ascii="仿宋_GB2312" w:hAnsi="仿宋_GB2312" w:eastAsia="仿宋_GB2312" w:cs="仿宋_GB2312"/>
                <w:color w:val="000000"/>
                <w:sz w:val="24"/>
              </w:rPr>
              <w:t>33.87</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w:t>
            </w:r>
            <w:r>
              <w:rPr>
                <w:rFonts w:ascii="仿宋_GB2312" w:hAnsi="仿宋_GB2312" w:eastAsia="仿宋_GB2312" w:cs="仿宋_GB2312"/>
                <w:color w:val="000000"/>
                <w:sz w:val="24"/>
              </w:rPr>
              <w:t>33.87</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w:t>
            </w:r>
            <w:r>
              <w:rPr>
                <w:rFonts w:ascii="仿宋_GB2312" w:hAnsi="仿宋_GB2312" w:eastAsia="仿宋_GB2312" w:cs="仿宋_GB2312"/>
                <w:color w:val="000000"/>
                <w:sz w:val="24"/>
              </w:rPr>
              <w:t>33.87</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w:t>
            </w:r>
            <w:r>
              <w:rPr>
                <w:rFonts w:ascii="仿宋_GB2312" w:hAnsi="仿宋_GB2312" w:eastAsia="仿宋_GB2312" w:cs="仿宋_GB2312"/>
                <w:color w:val="000000"/>
                <w:sz w:val="24"/>
              </w:rPr>
              <w:t>33.87</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w:t>
            </w:r>
            <w:r>
              <w:rPr>
                <w:rFonts w:ascii="仿宋_GB2312" w:hAnsi="仿宋_GB2312" w:eastAsia="仿宋_GB2312" w:cs="仿宋_GB2312"/>
                <w:color w:val="000000"/>
                <w:sz w:val="24"/>
              </w:rPr>
              <w:t>22.87</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w:t>
            </w:r>
            <w:r>
              <w:rPr>
                <w:rFonts w:ascii="仿宋_GB2312" w:hAnsi="仿宋_GB2312" w:eastAsia="仿宋_GB2312" w:cs="仿宋_GB2312"/>
                <w:color w:val="000000"/>
                <w:sz w:val="24"/>
              </w:rPr>
              <w:t>88.44</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w:t>
            </w:r>
            <w:r>
              <w:rPr>
                <w:rFonts w:ascii="仿宋_GB2312" w:hAnsi="仿宋_GB2312" w:eastAsia="仿宋_GB2312" w:cs="仿宋_GB2312"/>
                <w:color w:val="000000"/>
                <w:sz w:val="24"/>
              </w:rPr>
              <w:t>4.43</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w:t>
            </w:r>
            <w:r>
              <w:rPr>
                <w:rFonts w:ascii="仿宋_GB2312" w:hAnsi="仿宋_GB2312" w:eastAsia="仿宋_GB2312" w:cs="仿宋_GB2312"/>
                <w:color w:val="000000"/>
                <w:sz w:val="24"/>
              </w:rPr>
              <w:t>11</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w:t>
            </w:r>
            <w:r>
              <w:rPr>
                <w:rFonts w:ascii="仿宋_GB2312" w:hAnsi="仿宋_GB2312" w:eastAsia="仿宋_GB2312" w:cs="仿宋_GB2312"/>
                <w:color w:val="000000"/>
                <w:sz w:val="24"/>
              </w:rPr>
              <w:t>.65</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w:t>
            </w:r>
            <w:r>
              <w:rPr>
                <w:rFonts w:ascii="仿宋_GB2312" w:hAnsi="仿宋_GB2312" w:eastAsia="仿宋_GB2312" w:cs="仿宋_GB2312"/>
                <w:color w:val="000000"/>
                <w:sz w:val="24"/>
              </w:rPr>
              <w:t>.65</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w:t>
            </w:r>
            <w:r>
              <w:rPr>
                <w:rFonts w:ascii="仿宋_GB2312" w:hAnsi="仿宋_GB2312" w:eastAsia="仿宋_GB2312" w:cs="仿宋_GB2312"/>
                <w:color w:val="000000"/>
                <w:sz w:val="24"/>
              </w:rPr>
              <w:t>9.32</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w:t>
            </w:r>
            <w:r>
              <w:rPr>
                <w:rFonts w:ascii="仿宋_GB2312" w:hAnsi="仿宋_GB2312" w:eastAsia="仿宋_GB2312" w:cs="仿宋_GB2312"/>
                <w:color w:val="000000"/>
                <w:sz w:val="24"/>
              </w:rPr>
              <w:t>9.32</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3774" w:type="dxa"/>
            <w:gridSpan w:val="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一是严格执法。</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二是环境保护。</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三是信访维稳。</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四是渡运安全。</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五是森林防火</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全部完成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38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sz w:val="32"/>
                <w:szCs w:val="32"/>
              </w:rPr>
              <w:t>渡运安全</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开展渡运安全生产专项检查18次；根据市海事局的整改要求，筹资2万元，对新江渡口码头进行了维护与加长，对渡运船舶进行了养护与维修，确保了渡运安全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396"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38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sz w:val="32"/>
                <w:szCs w:val="32"/>
              </w:rPr>
              <w:t>森林防火</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开展森林防火隐患排查6次，排除隐患8起，下达整改通知书5份，张贴防火宣传标语100张，确保了安全无事故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38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严格执法</w:t>
            </w:r>
          </w:p>
        </w:tc>
        <w:tc>
          <w:tcPr>
            <w:tcW w:w="2684" w:type="dxa"/>
            <w:gridSpan w:val="6"/>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元月8日，县公安局东山派出所驻洪泛区警务室挂牌成立，至今，共开展治安巡逻21次，调处矛盾纠纷18起；开展“扫黑除恶”专项行动宣传7次，张贴相关宣传标语120张；开展综合执法3次，抓捕电瓶捕鱼人员18人，没收并销毁电瓶20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保护环境</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查处3起开发商违规开挖事件，驱离机械3台；阻止一起毁坏水利设施事件，并移交公安局查处、备案。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sz w:val="32"/>
                <w:szCs w:val="32"/>
              </w:rPr>
              <w:t>信访维稳</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采取分片包人的方式，圆满完成了“元旦、春节、两会”期间的信访维稳工作，确保了社会稳定。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w:t>
            </w:r>
            <w:r>
              <w:rPr>
                <w:rFonts w:ascii="仿宋_GB2312" w:hAnsi="仿宋_GB2312" w:eastAsia="仿宋_GB2312" w:cs="仿宋_GB2312"/>
                <w:color w:val="000000"/>
                <w:sz w:val="24"/>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9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宋志祥</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党组书记、主任</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洪泛区</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45"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陶双喜</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党组成员、副主任</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洪泛区</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6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谢建勋</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工会主席</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洪泛区</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05"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许尚付</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资源管理站站长</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洪泛区</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482" w:hRule="atLeast"/>
          <w:jc w:val="center"/>
        </w:trPr>
        <w:tc>
          <w:tcPr>
            <w:tcW w:w="9800" w:type="dxa"/>
            <w:gridSpan w:val="17"/>
            <w:vAlign w:val="top"/>
          </w:tcPr>
          <w:p>
            <w:pPr>
              <w:autoSpaceDN w:val="0"/>
              <w:spacing w:line="320" w:lineRule="exact"/>
              <w:jc w:val="both"/>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评价组组长（签字）：</w:t>
            </w:r>
            <w:r>
              <w:rPr>
                <w:rFonts w:hint="eastAsia" w:ascii="仿宋_GB2312" w:hAnsi="仿宋_GB2312" w:eastAsia="仿宋_GB2312" w:cs="仿宋_GB2312"/>
                <w:color w:val="000000"/>
                <w:sz w:val="24"/>
                <w:lang w:eastAsia="zh-CN"/>
              </w:rPr>
              <w:t>吴洁</w:t>
            </w:r>
          </w:p>
          <w:p>
            <w:pPr>
              <w:autoSpaceDN w:val="0"/>
              <w:spacing w:line="320" w:lineRule="exact"/>
              <w:jc w:val="both"/>
              <w:textAlignment w:val="center"/>
              <w:rPr>
                <w:rFonts w:ascii="仿宋_GB2312" w:hAnsi="仿宋_GB2312" w:eastAsia="仿宋_GB2312" w:cs="仿宋_GB2312"/>
                <w:color w:val="000000"/>
                <w:sz w:val="24"/>
              </w:rPr>
            </w:pPr>
          </w:p>
          <w:p>
            <w:pPr>
              <w:autoSpaceDN w:val="0"/>
              <w:spacing w:line="320" w:lineRule="exact"/>
              <w:jc w:val="both"/>
              <w:textAlignment w:val="center"/>
              <w:rPr>
                <w:rFonts w:ascii="仿宋_GB2312" w:hAnsi="仿宋_GB2312" w:eastAsia="仿宋_GB2312" w:cs="仿宋_GB2312"/>
                <w:color w:val="000000"/>
                <w:sz w:val="24"/>
              </w:rPr>
            </w:pPr>
          </w:p>
          <w:p>
            <w:pPr>
              <w:autoSpaceDN w:val="0"/>
              <w:spacing w:line="320" w:lineRule="exact"/>
              <w:jc w:val="both"/>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val="en-US" w:eastAsia="zh-CN"/>
              </w:rPr>
              <w:t xml:space="preserve">         </w:t>
            </w:r>
            <w:bookmarkStart w:id="0" w:name="_GoBack"/>
            <w:bookmarkEnd w:id="0"/>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val="en-US" w:eastAsia="zh-CN"/>
              </w:rPr>
              <w:t>2019</w:t>
            </w:r>
            <w:r>
              <w:rPr>
                <w:rFonts w:hint="eastAsia" w:ascii="仿宋_GB2312" w:hAnsi="仿宋_GB2312" w:eastAsia="仿宋_GB2312" w:cs="仿宋_GB2312"/>
                <w:color w:val="000000"/>
                <w:sz w:val="24"/>
              </w:rPr>
              <w:t>年</w:t>
            </w:r>
            <w:r>
              <w:rPr>
                <w:rFonts w:hint="eastAsia" w:ascii="仿宋_GB2312" w:hAnsi="仿宋_GB2312" w:eastAsia="仿宋_GB2312" w:cs="仿宋_GB2312"/>
                <w:color w:val="000000"/>
                <w:sz w:val="24"/>
                <w:lang w:val="en-US" w:eastAsia="zh-CN"/>
              </w:rPr>
              <w:t>9</w:t>
            </w:r>
            <w:r>
              <w:rPr>
                <w:rFonts w:hint="eastAsia" w:ascii="仿宋_GB2312" w:hAnsi="仿宋_GB2312" w:eastAsia="仿宋_GB2312" w:cs="仿宋_GB2312"/>
                <w:color w:val="000000"/>
                <w:sz w:val="24"/>
              </w:rPr>
              <w:t>月</w:t>
            </w:r>
            <w:r>
              <w:rPr>
                <w:rFonts w:hint="eastAsia" w:ascii="仿宋_GB2312" w:hAnsi="仿宋_GB2312" w:eastAsia="仿宋_GB2312" w:cs="仿宋_GB2312"/>
                <w:color w:val="000000"/>
                <w:sz w:val="24"/>
                <w:lang w:val="en-US" w:eastAsia="zh-CN"/>
              </w:rPr>
              <w:t>20</w:t>
            </w:r>
            <w:r>
              <w:rPr>
                <w:rFonts w:hint="eastAsia" w:ascii="仿宋_GB2312" w:hAnsi="仿宋_GB2312" w:eastAsia="仿宋_GB2312" w:cs="仿宋_GB2312"/>
                <w:color w:val="000000"/>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655" w:hRule="atLeast"/>
          <w:jc w:val="center"/>
        </w:trPr>
        <w:tc>
          <w:tcPr>
            <w:tcW w:w="9800" w:type="dxa"/>
            <w:gridSpan w:val="17"/>
            <w:vAlign w:val="top"/>
          </w:tcPr>
          <w:p>
            <w:pPr>
              <w:autoSpaceDN w:val="0"/>
              <w:spacing w:line="320" w:lineRule="exact"/>
              <w:jc w:val="both"/>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both"/>
              <w:textAlignment w:val="center"/>
              <w:rPr>
                <w:rFonts w:ascii="仿宋_GB2312" w:hAnsi="仿宋_GB2312" w:eastAsia="仿宋_GB2312" w:cs="仿宋_GB2312"/>
                <w:color w:val="000000"/>
                <w:sz w:val="24"/>
              </w:rPr>
            </w:pPr>
          </w:p>
          <w:p>
            <w:pPr>
              <w:autoSpaceDN w:val="0"/>
              <w:spacing w:line="320" w:lineRule="exact"/>
              <w:jc w:val="both"/>
              <w:textAlignment w:val="center"/>
              <w:rPr>
                <w:rFonts w:ascii="仿宋_GB2312" w:hAnsi="仿宋_GB2312" w:eastAsia="仿宋_GB2312" w:cs="仿宋_GB2312"/>
                <w:color w:val="000000"/>
                <w:sz w:val="24"/>
              </w:rPr>
            </w:pPr>
          </w:p>
          <w:p>
            <w:pPr>
              <w:autoSpaceDN w:val="0"/>
              <w:spacing w:line="320" w:lineRule="exact"/>
              <w:jc w:val="both"/>
              <w:textAlignment w:val="center"/>
              <w:rPr>
                <w:rFonts w:ascii="仿宋_GB2312" w:hAnsi="仿宋_GB2312" w:eastAsia="仿宋_GB2312" w:cs="仿宋_GB2312"/>
                <w:color w:val="000000"/>
                <w:sz w:val="24"/>
              </w:rPr>
            </w:pPr>
          </w:p>
          <w:p>
            <w:pPr>
              <w:autoSpaceDN w:val="0"/>
              <w:spacing w:line="320" w:lineRule="exact"/>
              <w:jc w:val="both"/>
              <w:textAlignment w:val="center"/>
              <w:rPr>
                <w:rFonts w:ascii="仿宋_GB2312" w:hAnsi="仿宋_GB2312" w:eastAsia="仿宋_GB2312" w:cs="仿宋_GB2312"/>
                <w:color w:val="000000"/>
                <w:sz w:val="24"/>
              </w:rPr>
            </w:pPr>
          </w:p>
          <w:p>
            <w:pPr>
              <w:autoSpaceDN w:val="0"/>
              <w:spacing w:line="320" w:lineRule="exact"/>
              <w:jc w:val="both"/>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4"/>
        <w:tblW w:w="95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558" w:type="dxa"/>
          </w:tcPr>
          <w:p>
            <w:pPr>
              <w:spacing w:line="440" w:lineRule="exact"/>
              <w:ind w:firstLine="560" w:firstLineChars="200"/>
              <w:jc w:val="center"/>
              <w:rPr>
                <w:rFonts w:ascii="黑体" w:hAnsi="黑体" w:eastAsia="黑体" w:cs="黑体"/>
                <w:bCs/>
                <w:sz w:val="28"/>
                <w:szCs w:val="28"/>
              </w:rPr>
            </w:pPr>
          </w:p>
          <w:p>
            <w:pPr>
              <w:spacing w:line="440" w:lineRule="exact"/>
              <w:ind w:firstLine="560" w:firstLineChars="200"/>
              <w:jc w:val="center"/>
              <w:rPr>
                <w:rFonts w:ascii="黑体" w:hAnsi="黑体" w:eastAsia="黑体" w:cs="黑体"/>
                <w:bCs/>
                <w:sz w:val="28"/>
                <w:szCs w:val="28"/>
              </w:rPr>
            </w:pPr>
          </w:p>
          <w:p>
            <w:pPr>
              <w:spacing w:line="440" w:lineRule="exact"/>
              <w:ind w:firstLine="560" w:firstLineChars="200"/>
              <w:jc w:val="center"/>
              <w:rPr>
                <w:rFonts w:ascii="黑体" w:hAnsi="黑体" w:eastAsia="黑体" w:cs="黑体"/>
                <w:bCs/>
                <w:sz w:val="28"/>
                <w:szCs w:val="28"/>
              </w:rPr>
            </w:pPr>
            <w:r>
              <w:rPr>
                <w:rFonts w:hint="eastAsia" w:ascii="黑体" w:hAnsi="黑体" w:eastAsia="黑体" w:cs="黑体"/>
                <w:bCs/>
                <w:sz w:val="28"/>
                <w:szCs w:val="28"/>
              </w:rPr>
              <w:t>华容县小集成洪泛区管理委员会绩效自评报告</w:t>
            </w:r>
          </w:p>
          <w:p>
            <w:pPr>
              <w:spacing w:line="440" w:lineRule="exact"/>
              <w:ind w:firstLine="560" w:firstLineChars="200"/>
              <w:jc w:val="center"/>
              <w:rPr>
                <w:rFonts w:ascii="黑体" w:hAnsi="黑体" w:eastAsia="黑体" w:cs="黑体"/>
                <w:bCs/>
                <w:sz w:val="28"/>
                <w:szCs w:val="28"/>
              </w:rPr>
            </w:pPr>
          </w:p>
          <w:p>
            <w:pPr>
              <w:spacing w:line="440" w:lineRule="exact"/>
              <w:ind w:firstLine="640" w:firstLineChars="200"/>
              <w:jc w:val="center"/>
              <w:rPr>
                <w:rFonts w:eastAsia="仿宋_GB2312"/>
                <w:sz w:val="32"/>
                <w:szCs w:val="32"/>
              </w:rPr>
            </w:pPr>
          </w:p>
          <w:p>
            <w:pPr>
              <w:spacing w:line="600" w:lineRule="exact"/>
              <w:ind w:firstLine="643" w:firstLineChars="200"/>
              <w:rPr>
                <w:rFonts w:ascii="宋体" w:hAnsi="宋体" w:cs="宋体"/>
                <w:b/>
                <w:bCs/>
                <w:sz w:val="32"/>
                <w:szCs w:val="32"/>
              </w:rPr>
            </w:pPr>
            <w:r>
              <w:rPr>
                <w:rFonts w:hint="eastAsia" w:ascii="宋体" w:hAnsi="宋体" w:cs="宋体"/>
                <w:b/>
                <w:bCs/>
                <w:sz w:val="32"/>
                <w:szCs w:val="32"/>
              </w:rPr>
              <w:t>一、工作开展情况及主要成效</w:t>
            </w:r>
          </w:p>
          <w:p>
            <w:pPr>
              <w:spacing w:line="600" w:lineRule="exact"/>
              <w:ind w:firstLine="643" w:firstLineChars="200"/>
              <w:rPr>
                <w:rFonts w:ascii="仿宋" w:hAnsi="仿宋" w:eastAsia="仿宋" w:cs="仿宋"/>
                <w:sz w:val="32"/>
                <w:szCs w:val="32"/>
              </w:rPr>
            </w:pPr>
            <w:r>
              <w:rPr>
                <w:rFonts w:hint="eastAsia" w:ascii="楷体" w:hAnsi="楷体" w:eastAsia="楷体" w:cs="楷体"/>
                <w:b/>
                <w:bCs/>
                <w:sz w:val="32"/>
                <w:szCs w:val="32"/>
              </w:rPr>
              <w:t>1.重点工作开展情况。</w:t>
            </w:r>
            <w:r>
              <w:rPr>
                <w:rFonts w:hint="eastAsia" w:ascii="仿宋" w:hAnsi="仿宋" w:eastAsia="仿宋" w:cs="仿宋"/>
                <w:sz w:val="32"/>
                <w:szCs w:val="32"/>
              </w:rPr>
              <w:t>一是岸线整治。在县长江岸线整治指挥部统一部署下，洪泛区积极调处矛盾纠纷，对“天字一号”码头实行了关闭停运、清理转运、挖路断电、拆卸拆除、翻耕复绿，有效保护了岸线资源，并形成岸线整治长效管理机制，彻底杜绝码头非法经营死灰复燃现象。二是合同清理。根据华容县人民法院下达的民事判决书【（2017）湘民初1189号】与岳阳市人民法院二审的结果，元月初，经过多方协调，与源森林业有限公司重新签订土地租赁合同，妥善解决了租赁纠纷。</w:t>
            </w:r>
          </w:p>
          <w:p>
            <w:pPr>
              <w:spacing w:line="600" w:lineRule="exact"/>
              <w:ind w:firstLine="643" w:firstLineChars="200"/>
              <w:rPr>
                <w:rFonts w:ascii="仿宋" w:hAnsi="仿宋" w:eastAsia="仿宋" w:cs="仿宋"/>
                <w:sz w:val="32"/>
                <w:szCs w:val="32"/>
              </w:rPr>
            </w:pPr>
            <w:r>
              <w:rPr>
                <w:rFonts w:hint="eastAsia" w:ascii="楷体" w:hAnsi="楷体" w:eastAsia="楷体" w:cs="楷体"/>
                <w:b/>
                <w:bCs/>
                <w:sz w:val="32"/>
                <w:szCs w:val="32"/>
              </w:rPr>
              <w:t>2.主要工作开展情况。</w:t>
            </w:r>
            <w:r>
              <w:rPr>
                <w:rFonts w:hint="eastAsia" w:ascii="仿宋" w:hAnsi="仿宋" w:eastAsia="仿宋" w:cs="仿宋"/>
                <w:sz w:val="32"/>
                <w:szCs w:val="32"/>
              </w:rPr>
              <w:t>一是严格执法。元月8日，县公安局东山派出所驻洪泛区警务室挂牌成立，至今，共开展治安巡逻21次，调处矛盾纠纷18起；开展“扫黑除恶”专项行动宣传7次，张贴相关宣传标语120张；开展综合执法3次，抓捕电瓶捕鱼人员18人，没收并销毁电瓶20个。二是环境保护。查处3起开发商违规开挖事件，驱离机械3台；阻止一起毁坏水利设施事件，并移交公安局查处、备案。三是信访维稳。采取分片包人的方式，圆满完成了“元旦、春节、两会”期间的信访维稳工作，确保了社会稳定。四是渡运安全。开展渡运安全生产专项检查18次；根据市海事局的整改要求，筹资2万元，对新江渡口码头进行了维护与加长，对渡运船舶进行了养护与维修，确保了渡运安全。五是森林防火。开展森林防火隐患排查6次，排除隐患8起，下达整改通知书5份，张贴防火宣传标语100张，确保了安全无事故。</w:t>
            </w:r>
          </w:p>
          <w:p>
            <w:pPr>
              <w:spacing w:line="600" w:lineRule="exact"/>
              <w:ind w:firstLine="643" w:firstLineChars="200"/>
              <w:rPr>
                <w:rFonts w:ascii="宋体" w:hAnsi="宋体" w:cs="宋体"/>
                <w:b/>
                <w:bCs/>
                <w:sz w:val="32"/>
                <w:szCs w:val="32"/>
              </w:rPr>
            </w:pPr>
            <w:r>
              <w:rPr>
                <w:rFonts w:hint="eastAsia" w:ascii="宋体" w:hAnsi="宋体" w:cs="宋体"/>
                <w:b/>
                <w:bCs/>
                <w:sz w:val="32"/>
                <w:szCs w:val="32"/>
              </w:rPr>
              <w:t>二、突出特色工作和亮点工作</w:t>
            </w:r>
          </w:p>
          <w:p>
            <w:pPr>
              <w:spacing w:line="600" w:lineRule="exact"/>
              <w:ind w:firstLine="643" w:firstLineChars="200"/>
              <w:rPr>
                <w:rFonts w:ascii="仿宋" w:hAnsi="仿宋" w:eastAsia="仿宋" w:cs="仿宋"/>
                <w:sz w:val="32"/>
                <w:szCs w:val="32"/>
              </w:rPr>
            </w:pPr>
            <w:r>
              <w:rPr>
                <w:rFonts w:hint="eastAsia" w:ascii="楷体" w:hAnsi="楷体" w:eastAsia="楷体" w:cs="楷体"/>
                <w:b/>
                <w:bCs/>
                <w:sz w:val="32"/>
                <w:szCs w:val="32"/>
              </w:rPr>
              <w:t>1.特色工作开展情况。</w:t>
            </w:r>
            <w:r>
              <w:rPr>
                <w:rFonts w:hint="eastAsia" w:ascii="仿宋" w:hAnsi="仿宋" w:eastAsia="仿宋" w:cs="仿宋"/>
                <w:sz w:val="32"/>
                <w:szCs w:val="32"/>
              </w:rPr>
              <w:t>科普基地申创方面：元月10日，赴湖南省科技厅长江科普基地项目答辩评审会。5月10日，湖南省科技厅下达关于认定第十二批湖南省科学技术普及基地的通知（湘科函【2018】48号）。湖南华容江豚科普基地成功入选。5月19日，我单位江豚科普示范基地被湖南省科技厅授予省级科普基地。科普活动方面：自基地筹建完工以来，科普宣传活动做到了经常化和规范化，共举行以江豚为主题科普活动15次，发放宣传册600余份，张贴宣传标语80张，制作移动与固定宣传牌各20块。</w:t>
            </w:r>
          </w:p>
          <w:p>
            <w:pPr>
              <w:spacing w:line="600" w:lineRule="exact"/>
              <w:ind w:firstLine="643" w:firstLineChars="200"/>
              <w:rPr>
                <w:rFonts w:ascii="仿宋" w:hAnsi="仿宋" w:eastAsia="仿宋" w:cs="仿宋"/>
                <w:sz w:val="32"/>
                <w:szCs w:val="32"/>
              </w:rPr>
            </w:pPr>
            <w:r>
              <w:rPr>
                <w:rFonts w:hint="eastAsia" w:ascii="楷体" w:hAnsi="楷体" w:eastAsia="楷体" w:cs="楷体"/>
                <w:b/>
                <w:bCs/>
                <w:sz w:val="32"/>
                <w:szCs w:val="32"/>
              </w:rPr>
              <w:t>2.亮点工作开展情况。</w:t>
            </w:r>
            <w:r>
              <w:rPr>
                <w:rFonts w:hint="eastAsia" w:ascii="仿宋" w:hAnsi="仿宋" w:eastAsia="仿宋" w:cs="仿宋"/>
                <w:sz w:val="32"/>
                <w:szCs w:val="32"/>
              </w:rPr>
              <w:t>根据湖南省“绿盾2018”监督检查专项行动的要求，我们在湖南集成麋鹿自然保护区专项整治行动指挥部的统一部署下，强力推进集成麋鹿自然保护区专项整治行动，取得较好成效。共解除租赁合同21份；拆除遗留工矿建筑2处；打开龙虾池扒口135处；矮围网围全部摧毁，拆除网围矮堤159784米，移动土方989250立方米，其中麋鹿保护区拆除矮堤151056米，移动土方846451立方米，江豚保护区拆除矮堤8728米，移动土方142799立方米；拆除房屋261栋，其中民房249栋、公房12栋，总面积为60741.02平方米；迁移畜禽1632头，栽植界碑界桩200余块，完成核心区、缓冲区、实验区和生态经营区的界定工作；销毁船只119艘；迁出滞留移民69户132人；组织机械对保护区西线与监利县3处陆地交界带进行彻底截断，对保护区东线12处长江故道水域码头进行彻底截断，码头全部摧毁，轮渡全部停运，实行全封闭管理。</w:t>
            </w:r>
          </w:p>
          <w:p>
            <w:pPr>
              <w:spacing w:line="600" w:lineRule="exact"/>
              <w:ind w:firstLine="643" w:firstLineChars="200"/>
              <w:rPr>
                <w:rFonts w:ascii="宋体" w:hAnsi="宋体" w:cs="宋体"/>
                <w:b/>
                <w:bCs/>
                <w:sz w:val="32"/>
                <w:szCs w:val="32"/>
              </w:rPr>
            </w:pPr>
            <w:r>
              <w:rPr>
                <w:rFonts w:hint="eastAsia" w:ascii="宋体" w:hAnsi="宋体" w:cs="宋体"/>
                <w:b/>
                <w:bCs/>
                <w:sz w:val="32"/>
                <w:szCs w:val="32"/>
              </w:rPr>
              <w:t>三、2019年工作规划</w:t>
            </w:r>
          </w:p>
          <w:p>
            <w:pPr>
              <w:spacing w:line="600" w:lineRule="exact"/>
              <w:ind w:firstLine="643" w:firstLineChars="200"/>
              <w:rPr>
                <w:rFonts w:ascii="仿宋" w:hAnsi="仿宋" w:eastAsia="仿宋" w:cs="仿宋"/>
                <w:sz w:val="32"/>
                <w:szCs w:val="32"/>
              </w:rPr>
            </w:pPr>
            <w:r>
              <w:rPr>
                <w:rFonts w:hint="eastAsia" w:ascii="楷体" w:hAnsi="楷体" w:eastAsia="楷体" w:cs="楷体"/>
                <w:b/>
                <w:bCs/>
                <w:sz w:val="32"/>
                <w:szCs w:val="32"/>
              </w:rPr>
              <w:t>1.纳入机构改革范畴。</w:t>
            </w:r>
            <w:r>
              <w:rPr>
                <w:rFonts w:hint="eastAsia" w:ascii="仿宋" w:hAnsi="仿宋" w:eastAsia="仿宋" w:cs="仿宋"/>
                <w:sz w:val="32"/>
                <w:szCs w:val="32"/>
              </w:rPr>
              <w:t>明确麋鹿自然保护区的行政执法职能、办公场所、机构、编制、人员、经费，成立执法大队，确保对保护区内一切违法行为及时予以打击，达到“横向到边、纵向到底”的管理效果。</w:t>
            </w:r>
          </w:p>
          <w:p>
            <w:pPr>
              <w:spacing w:line="600" w:lineRule="exact"/>
              <w:ind w:firstLine="643" w:firstLineChars="200"/>
              <w:rPr>
                <w:rFonts w:ascii="仿宋" w:hAnsi="仿宋" w:eastAsia="仿宋" w:cs="仿宋"/>
                <w:sz w:val="32"/>
                <w:szCs w:val="32"/>
              </w:rPr>
            </w:pPr>
            <w:r>
              <w:rPr>
                <w:rFonts w:hint="eastAsia" w:ascii="楷体" w:hAnsi="楷体" w:eastAsia="楷体" w:cs="楷体"/>
                <w:b/>
                <w:bCs/>
                <w:sz w:val="32"/>
                <w:szCs w:val="32"/>
              </w:rPr>
              <w:t>2.规范综合执法行为。</w:t>
            </w:r>
            <w:r>
              <w:rPr>
                <w:rFonts w:hint="eastAsia" w:ascii="仿宋" w:hAnsi="仿宋" w:eastAsia="仿宋" w:cs="仿宋"/>
                <w:sz w:val="32"/>
                <w:szCs w:val="32"/>
              </w:rPr>
              <w:t>一是综合执法。组织综合执法队伍，对保护区内环境问题违法行为进行严厉打击与惩处，很好保护区内生态资源；二是封闭管理。对长江沿线、长江故道区域全面禁渡、禁行，保护区实行全封闭管理。</w:t>
            </w:r>
          </w:p>
          <w:p>
            <w:pPr>
              <w:spacing w:line="600" w:lineRule="exact"/>
              <w:ind w:firstLine="643" w:firstLineChars="200"/>
              <w:rPr>
                <w:rFonts w:ascii="仿宋" w:hAnsi="仿宋" w:eastAsia="仿宋" w:cs="仿宋"/>
                <w:sz w:val="32"/>
                <w:szCs w:val="32"/>
              </w:rPr>
            </w:pPr>
            <w:r>
              <w:rPr>
                <w:rFonts w:hint="eastAsia" w:ascii="楷体" w:hAnsi="楷体" w:eastAsia="楷体" w:cs="楷体"/>
                <w:b/>
                <w:bCs/>
                <w:sz w:val="32"/>
                <w:szCs w:val="32"/>
              </w:rPr>
              <w:t>3.申报生态修复项目。</w:t>
            </w:r>
            <w:r>
              <w:rPr>
                <w:rFonts w:hint="eastAsia" w:ascii="仿宋" w:hAnsi="仿宋" w:eastAsia="仿宋" w:cs="仿宋"/>
                <w:sz w:val="32"/>
                <w:szCs w:val="32"/>
              </w:rPr>
              <w:t>保护区属长江岸线范围，已列入长江岸线生态修复重点区域，并已划入生态红线保护范围，按要求扎实做好生态修复项目申报及相关工作。</w:t>
            </w:r>
          </w:p>
          <w:p>
            <w:pPr>
              <w:spacing w:line="600" w:lineRule="exact"/>
              <w:ind w:firstLine="643" w:firstLineChars="200"/>
              <w:rPr>
                <w:rFonts w:ascii="仿宋" w:hAnsi="仿宋" w:eastAsia="仿宋" w:cs="仿宋"/>
                <w:sz w:val="32"/>
                <w:szCs w:val="32"/>
              </w:rPr>
            </w:pPr>
            <w:r>
              <w:rPr>
                <w:rFonts w:hint="eastAsia" w:ascii="楷体" w:hAnsi="楷体" w:eastAsia="楷体" w:cs="楷体"/>
                <w:b/>
                <w:bCs/>
                <w:sz w:val="32"/>
                <w:szCs w:val="32"/>
              </w:rPr>
              <w:t>4.解决信访维稳问题。</w:t>
            </w:r>
            <w:r>
              <w:rPr>
                <w:rFonts w:hint="eastAsia" w:ascii="仿宋" w:hAnsi="仿宋" w:eastAsia="仿宋" w:cs="仿宋"/>
                <w:sz w:val="32"/>
                <w:szCs w:val="32"/>
              </w:rPr>
              <w:t xml:space="preserve">主动介入，积极作为，多方协调，确保专项整治行动过程中合同终止后承租方和非法转租养殖户的经济纠纷和滞留移民有关诉求问题得到较好处理。配合各乡镇克服困难，切实解决滞留移民无房、无地、祖坟迁移等系列问题。 </w:t>
            </w:r>
          </w:p>
          <w:p>
            <w:pPr>
              <w:spacing w:line="600" w:lineRule="exact"/>
              <w:ind w:firstLine="643" w:firstLineChars="200"/>
              <w:rPr>
                <w:rFonts w:ascii="仿宋" w:hAnsi="仿宋" w:eastAsia="仿宋" w:cs="仿宋"/>
                <w:sz w:val="32"/>
                <w:szCs w:val="32"/>
              </w:rPr>
            </w:pPr>
            <w:r>
              <w:rPr>
                <w:rFonts w:hint="eastAsia" w:ascii="楷体" w:hAnsi="楷体" w:eastAsia="楷体" w:cs="楷体"/>
                <w:b/>
                <w:bCs/>
                <w:sz w:val="32"/>
                <w:szCs w:val="32"/>
              </w:rPr>
              <w:t>5.提高环境保护效果。</w:t>
            </w:r>
            <w:r>
              <w:rPr>
                <w:rFonts w:hint="eastAsia" w:ascii="仿宋" w:hAnsi="仿宋" w:eastAsia="仿宋" w:cs="仿宋"/>
                <w:sz w:val="32"/>
                <w:szCs w:val="32"/>
              </w:rPr>
              <w:t>在自然保护区范围内原重要路口、路段和水运码头设建太阳能监测设备，全面及时掌握自然保护区动态，扎实开展生态环境保护工作。</w:t>
            </w:r>
          </w:p>
          <w:p>
            <w:pPr>
              <w:spacing w:line="600" w:lineRule="exact"/>
              <w:ind w:firstLine="640" w:firstLineChars="200"/>
              <w:rPr>
                <w:rFonts w:ascii="仿宋" w:hAnsi="仿宋" w:eastAsia="仿宋" w:cs="仿宋"/>
                <w:sz w:val="32"/>
                <w:szCs w:val="32"/>
              </w:rPr>
            </w:pPr>
          </w:p>
          <w:p>
            <w:pPr>
              <w:spacing w:line="600" w:lineRule="exact"/>
              <w:ind w:firstLine="640" w:firstLineChars="200"/>
              <w:rPr>
                <w:rFonts w:ascii="仿宋" w:hAnsi="仿宋" w:eastAsia="仿宋" w:cs="仿宋"/>
                <w:sz w:val="32"/>
                <w:szCs w:val="32"/>
              </w:rPr>
            </w:pPr>
          </w:p>
          <w:p>
            <w:pPr>
              <w:spacing w:line="600" w:lineRule="exact"/>
              <w:ind w:firstLine="3840" w:firstLineChars="1200"/>
              <w:rPr>
                <w:rFonts w:ascii="仿宋" w:hAnsi="仿宋" w:eastAsia="仿宋" w:cs="仿宋"/>
                <w:sz w:val="32"/>
                <w:szCs w:val="32"/>
              </w:rPr>
            </w:pPr>
            <w:r>
              <w:rPr>
                <w:rFonts w:hint="eastAsia" w:ascii="仿宋" w:hAnsi="仿宋" w:eastAsia="仿宋" w:cs="仿宋"/>
                <w:sz w:val="32"/>
                <w:szCs w:val="32"/>
              </w:rPr>
              <w:t>华容县小集成洪泛区管理委员会</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ascii="黑体" w:hAnsi="黑体" w:eastAsia="黑体"/>
          <w:sz w:val="32"/>
          <w:szCs w:val="32"/>
        </w:rPr>
      </w:pPr>
      <w:r>
        <w:rPr>
          <w:rFonts w:eastAsia="楷体_GB2312"/>
          <w:bCs/>
          <w:sz w:val="28"/>
          <w:szCs w:val="28"/>
        </w:rPr>
        <w:br w:type="page"/>
      </w:r>
      <w:r>
        <w:rPr>
          <w:rFonts w:ascii="黑体" w:hAnsi="黑体" w:eastAsia="黑体"/>
          <w:sz w:val="32"/>
          <w:szCs w:val="32"/>
        </w:rPr>
        <w:t xml:space="preserve"> </w:t>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4"/>
        <w:tblW w:w="9894" w:type="dxa"/>
        <w:jc w:val="center"/>
        <w:tblInd w:w="0" w:type="dxa"/>
        <w:tblLayout w:type="fixed"/>
        <w:tblCellMar>
          <w:top w:w="0" w:type="dxa"/>
          <w:left w:w="108" w:type="dxa"/>
          <w:bottom w:w="0" w:type="dxa"/>
          <w:right w:w="108" w:type="dxa"/>
        </w:tblCellMar>
      </w:tblPr>
      <w:tblGrid>
        <w:gridCol w:w="976"/>
        <w:gridCol w:w="939"/>
        <w:gridCol w:w="1389"/>
        <w:gridCol w:w="4171"/>
        <w:gridCol w:w="619"/>
        <w:gridCol w:w="720"/>
        <w:gridCol w:w="1080"/>
      </w:tblGrid>
      <w:tr>
        <w:tblPrEx>
          <w:tblLayout w:type="fixed"/>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Layout w:type="fixed"/>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2.5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2.5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4"/>
        <w:tblW w:w="9894" w:type="dxa"/>
        <w:jc w:val="center"/>
        <w:tblInd w:w="0" w:type="dxa"/>
        <w:tblLayout w:type="fixed"/>
        <w:tblCellMar>
          <w:top w:w="0" w:type="dxa"/>
          <w:left w:w="108" w:type="dxa"/>
          <w:bottom w:w="0" w:type="dxa"/>
          <w:right w:w="108" w:type="dxa"/>
        </w:tblCellMar>
      </w:tblPr>
      <w:tblGrid>
        <w:gridCol w:w="976"/>
        <w:gridCol w:w="939"/>
        <w:gridCol w:w="1389"/>
        <w:gridCol w:w="4171"/>
        <w:gridCol w:w="619"/>
        <w:gridCol w:w="720"/>
        <w:gridCol w:w="1080"/>
      </w:tblGrid>
      <w:tr>
        <w:tblPrEx>
          <w:tblLayout w:type="fixed"/>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Layout w:type="fixed"/>
          <w:tblCellMar>
            <w:top w:w="0" w:type="dxa"/>
            <w:left w:w="108" w:type="dxa"/>
            <w:bottom w:w="0" w:type="dxa"/>
            <w:right w:w="108" w:type="dxa"/>
          </w:tblCellMar>
        </w:tblPrEx>
        <w:trPr>
          <w:trHeight w:val="2011" w:hRule="atLeast"/>
          <w:jc w:val="center"/>
        </w:trPr>
        <w:tc>
          <w:tcPr>
            <w:tcW w:w="97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3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推进全面小康建设指标任务完成情况</w:t>
            </w:r>
          </w:p>
        </w:tc>
        <w:tc>
          <w:tcPr>
            <w:tcW w:w="417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t>此项指标根据《中共华容县委  华容县人民政府〈关于下达“六大工程”暨“四大会战”2018年度重大项目重点工作任务〉的通知》（华发[2018]1号）考核内容设置。</w:t>
            </w:r>
            <w:r>
              <w:rPr>
                <w:rFonts w:ascii="仿宋_GB2312" w:hAnsi="宋体" w:cs="宋体"/>
                <w:kern w:val="0"/>
                <w:sz w:val="18"/>
                <w:szCs w:val="18"/>
              </w:rPr>
              <w:br w:type="textWrapping"/>
            </w:r>
            <w:r>
              <w:rPr>
                <w:rFonts w:ascii="仿宋_GB2312" w:hAnsi="宋体" w:cs="宋体"/>
                <w:kern w:val="0"/>
                <w:sz w:val="18"/>
                <w:szCs w:val="18"/>
              </w:rPr>
              <w:t>部门单位应根据部门实际进行调整，并将其细化成相应的个性化指标。</w:t>
            </w:r>
            <w:r>
              <w:rPr>
                <w:rFonts w:hint="eastAsia" w:ascii="仿宋_GB2312" w:hAnsi="宋体" w:eastAsia="仿宋_GB2312" w:cs="宋体"/>
                <w:kern w:val="0"/>
                <w:sz w:val="18"/>
                <w:szCs w:val="18"/>
              </w:rPr>
              <w:t>。</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建设湖南新增极目标任务完成情况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8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3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7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3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7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w:t>
            </w:r>
            <w:r>
              <w:rPr>
                <w:rFonts w:ascii="仿宋_GB2312" w:hAnsi="宋体" w:eastAsia="仿宋_GB2312" w:cs="宋体"/>
                <w:b/>
                <w:bCs/>
                <w:kern w:val="0"/>
                <w:sz w:val="18"/>
                <w:szCs w:val="18"/>
              </w:rPr>
              <w:t>9</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spacing w:line="200" w:lineRule="exact"/>
        <w:jc w:val="right"/>
        <w:rPr>
          <w:rFonts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w:t>
    </w:r>
    <w:r>
      <w:rPr>
        <w:sz w:val="24"/>
        <w:szCs w:val="24"/>
      </w:rPr>
      <w:fldChar w:fldCharType="end"/>
    </w:r>
    <w:r>
      <w:rPr>
        <w:rStyle w:val="6"/>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18</w:t>
    </w:r>
    <w:r>
      <w:rPr>
        <w:sz w:val="24"/>
        <w:szCs w:val="24"/>
      </w:rPr>
      <w:fldChar w:fldCharType="end"/>
    </w:r>
    <w:r>
      <w:rPr>
        <w:rStyle w:val="6"/>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fldChar w:fldCharType="begin"/>
    </w:r>
    <w:r>
      <w:rPr>
        <w:rStyle w:val="6"/>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086085"/>
    <w:rsid w:val="000D7BEB"/>
    <w:rsid w:val="001529D1"/>
    <w:rsid w:val="001E5C78"/>
    <w:rsid w:val="002002B6"/>
    <w:rsid w:val="002B118A"/>
    <w:rsid w:val="0037299E"/>
    <w:rsid w:val="00393846"/>
    <w:rsid w:val="003C5198"/>
    <w:rsid w:val="004C1CF0"/>
    <w:rsid w:val="005B6DAC"/>
    <w:rsid w:val="005C1C7A"/>
    <w:rsid w:val="00693AA2"/>
    <w:rsid w:val="007B2063"/>
    <w:rsid w:val="007F6EAF"/>
    <w:rsid w:val="00887B17"/>
    <w:rsid w:val="00893632"/>
    <w:rsid w:val="009B41E2"/>
    <w:rsid w:val="00CF6753"/>
    <w:rsid w:val="00D4067D"/>
    <w:rsid w:val="00F03F15"/>
    <w:rsid w:val="00F25042"/>
    <w:rsid w:val="083749E7"/>
    <w:rsid w:val="0DE528CD"/>
    <w:rsid w:val="18725427"/>
    <w:rsid w:val="20CC56A5"/>
    <w:rsid w:val="25B937D1"/>
    <w:rsid w:val="2CA33441"/>
    <w:rsid w:val="2CE55C20"/>
    <w:rsid w:val="2F287302"/>
    <w:rsid w:val="30426D13"/>
    <w:rsid w:val="3A43255A"/>
    <w:rsid w:val="3D6201A1"/>
    <w:rsid w:val="4371763B"/>
    <w:rsid w:val="477245B4"/>
    <w:rsid w:val="4E4F0BB0"/>
    <w:rsid w:val="5BE95901"/>
    <w:rsid w:val="690C457B"/>
    <w:rsid w:val="6A0A15CD"/>
    <w:rsid w:val="6DF352BD"/>
    <w:rsid w:val="705E3E6D"/>
    <w:rsid w:val="71C1048A"/>
    <w:rsid w:val="72AD63B9"/>
    <w:rsid w:val="73F35F5B"/>
    <w:rsid w:val="7D1F0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Body Text Indent 2"/>
    <w:basedOn w:val="1"/>
    <w:unhideWhenUsed/>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character" w:styleId="6">
    <w:name w:val="page number"/>
    <w:qFormat/>
    <w:uiPriority w:val="0"/>
  </w:style>
  <w:style w:type="character" w:customStyle="1" w:styleId="7">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925</Words>
  <Characters>5276</Characters>
  <Lines>43</Lines>
  <Paragraphs>12</Paragraphs>
  <TotalTime>373</TotalTime>
  <ScaleCrop>false</ScaleCrop>
  <LinksUpToDate>false</LinksUpToDate>
  <CharactersWithSpaces>6189</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花开的声音</cp:lastModifiedBy>
  <cp:lastPrinted>2019-09-20T03:10:00Z</cp:lastPrinted>
  <dcterms:modified xsi:type="dcterms:W3CDTF">2019-09-20T07:45:34Z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