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黑体" w:hAnsi="黑体" w:eastAsia="黑体"/>
          <w:sz w:val="32"/>
          <w:szCs w:val="32"/>
        </w:rPr>
      </w:pPr>
      <w:r>
        <w:rPr>
          <w:rFonts w:hint="eastAsia" w:ascii="黑体" w:hAnsi="黑体" w:eastAsia="黑体"/>
          <w:sz w:val="32"/>
          <w:szCs w:val="32"/>
        </w:rPr>
        <w:t>附件</w:t>
      </w:r>
      <w:r>
        <w:rPr>
          <w:rFonts w:hint="eastAsia" w:ascii="黑体" w:hAnsi="黑体" w:eastAsia="黑体"/>
          <w:sz w:val="32"/>
          <w:szCs w:val="32"/>
          <w:lang w:val="en-US" w:eastAsia="zh-CN"/>
        </w:rPr>
        <w:t>2</w:t>
      </w:r>
      <w:r>
        <w:rPr>
          <w:rFonts w:hint="eastAsia" w:ascii="黑体" w:hAnsi="黑体" w:eastAsia="黑体"/>
          <w:sz w:val="32"/>
          <w:szCs w:val="32"/>
        </w:rPr>
        <w:t>-1</w:t>
      </w:r>
    </w:p>
    <w:p>
      <w:pPr>
        <w:spacing w:line="348" w:lineRule="auto"/>
        <w:jc w:val="center"/>
        <w:rPr>
          <w:rFonts w:hint="eastAsia"/>
          <w:sz w:val="42"/>
          <w:szCs w:val="42"/>
        </w:rPr>
      </w:pPr>
      <w:r>
        <w:rPr>
          <w:sz w:val="42"/>
          <w:szCs w:val="42"/>
        </w:rPr>
        <w:t xml:space="preserve"> </w:t>
      </w:r>
    </w:p>
    <w:p>
      <w:pPr>
        <w:spacing w:line="800" w:lineRule="exact"/>
        <w:jc w:val="center"/>
        <w:rPr>
          <w:sz w:val="46"/>
          <w:szCs w:val="46"/>
        </w:rPr>
      </w:pPr>
      <w:r>
        <w:rPr>
          <w:rFonts w:hint="eastAsia" w:ascii="方正小标宋简体" w:hAnsi="方正小标宋简体"/>
          <w:sz w:val="46"/>
          <w:szCs w:val="46"/>
          <w:lang w:eastAsia="zh-CN"/>
        </w:rPr>
        <w:t>华容县</w:t>
      </w:r>
      <w:r>
        <w:rPr>
          <w:sz w:val="46"/>
          <w:szCs w:val="46"/>
        </w:rPr>
        <w:t>20</w:t>
      </w:r>
      <w:r>
        <w:rPr>
          <w:rFonts w:hint="eastAsia"/>
          <w:sz w:val="46"/>
          <w:szCs w:val="46"/>
          <w:u w:val="single"/>
          <w:lang w:val="en-US" w:eastAsia="zh-CN"/>
        </w:rPr>
        <w:t>18</w:t>
      </w:r>
      <w:r>
        <w:rPr>
          <w:sz w:val="46"/>
          <w:szCs w:val="46"/>
          <w:u w:val="single"/>
        </w:rPr>
        <w:t xml:space="preserve"> </w:t>
      </w:r>
      <w:r>
        <w:rPr>
          <w:rFonts w:ascii="方正小标宋简体" w:hAnsi="方正小标宋简体"/>
          <w:sz w:val="46"/>
          <w:szCs w:val="46"/>
        </w:rPr>
        <w:t>年度部门（单位）整体支出</w:t>
      </w:r>
    </w:p>
    <w:p>
      <w:pPr>
        <w:spacing w:line="800" w:lineRule="exact"/>
        <w:jc w:val="center"/>
        <w:rPr>
          <w:sz w:val="46"/>
          <w:szCs w:val="46"/>
        </w:rPr>
      </w:pPr>
      <w:r>
        <w:rPr>
          <w:rFonts w:ascii="方正小标宋简体" w:hAnsi="方正小标宋简体"/>
          <w:sz w:val="46"/>
          <w:szCs w:val="46"/>
        </w:rPr>
        <w:t>绩效评价自评报告</w:t>
      </w:r>
    </w:p>
    <w:p>
      <w:pPr>
        <w:rPr>
          <w:b/>
          <w:bCs/>
          <w:sz w:val="32"/>
          <w:szCs w:val="32"/>
        </w:rPr>
      </w:pPr>
      <w:r>
        <w:rPr>
          <w:b/>
          <w:bCs/>
          <w:sz w:val="32"/>
          <w:szCs w:val="32"/>
        </w:rPr>
        <w:t xml:space="preserve"> </w:t>
      </w:r>
    </w:p>
    <w:p>
      <w:pPr>
        <w:rPr>
          <w:b/>
          <w:bCs/>
          <w:sz w:val="32"/>
          <w:szCs w:val="32"/>
        </w:rPr>
      </w:pPr>
      <w:r>
        <w:rPr>
          <w:b/>
          <w:bCs/>
          <w:sz w:val="32"/>
          <w:szCs w:val="32"/>
        </w:rPr>
        <w:t xml:space="preserve"> </w:t>
      </w:r>
    </w:p>
    <w:p>
      <w:pPr>
        <w:rPr>
          <w:b/>
          <w:bCs/>
          <w:sz w:val="32"/>
          <w:szCs w:val="32"/>
        </w:rPr>
      </w:pPr>
      <w:r>
        <w:rPr>
          <w:b/>
          <w:bCs/>
          <w:sz w:val="32"/>
          <w:szCs w:val="32"/>
        </w:rPr>
        <w:t xml:space="preserve"> </w:t>
      </w:r>
    </w:p>
    <w:p>
      <w:pPr>
        <w:spacing w:before="301" w:beforeLines="50" w:line="348" w:lineRule="auto"/>
        <w:ind w:firstLine="480" w:firstLineChars="150"/>
        <w:rPr>
          <w:sz w:val="32"/>
          <w:szCs w:val="32"/>
          <w:u w:val="single"/>
        </w:rPr>
      </w:pPr>
      <w:r>
        <w:rPr>
          <w:rFonts w:ascii="仿宋_GB2312" w:hAnsi="仿宋_GB2312"/>
          <w:sz w:val="32"/>
          <w:szCs w:val="32"/>
        </w:rPr>
        <w:t>部门</w:t>
      </w:r>
      <w:r>
        <w:rPr>
          <w:sz w:val="32"/>
          <w:szCs w:val="32"/>
        </w:rPr>
        <w:t>(</w:t>
      </w:r>
      <w:r>
        <w:rPr>
          <w:rFonts w:ascii="仿宋_GB2312" w:hAnsi="仿宋_GB2312"/>
          <w:sz w:val="32"/>
          <w:szCs w:val="32"/>
        </w:rPr>
        <w:t>单位</w:t>
      </w:r>
      <w:r>
        <w:rPr>
          <w:sz w:val="32"/>
          <w:szCs w:val="32"/>
        </w:rPr>
        <w:t>)</w:t>
      </w:r>
      <w:r>
        <w:rPr>
          <w:rFonts w:ascii="仿宋_GB2312" w:hAnsi="仿宋_GB2312"/>
          <w:sz w:val="32"/>
          <w:szCs w:val="32"/>
        </w:rPr>
        <w:t>名称：</w:t>
      </w:r>
      <w:r>
        <w:rPr>
          <w:sz w:val="32"/>
          <w:szCs w:val="32"/>
          <w:u w:val="single"/>
        </w:rPr>
        <w:t xml:space="preserve"> </w:t>
      </w:r>
      <w:r>
        <w:rPr>
          <w:rFonts w:hint="eastAsia" w:eastAsia="仿宋_GB2312"/>
          <w:sz w:val="32"/>
          <w:u w:val="single"/>
        </w:rPr>
        <w:t xml:space="preserve">华容县财政局     </w:t>
      </w:r>
      <w:r>
        <w:rPr>
          <w:sz w:val="32"/>
          <w:szCs w:val="32"/>
          <w:u w:val="single"/>
        </w:rPr>
        <w:t xml:space="preserve">                                  </w:t>
      </w:r>
    </w:p>
    <w:p>
      <w:pPr>
        <w:spacing w:beforeLines="50" w:line="348" w:lineRule="auto"/>
        <w:ind w:firstLine="480" w:firstLineChars="150"/>
        <w:rPr>
          <w:spacing w:val="20"/>
          <w:sz w:val="32"/>
          <w:szCs w:val="32"/>
        </w:rPr>
      </w:pPr>
      <w:r>
        <w:rPr>
          <w:rFonts w:ascii="仿宋_GB2312" w:hAnsi="仿宋_GB2312"/>
          <w:sz w:val="32"/>
          <w:szCs w:val="32"/>
        </w:rPr>
        <w:t>预</w:t>
      </w:r>
      <w:r>
        <w:rPr>
          <w:spacing w:val="30"/>
          <w:sz w:val="32"/>
          <w:szCs w:val="32"/>
        </w:rPr>
        <w:t xml:space="preserve"> </w:t>
      </w:r>
      <w:r>
        <w:rPr>
          <w:rFonts w:ascii="仿宋_GB2312" w:hAnsi="仿宋_GB2312"/>
          <w:spacing w:val="30"/>
          <w:sz w:val="32"/>
          <w:szCs w:val="32"/>
        </w:rPr>
        <w:t>算</w:t>
      </w:r>
      <w:r>
        <w:rPr>
          <w:spacing w:val="30"/>
          <w:sz w:val="32"/>
          <w:szCs w:val="32"/>
        </w:rPr>
        <w:t xml:space="preserve"> </w:t>
      </w:r>
      <w:r>
        <w:rPr>
          <w:rFonts w:ascii="仿宋_GB2312" w:hAnsi="仿宋_GB2312"/>
          <w:spacing w:val="30"/>
          <w:sz w:val="32"/>
          <w:szCs w:val="32"/>
        </w:rPr>
        <w:t>编</w:t>
      </w:r>
      <w:r>
        <w:rPr>
          <w:spacing w:val="30"/>
          <w:sz w:val="32"/>
          <w:szCs w:val="32"/>
        </w:rPr>
        <w:t xml:space="preserve"> </w:t>
      </w:r>
      <w:r>
        <w:rPr>
          <w:rFonts w:ascii="仿宋_GB2312" w:hAnsi="仿宋_GB2312"/>
          <w:spacing w:val="30"/>
          <w:sz w:val="32"/>
          <w:szCs w:val="32"/>
        </w:rPr>
        <w:t>码：</w:t>
      </w:r>
      <w:r>
        <w:rPr>
          <w:spacing w:val="20"/>
          <w:sz w:val="32"/>
          <w:szCs w:val="32"/>
          <w:u w:val="single"/>
        </w:rPr>
        <w:t xml:space="preserve">   </w:t>
      </w:r>
      <w:r>
        <w:rPr>
          <w:rFonts w:hint="eastAsia" w:eastAsia="仿宋_GB2312"/>
          <w:sz w:val="32"/>
          <w:u w:val="single"/>
        </w:rPr>
        <w:t xml:space="preserve"> 108001  </w:t>
      </w:r>
      <w:r>
        <w:rPr>
          <w:spacing w:val="20"/>
          <w:sz w:val="32"/>
          <w:szCs w:val="32"/>
          <w:u w:val="single"/>
        </w:rPr>
        <w:t xml:space="preserve">                         </w:t>
      </w:r>
    </w:p>
    <w:p>
      <w:pPr>
        <w:spacing w:beforeLines="50" w:line="348" w:lineRule="auto"/>
        <w:ind w:firstLine="480" w:firstLineChars="150"/>
        <w:rPr>
          <w:sz w:val="32"/>
          <w:szCs w:val="32"/>
        </w:rPr>
      </w:pPr>
      <w:r>
        <w:rPr>
          <w:rFonts w:ascii="仿宋_GB2312" w:hAnsi="仿宋_GB2312"/>
          <w:sz w:val="32"/>
          <w:szCs w:val="32"/>
        </w:rPr>
        <w:t>评价方式：部门（单位）绩效自评</w:t>
      </w:r>
    </w:p>
    <w:p>
      <w:pPr>
        <w:spacing w:beforeLines="50" w:line="348" w:lineRule="auto"/>
        <w:ind w:firstLine="480" w:firstLineChars="150"/>
        <w:rPr>
          <w:sz w:val="32"/>
          <w:szCs w:val="32"/>
        </w:rPr>
      </w:pPr>
      <w:r>
        <w:rPr>
          <w:rFonts w:ascii="仿宋_GB2312" w:hAnsi="仿宋_GB2312"/>
          <w:sz w:val="32"/>
          <w:szCs w:val="32"/>
        </w:rPr>
        <w:t>评价机构：部门（单位）评价组</w:t>
      </w:r>
      <w:r>
        <w:rPr>
          <w:sz w:val="32"/>
          <w:szCs w:val="32"/>
        </w:rPr>
        <w:t xml:space="preserve">   </w:t>
      </w:r>
    </w:p>
    <w:p>
      <w:pPr>
        <w:spacing w:line="348" w:lineRule="auto"/>
        <w:ind w:firstLine="2208" w:firstLineChars="690"/>
        <w:rPr>
          <w:sz w:val="32"/>
          <w:szCs w:val="32"/>
        </w:rPr>
      </w:pPr>
      <w:r>
        <w:rPr>
          <w:sz w:val="32"/>
          <w:szCs w:val="32"/>
        </w:rPr>
        <w:t xml:space="preserve"> </w:t>
      </w:r>
    </w:p>
    <w:p>
      <w:pPr>
        <w:spacing w:line="348" w:lineRule="auto"/>
        <w:ind w:firstLine="2208" w:firstLineChars="690"/>
        <w:rPr>
          <w:sz w:val="32"/>
          <w:szCs w:val="32"/>
        </w:rPr>
      </w:pPr>
      <w:r>
        <w:rPr>
          <w:sz w:val="32"/>
          <w:szCs w:val="32"/>
        </w:rPr>
        <w:t xml:space="preserve"> </w:t>
      </w:r>
    </w:p>
    <w:p>
      <w:pPr>
        <w:spacing w:line="348" w:lineRule="auto"/>
        <w:jc w:val="center"/>
        <w:rPr>
          <w:sz w:val="32"/>
          <w:szCs w:val="32"/>
        </w:rPr>
      </w:pPr>
      <w:r>
        <w:rPr>
          <w:rFonts w:ascii="仿宋_GB2312" w:hAnsi="仿宋_GB2312"/>
          <w:sz w:val="32"/>
          <w:szCs w:val="32"/>
        </w:rPr>
        <w:t>报告日期：</w:t>
      </w:r>
      <w:r>
        <w:rPr>
          <w:sz w:val="32"/>
          <w:szCs w:val="32"/>
        </w:rPr>
        <w:t xml:space="preserve"> </w:t>
      </w:r>
      <w:r>
        <w:rPr>
          <w:rFonts w:hint="eastAsia"/>
          <w:sz w:val="32"/>
          <w:szCs w:val="32"/>
          <w:lang w:val="en-US" w:eastAsia="zh-CN"/>
        </w:rPr>
        <w:t>2019</w:t>
      </w:r>
      <w:r>
        <w:rPr>
          <w:sz w:val="32"/>
          <w:szCs w:val="32"/>
        </w:rPr>
        <w:t xml:space="preserve">  </w:t>
      </w:r>
      <w:r>
        <w:rPr>
          <w:rFonts w:ascii="仿宋_GB2312" w:hAnsi="仿宋_GB2312"/>
          <w:sz w:val="32"/>
          <w:szCs w:val="32"/>
        </w:rPr>
        <w:t>年</w:t>
      </w:r>
      <w:r>
        <w:rPr>
          <w:sz w:val="32"/>
          <w:szCs w:val="32"/>
        </w:rPr>
        <w:t xml:space="preserve"> </w:t>
      </w:r>
      <w:r>
        <w:rPr>
          <w:rFonts w:hint="eastAsia"/>
          <w:sz w:val="32"/>
          <w:szCs w:val="32"/>
          <w:lang w:val="en-US" w:eastAsia="zh-CN"/>
        </w:rPr>
        <w:t>9</w:t>
      </w:r>
      <w:r>
        <w:rPr>
          <w:sz w:val="32"/>
          <w:szCs w:val="32"/>
        </w:rPr>
        <w:t xml:space="preserve"> </w:t>
      </w:r>
      <w:r>
        <w:rPr>
          <w:rFonts w:ascii="仿宋_GB2312" w:hAnsi="仿宋_GB2312"/>
          <w:sz w:val="32"/>
          <w:szCs w:val="32"/>
        </w:rPr>
        <w:t>月</w:t>
      </w:r>
      <w:r>
        <w:rPr>
          <w:sz w:val="32"/>
          <w:szCs w:val="32"/>
        </w:rPr>
        <w:t xml:space="preserve"> </w:t>
      </w:r>
      <w:r>
        <w:rPr>
          <w:rFonts w:hint="eastAsia"/>
          <w:sz w:val="32"/>
          <w:szCs w:val="32"/>
          <w:lang w:val="en-US" w:eastAsia="zh-CN"/>
        </w:rPr>
        <w:t>15</w:t>
      </w:r>
      <w:r>
        <w:rPr>
          <w:sz w:val="32"/>
          <w:szCs w:val="32"/>
        </w:rPr>
        <w:t xml:space="preserve">  </w:t>
      </w:r>
      <w:r>
        <w:rPr>
          <w:rFonts w:ascii="仿宋_GB2312" w:hAnsi="仿宋_GB2312"/>
          <w:sz w:val="32"/>
          <w:szCs w:val="32"/>
        </w:rPr>
        <w:t>日</w:t>
      </w:r>
    </w:p>
    <w:p>
      <w:pPr>
        <w:jc w:val="center"/>
        <w:textAlignment w:val="center"/>
        <w:rPr>
          <w:rFonts w:ascii="仿宋_GB2312" w:hAnsi="仿宋_GB2312"/>
          <w:sz w:val="32"/>
          <w:szCs w:val="32"/>
        </w:rPr>
      </w:pPr>
      <w:r>
        <w:rPr>
          <w:rFonts w:hint="eastAsia" w:ascii="仿宋_GB2312" w:hAnsi="仿宋_GB2312"/>
          <w:sz w:val="32"/>
          <w:szCs w:val="32"/>
          <w:lang w:eastAsia="zh-CN"/>
        </w:rPr>
        <w:t>华容县</w:t>
      </w:r>
      <w:r>
        <w:rPr>
          <w:rFonts w:ascii="仿宋_GB2312" w:hAnsi="仿宋_GB2312"/>
          <w:sz w:val="32"/>
          <w:szCs w:val="32"/>
        </w:rPr>
        <w:t>财政局（制）</w:t>
      </w:r>
    </w:p>
    <w:p>
      <w:pPr>
        <w:widowControl/>
        <w:jc w:val="left"/>
        <w:rPr>
          <w:rFonts w:ascii="黑体" w:hAnsi="黑体" w:eastAsia="黑体" w:cs="宋体"/>
          <w:color w:val="000000"/>
          <w:sz w:val="28"/>
          <w:szCs w:val="28"/>
        </w:rPr>
        <w:sectPr>
          <w:pgSz w:w="11906" w:h="16838"/>
          <w:pgMar w:top="1588" w:right="1588" w:bottom="1588" w:left="1588" w:header="720" w:footer="720" w:gutter="0"/>
          <w:cols w:space="720" w:num="1"/>
          <w:docGrid w:type="lines" w:linePitch="602" w:charSpace="0"/>
        </w:sectPr>
      </w:pPr>
    </w:p>
    <w:tbl>
      <w:tblPr>
        <w:tblStyle w:val="2"/>
        <w:tblW w:w="9800" w:type="dxa"/>
        <w:jc w:val="center"/>
        <w:tblLayout w:type="fixed"/>
        <w:tblCellMar>
          <w:top w:w="0" w:type="dxa"/>
          <w:left w:w="15" w:type="dxa"/>
          <w:bottom w:w="0" w:type="dxa"/>
          <w:right w:w="15" w:type="dxa"/>
        </w:tblCellMar>
      </w:tblPr>
      <w:tblGrid>
        <w:gridCol w:w="1441"/>
        <w:gridCol w:w="213"/>
        <w:gridCol w:w="46"/>
        <w:gridCol w:w="1080"/>
        <w:gridCol w:w="210"/>
        <w:gridCol w:w="1145"/>
        <w:gridCol w:w="272"/>
        <w:gridCol w:w="808"/>
        <w:gridCol w:w="1479"/>
        <w:gridCol w:w="226"/>
        <w:gridCol w:w="196"/>
        <w:gridCol w:w="259"/>
        <w:gridCol w:w="1080"/>
        <w:gridCol w:w="265"/>
        <w:gridCol w:w="139"/>
        <w:gridCol w:w="316"/>
        <w:gridCol w:w="625"/>
      </w:tblGrid>
      <w:tr>
        <w:tblPrEx>
          <w:tblCellMar>
            <w:top w:w="0" w:type="dxa"/>
            <w:left w:w="15" w:type="dxa"/>
            <w:bottom w:w="0" w:type="dxa"/>
            <w:right w:w="15" w:type="dxa"/>
          </w:tblCellMar>
        </w:tblPrEx>
        <w:trPr>
          <w:trHeight w:val="567" w:hRule="atLeast"/>
          <w:jc w:val="center"/>
        </w:trPr>
        <w:tc>
          <w:tcPr>
            <w:tcW w:w="9800" w:type="dxa"/>
            <w:gridSpan w:val="17"/>
            <w:tcBorders>
              <w:top w:val="single" w:color="000000" w:sz="4" w:space="0"/>
              <w:left w:val="single" w:color="000000" w:sz="4" w:space="0"/>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hint="eastAsia" w:ascii="黑体" w:hAnsi="黑体" w:eastAsia="黑体"/>
                <w:color w:val="000000"/>
                <w:sz w:val="28"/>
                <w:szCs w:val="28"/>
              </w:rPr>
              <w:t>一、部门（单位）基本概况</w:t>
            </w:r>
          </w:p>
        </w:tc>
      </w:tr>
      <w:tr>
        <w:tblPrEx>
          <w:tblCellMar>
            <w:top w:w="0" w:type="dxa"/>
            <w:left w:w="15" w:type="dxa"/>
            <w:bottom w:w="0" w:type="dxa"/>
            <w:right w:w="15" w:type="dxa"/>
          </w:tblCellMar>
        </w:tblPrEx>
        <w:trPr>
          <w:trHeight w:val="567" w:hRule="atLeast"/>
          <w:jc w:val="center"/>
        </w:trPr>
        <w:tc>
          <w:tcPr>
            <w:tcW w:w="1654" w:type="dxa"/>
            <w:gridSpan w:val="2"/>
            <w:tcBorders>
              <w:top w:val="single" w:color="000000" w:sz="4" w:space="0"/>
              <w:left w:val="single" w:color="000000" w:sz="4" w:space="0"/>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联系人</w:t>
            </w:r>
          </w:p>
        </w:tc>
        <w:tc>
          <w:tcPr>
            <w:tcW w:w="3561" w:type="dxa"/>
            <w:gridSpan w:val="6"/>
            <w:tcBorders>
              <w:top w:val="single" w:color="000000" w:sz="4" w:space="0"/>
              <w:left w:val="nil"/>
              <w:bottom w:val="single" w:color="000000" w:sz="4" w:space="0"/>
              <w:right w:val="single" w:color="000000" w:sz="4" w:space="0"/>
            </w:tcBorders>
            <w:vAlign w:val="center"/>
          </w:tcPr>
          <w:p>
            <w:pPr>
              <w:autoSpaceDN w:val="0"/>
              <w:spacing w:line="400" w:lineRule="exact"/>
              <w:jc w:val="both"/>
              <w:textAlignment w:val="center"/>
              <w:rPr>
                <w:rFonts w:ascii="仿宋_GB2312" w:hAnsi="仿宋_GB2312"/>
                <w:color w:val="000000"/>
                <w:sz w:val="24"/>
                <w:szCs w:val="24"/>
              </w:rPr>
            </w:pPr>
            <w:r>
              <w:rPr>
                <w:rFonts w:hint="eastAsia" w:ascii="仿宋_GB2312" w:hAnsi="仿宋_GB2312" w:eastAsia="仿宋_GB2312" w:cs="仿宋_GB2312"/>
                <w:color w:val="000000"/>
                <w:sz w:val="24"/>
                <w:lang w:val="en-US" w:eastAsia="zh-CN"/>
              </w:rPr>
              <w:t xml:space="preserve">           杜 云</w:t>
            </w:r>
          </w:p>
        </w:tc>
        <w:tc>
          <w:tcPr>
            <w:tcW w:w="1479" w:type="dxa"/>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联络电话</w:t>
            </w:r>
          </w:p>
        </w:tc>
        <w:tc>
          <w:tcPr>
            <w:tcW w:w="3106" w:type="dxa"/>
            <w:gridSpan w:val="8"/>
            <w:tcBorders>
              <w:top w:val="single" w:color="000000" w:sz="4" w:space="0"/>
              <w:left w:val="nil"/>
              <w:bottom w:val="single" w:color="000000" w:sz="4" w:space="0"/>
              <w:right w:val="single" w:color="000000" w:sz="4" w:space="0"/>
            </w:tcBorders>
            <w:vAlign w:val="center"/>
          </w:tcPr>
          <w:p>
            <w:pPr>
              <w:autoSpaceDN w:val="0"/>
              <w:spacing w:line="400" w:lineRule="exact"/>
              <w:jc w:val="center"/>
              <w:textAlignment w:val="center"/>
              <w:rPr>
                <w:rFonts w:ascii="仿宋_GB2312" w:hAnsi="仿宋_GB2312"/>
                <w:color w:val="000000"/>
                <w:sz w:val="24"/>
                <w:szCs w:val="24"/>
              </w:rPr>
            </w:pPr>
            <w:r>
              <w:rPr>
                <w:rFonts w:hint="eastAsia" w:ascii="仿宋_GB2312" w:hAnsi="仿宋_GB2312" w:eastAsia="仿宋_GB2312" w:cs="仿宋_GB2312"/>
                <w:color w:val="000000"/>
                <w:sz w:val="24"/>
              </w:rPr>
              <w:t>4262688</w:t>
            </w:r>
          </w:p>
        </w:tc>
      </w:tr>
      <w:tr>
        <w:tblPrEx>
          <w:tblCellMar>
            <w:top w:w="0" w:type="dxa"/>
            <w:left w:w="15" w:type="dxa"/>
            <w:bottom w:w="0" w:type="dxa"/>
            <w:right w:w="15" w:type="dxa"/>
          </w:tblCellMar>
        </w:tblPrEx>
        <w:trPr>
          <w:trHeight w:val="567" w:hRule="atLeast"/>
          <w:jc w:val="center"/>
        </w:trPr>
        <w:tc>
          <w:tcPr>
            <w:tcW w:w="1654" w:type="dxa"/>
            <w:gridSpan w:val="2"/>
            <w:tcBorders>
              <w:top w:val="single" w:color="000000" w:sz="4" w:space="0"/>
              <w:left w:val="single" w:color="000000" w:sz="4" w:space="0"/>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人员编制</w:t>
            </w:r>
          </w:p>
        </w:tc>
        <w:tc>
          <w:tcPr>
            <w:tcW w:w="3561" w:type="dxa"/>
            <w:gridSpan w:val="6"/>
            <w:tcBorders>
              <w:top w:val="single" w:color="000000" w:sz="4" w:space="0"/>
              <w:left w:val="nil"/>
              <w:bottom w:val="single" w:color="000000" w:sz="4" w:space="0"/>
              <w:right w:val="single" w:color="000000" w:sz="4" w:space="0"/>
            </w:tcBorders>
            <w:vAlign w:val="center"/>
          </w:tcPr>
          <w:p>
            <w:pPr>
              <w:autoSpaceDN w:val="0"/>
              <w:spacing w:line="400" w:lineRule="exact"/>
              <w:jc w:val="center"/>
              <w:textAlignment w:val="center"/>
              <w:rPr>
                <w:rFonts w:ascii="仿宋_GB2312" w:hAnsi="仿宋_GB2312"/>
                <w:color w:val="000000"/>
                <w:sz w:val="24"/>
                <w:szCs w:val="24"/>
              </w:rPr>
            </w:pPr>
            <w:r>
              <w:rPr>
                <w:rFonts w:hint="eastAsia" w:ascii="仿宋_GB2312" w:hAnsi="仿宋_GB2312" w:eastAsia="仿宋_GB2312" w:cs="仿宋_GB2312"/>
                <w:color w:val="000000"/>
                <w:sz w:val="24"/>
              </w:rPr>
              <w:t>83</w:t>
            </w:r>
          </w:p>
        </w:tc>
        <w:tc>
          <w:tcPr>
            <w:tcW w:w="1479" w:type="dxa"/>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实有人数</w:t>
            </w:r>
          </w:p>
        </w:tc>
        <w:tc>
          <w:tcPr>
            <w:tcW w:w="3106" w:type="dxa"/>
            <w:gridSpan w:val="8"/>
            <w:tcBorders>
              <w:top w:val="single" w:color="000000" w:sz="4" w:space="0"/>
              <w:left w:val="nil"/>
              <w:bottom w:val="single" w:color="000000" w:sz="4" w:space="0"/>
              <w:right w:val="single" w:color="000000" w:sz="4" w:space="0"/>
            </w:tcBorders>
            <w:vAlign w:val="center"/>
          </w:tcPr>
          <w:p>
            <w:pPr>
              <w:autoSpaceDN w:val="0"/>
              <w:spacing w:line="400" w:lineRule="exact"/>
              <w:jc w:val="center"/>
              <w:textAlignment w:val="center"/>
              <w:rPr>
                <w:rFonts w:ascii="仿宋_GB2312" w:hAnsi="仿宋_GB2312"/>
                <w:color w:val="000000"/>
                <w:sz w:val="24"/>
                <w:szCs w:val="24"/>
              </w:rPr>
            </w:pPr>
            <w:r>
              <w:rPr>
                <w:rFonts w:hint="eastAsia" w:ascii="仿宋_GB2312" w:hAnsi="仿宋_GB2312" w:eastAsia="仿宋_GB2312" w:cs="仿宋_GB2312"/>
                <w:color w:val="000000"/>
                <w:sz w:val="24"/>
              </w:rPr>
              <w:t>97</w:t>
            </w:r>
          </w:p>
        </w:tc>
      </w:tr>
      <w:tr>
        <w:tblPrEx>
          <w:tblCellMar>
            <w:top w:w="0" w:type="dxa"/>
            <w:left w:w="15" w:type="dxa"/>
            <w:bottom w:w="0" w:type="dxa"/>
            <w:right w:w="15" w:type="dxa"/>
          </w:tblCellMar>
        </w:tblPrEx>
        <w:trPr>
          <w:trHeight w:val="1617" w:hRule="atLeast"/>
          <w:jc w:val="center"/>
        </w:trPr>
        <w:tc>
          <w:tcPr>
            <w:tcW w:w="1654" w:type="dxa"/>
            <w:gridSpan w:val="2"/>
            <w:tcBorders>
              <w:top w:val="single" w:color="000000" w:sz="4" w:space="0"/>
              <w:left w:val="single" w:color="000000" w:sz="4" w:space="0"/>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职能职责概述</w:t>
            </w:r>
          </w:p>
        </w:tc>
        <w:tc>
          <w:tcPr>
            <w:tcW w:w="8146" w:type="dxa"/>
            <w:gridSpan w:val="15"/>
            <w:tcBorders>
              <w:top w:val="single" w:color="000000" w:sz="4" w:space="0"/>
              <w:left w:val="nil"/>
              <w:bottom w:val="single" w:color="000000" w:sz="4" w:space="0"/>
              <w:right w:val="single" w:color="000000" w:sz="4" w:space="0"/>
            </w:tcBorders>
            <w:vAlign w:val="center"/>
          </w:tcPr>
          <w:p>
            <w:pPr>
              <w:spacing w:line="320" w:lineRule="exact"/>
              <w:jc w:val="left"/>
              <w:textAlignment w:val="center"/>
              <w:rPr>
                <w:rFonts w:ascii="仿宋_GB2312" w:hAnsi="仿宋_GB2312"/>
                <w:color w:val="000000"/>
                <w:sz w:val="24"/>
                <w:szCs w:val="24"/>
              </w:rPr>
            </w:pPr>
            <w:r>
              <w:rPr>
                <w:rFonts w:hint="eastAsia" w:ascii="仿宋_GB2312" w:eastAsia="仿宋_GB2312"/>
                <w:kern w:val="0"/>
                <w:sz w:val="24"/>
              </w:rPr>
              <w:t>根据本县经济和社会发展战略，编制本县中长期财政计划；参与制定本县重大经济决策；贯彻执行国家有关财政分配政策；编制本县年度预决算草案并组织执行；制定财政和预算收入计划；管理县级财政公共支出和各项专款；拟定和执行政府采购办法；管理社会保障支出；监督会计规章制度的执行情况；负责全县的国有资产管理工作。</w:t>
            </w:r>
          </w:p>
        </w:tc>
      </w:tr>
      <w:tr>
        <w:tblPrEx>
          <w:tblCellMar>
            <w:top w:w="0" w:type="dxa"/>
            <w:left w:w="15" w:type="dxa"/>
            <w:bottom w:w="0" w:type="dxa"/>
            <w:right w:w="15" w:type="dxa"/>
          </w:tblCellMar>
        </w:tblPrEx>
        <w:trPr>
          <w:trHeight w:val="2464" w:hRule="atLeast"/>
          <w:jc w:val="center"/>
        </w:trPr>
        <w:tc>
          <w:tcPr>
            <w:tcW w:w="1654" w:type="dxa"/>
            <w:gridSpan w:val="2"/>
            <w:tcBorders>
              <w:top w:val="single" w:color="000000" w:sz="4" w:space="0"/>
              <w:left w:val="single" w:color="000000" w:sz="4" w:space="0"/>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年度主要</w:t>
            </w:r>
          </w:p>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工作内容</w:t>
            </w:r>
          </w:p>
        </w:tc>
        <w:tc>
          <w:tcPr>
            <w:tcW w:w="8146" w:type="dxa"/>
            <w:gridSpan w:val="15"/>
            <w:tcBorders>
              <w:top w:val="single" w:color="000000" w:sz="4" w:space="0"/>
              <w:left w:val="nil"/>
              <w:bottom w:val="single" w:color="000000" w:sz="4" w:space="0"/>
              <w:right w:val="single" w:color="000000" w:sz="4" w:space="0"/>
            </w:tcBorders>
            <w:vAlign w:val="center"/>
          </w:tcPr>
          <w:p>
            <w:pPr>
              <w:autoSpaceDN w:val="0"/>
              <w:spacing w:line="400" w:lineRule="exact"/>
              <w:jc w:val="left"/>
              <w:textAlignment w:val="center"/>
              <w:rPr>
                <w:rFonts w:hint="eastAsia" w:ascii="仿宋_GB2312" w:eastAsia="仿宋_GB2312"/>
                <w:kern w:val="0"/>
                <w:sz w:val="24"/>
              </w:rPr>
            </w:pPr>
            <w:r>
              <w:rPr>
                <w:rFonts w:hint="eastAsia" w:ascii="仿宋_GB2312" w:eastAsia="仿宋_GB2312"/>
                <w:kern w:val="0"/>
                <w:sz w:val="24"/>
              </w:rPr>
              <w:t>1、编制本县年度预决算草案并组织执行；</w:t>
            </w:r>
          </w:p>
          <w:p>
            <w:pPr>
              <w:autoSpaceDN w:val="0"/>
              <w:spacing w:line="400" w:lineRule="exact"/>
              <w:jc w:val="left"/>
              <w:textAlignment w:val="center"/>
              <w:rPr>
                <w:rFonts w:hint="eastAsia" w:ascii="仿宋_GB2312" w:eastAsia="仿宋_GB2312"/>
                <w:kern w:val="0"/>
                <w:sz w:val="24"/>
              </w:rPr>
            </w:pPr>
            <w:r>
              <w:rPr>
                <w:rFonts w:hint="eastAsia" w:ascii="仿宋_GB2312" w:eastAsia="仿宋_GB2312"/>
                <w:kern w:val="0"/>
                <w:sz w:val="24"/>
              </w:rPr>
              <w:t>2、制定财政和预算收入计划；</w:t>
            </w:r>
          </w:p>
          <w:p>
            <w:pPr>
              <w:autoSpaceDN w:val="0"/>
              <w:spacing w:line="400" w:lineRule="exact"/>
              <w:jc w:val="left"/>
              <w:textAlignment w:val="center"/>
              <w:rPr>
                <w:rFonts w:hint="eastAsia" w:ascii="仿宋_GB2312" w:eastAsia="仿宋_GB2312"/>
                <w:kern w:val="0"/>
                <w:sz w:val="24"/>
              </w:rPr>
            </w:pPr>
            <w:r>
              <w:rPr>
                <w:rFonts w:hint="eastAsia" w:ascii="仿宋_GB2312" w:eastAsia="仿宋_GB2312"/>
                <w:kern w:val="0"/>
                <w:sz w:val="24"/>
              </w:rPr>
              <w:t>3、管理县级财政公共支出和各项专款；</w:t>
            </w:r>
          </w:p>
          <w:p>
            <w:pPr>
              <w:spacing w:line="320" w:lineRule="exact"/>
              <w:jc w:val="left"/>
              <w:textAlignment w:val="center"/>
              <w:rPr>
                <w:rFonts w:ascii="仿宋_GB2312" w:hAnsi="仿宋_GB2312"/>
                <w:color w:val="000000"/>
                <w:sz w:val="24"/>
                <w:szCs w:val="24"/>
              </w:rPr>
            </w:pPr>
            <w:r>
              <w:rPr>
                <w:rFonts w:hint="eastAsia" w:ascii="仿宋_GB2312" w:eastAsia="仿宋_GB2312"/>
                <w:kern w:val="0"/>
                <w:sz w:val="24"/>
              </w:rPr>
              <w:t>4、管理和监督政府采购、社会保障、会计制度执行及国有资产工作等。</w:t>
            </w:r>
          </w:p>
        </w:tc>
      </w:tr>
      <w:tr>
        <w:tblPrEx>
          <w:tblCellMar>
            <w:top w:w="0" w:type="dxa"/>
            <w:left w:w="15" w:type="dxa"/>
            <w:bottom w:w="0" w:type="dxa"/>
            <w:right w:w="15" w:type="dxa"/>
          </w:tblCellMar>
        </w:tblPrEx>
        <w:trPr>
          <w:trHeight w:val="2260" w:hRule="atLeast"/>
          <w:jc w:val="center"/>
        </w:trPr>
        <w:tc>
          <w:tcPr>
            <w:tcW w:w="1654" w:type="dxa"/>
            <w:gridSpan w:val="2"/>
            <w:tcBorders>
              <w:top w:val="single" w:color="000000" w:sz="4" w:space="0"/>
              <w:left w:val="single" w:color="000000" w:sz="4" w:space="0"/>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pacing w:val="-6"/>
                <w:sz w:val="24"/>
                <w:szCs w:val="24"/>
              </w:rPr>
            </w:pPr>
            <w:r>
              <w:rPr>
                <w:rFonts w:ascii="仿宋_GB2312" w:hAnsi="仿宋_GB2312"/>
                <w:color w:val="000000"/>
                <w:spacing w:val="-6"/>
                <w:sz w:val="24"/>
                <w:szCs w:val="24"/>
              </w:rPr>
              <w:t>年度部门（单位）总体运行情况及取得的成绩</w:t>
            </w:r>
          </w:p>
        </w:tc>
        <w:tc>
          <w:tcPr>
            <w:tcW w:w="8146" w:type="dxa"/>
            <w:gridSpan w:val="15"/>
            <w:tcBorders>
              <w:top w:val="single" w:color="000000" w:sz="4" w:space="0"/>
              <w:left w:val="nil"/>
              <w:bottom w:val="single" w:color="000000" w:sz="4" w:space="0"/>
              <w:right w:val="single" w:color="000000" w:sz="4" w:space="0"/>
            </w:tcBorders>
            <w:vAlign w:val="center"/>
          </w:tcPr>
          <w:p>
            <w:pPr>
              <w:spacing w:line="320" w:lineRule="exact"/>
              <w:jc w:val="left"/>
              <w:textAlignment w:val="center"/>
              <w:rPr>
                <w:rFonts w:ascii="仿宋_GB2312" w:hAnsi="仿宋_GB2312"/>
                <w:color w:val="000000"/>
                <w:sz w:val="24"/>
                <w:szCs w:val="24"/>
              </w:rPr>
            </w:pPr>
            <w:r>
              <w:rPr>
                <w:rFonts w:hint="eastAsia" w:ascii="仿宋_GB2312" w:eastAsia="仿宋_GB2312"/>
                <w:kern w:val="0"/>
                <w:sz w:val="24"/>
              </w:rPr>
              <w:t>积极组织财政收入，认真加强预算管理和财政监督；全面推进财政科学化、精细化管理水平；规范政府采购行为以及做好项目建设服务等相关工作，确保了财政各项经济指标的圆满完成。</w:t>
            </w:r>
          </w:p>
        </w:tc>
      </w:tr>
      <w:tr>
        <w:tblPrEx>
          <w:tblCellMar>
            <w:top w:w="0" w:type="dxa"/>
            <w:left w:w="15" w:type="dxa"/>
            <w:bottom w:w="0" w:type="dxa"/>
            <w:right w:w="15" w:type="dxa"/>
          </w:tblCellMar>
        </w:tblPrEx>
        <w:trPr>
          <w:trHeight w:val="567" w:hRule="atLeast"/>
          <w:jc w:val="center"/>
        </w:trPr>
        <w:tc>
          <w:tcPr>
            <w:tcW w:w="9800" w:type="dxa"/>
            <w:gridSpan w:val="17"/>
            <w:tcBorders>
              <w:top w:val="single" w:color="000000" w:sz="4" w:space="0"/>
              <w:left w:val="single" w:color="000000" w:sz="4" w:space="0"/>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hint="eastAsia" w:ascii="黑体" w:hAnsi="黑体" w:eastAsia="黑体"/>
                <w:color w:val="000000"/>
                <w:sz w:val="28"/>
                <w:szCs w:val="28"/>
              </w:rPr>
              <w:t>二、部门（单位）收支情况</w:t>
            </w:r>
          </w:p>
        </w:tc>
      </w:tr>
      <w:tr>
        <w:tblPrEx>
          <w:tblCellMar>
            <w:top w:w="0" w:type="dxa"/>
            <w:left w:w="15" w:type="dxa"/>
            <w:bottom w:w="0" w:type="dxa"/>
            <w:right w:w="15" w:type="dxa"/>
          </w:tblCellMar>
        </w:tblPrEx>
        <w:trPr>
          <w:trHeight w:val="567" w:hRule="atLeast"/>
          <w:jc w:val="center"/>
        </w:trPr>
        <w:tc>
          <w:tcPr>
            <w:tcW w:w="9800" w:type="dxa"/>
            <w:gridSpan w:val="17"/>
            <w:tcBorders>
              <w:top w:val="single" w:color="000000" w:sz="4" w:space="0"/>
              <w:left w:val="single" w:color="000000" w:sz="4" w:space="0"/>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b/>
                <w:bCs/>
                <w:color w:val="000000"/>
                <w:sz w:val="24"/>
                <w:szCs w:val="24"/>
              </w:rPr>
              <w:t>年度收入情况（万元）</w:t>
            </w:r>
          </w:p>
        </w:tc>
      </w:tr>
      <w:tr>
        <w:tblPrEx>
          <w:tblCellMar>
            <w:top w:w="0" w:type="dxa"/>
            <w:left w:w="15" w:type="dxa"/>
            <w:bottom w:w="0" w:type="dxa"/>
            <w:right w:w="15" w:type="dxa"/>
          </w:tblCellMar>
        </w:tblPrEx>
        <w:trPr>
          <w:trHeight w:val="567" w:hRule="atLeast"/>
          <w:jc w:val="center"/>
        </w:trPr>
        <w:tc>
          <w:tcPr>
            <w:tcW w:w="1700" w:type="dxa"/>
            <w:gridSpan w:val="3"/>
            <w:vMerge w:val="restart"/>
            <w:tcBorders>
              <w:top w:val="nil"/>
              <w:left w:val="single" w:color="000000" w:sz="4" w:space="0"/>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机构名称</w:t>
            </w:r>
          </w:p>
        </w:tc>
        <w:tc>
          <w:tcPr>
            <w:tcW w:w="1080" w:type="dxa"/>
            <w:vMerge w:val="restart"/>
            <w:tcBorders>
              <w:top w:val="single" w:color="000000" w:sz="4" w:space="0"/>
              <w:left w:val="nil"/>
              <w:bottom w:val="single" w:color="000000" w:sz="4" w:space="0"/>
              <w:right w:val="single" w:color="auto"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收入合计</w:t>
            </w:r>
          </w:p>
        </w:tc>
        <w:tc>
          <w:tcPr>
            <w:tcW w:w="7020" w:type="dxa"/>
            <w:gridSpan w:val="13"/>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其中：</w:t>
            </w:r>
          </w:p>
        </w:tc>
      </w:tr>
      <w:tr>
        <w:tblPrEx>
          <w:tblCellMar>
            <w:top w:w="0" w:type="dxa"/>
            <w:left w:w="15" w:type="dxa"/>
            <w:bottom w:w="0" w:type="dxa"/>
            <w:right w:w="15" w:type="dxa"/>
          </w:tblCellMar>
        </w:tblPrEx>
        <w:trPr>
          <w:trHeight w:val="1014" w:hRule="atLeast"/>
          <w:jc w:val="center"/>
        </w:trPr>
        <w:tc>
          <w:tcPr>
            <w:tcW w:w="1700" w:type="dxa"/>
            <w:gridSpan w:val="3"/>
            <w:vMerge w:val="continue"/>
            <w:tcBorders>
              <w:top w:val="nil"/>
              <w:left w:val="single" w:color="000000" w:sz="4" w:space="0"/>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1080" w:type="dxa"/>
            <w:vMerge w:val="continue"/>
            <w:tcBorders>
              <w:top w:val="single" w:color="000000" w:sz="4" w:space="0"/>
              <w:left w:val="nil"/>
              <w:bottom w:val="single" w:color="000000" w:sz="4" w:space="0"/>
              <w:right w:val="single" w:color="auto" w:sz="4" w:space="0"/>
            </w:tcBorders>
            <w:vAlign w:val="center"/>
          </w:tcPr>
          <w:p>
            <w:pPr>
              <w:widowControl/>
              <w:jc w:val="left"/>
              <w:rPr>
                <w:rFonts w:ascii="仿宋_GB2312" w:hAnsi="仿宋_GB2312"/>
                <w:color w:val="000000"/>
                <w:sz w:val="24"/>
                <w:szCs w:val="24"/>
              </w:rPr>
            </w:pPr>
          </w:p>
        </w:tc>
        <w:tc>
          <w:tcPr>
            <w:tcW w:w="1355" w:type="dxa"/>
            <w:gridSpan w:val="2"/>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上年结转</w:t>
            </w:r>
          </w:p>
        </w:tc>
        <w:tc>
          <w:tcPr>
            <w:tcW w:w="1080" w:type="dxa"/>
            <w:gridSpan w:val="2"/>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公共财</w:t>
            </w:r>
          </w:p>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政拨款</w:t>
            </w:r>
          </w:p>
        </w:tc>
        <w:tc>
          <w:tcPr>
            <w:tcW w:w="1705" w:type="dxa"/>
            <w:gridSpan w:val="2"/>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政府基金拨款</w:t>
            </w:r>
          </w:p>
        </w:tc>
        <w:tc>
          <w:tcPr>
            <w:tcW w:w="1800" w:type="dxa"/>
            <w:gridSpan w:val="4"/>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纳入专户管理的非税收入拨款</w:t>
            </w:r>
          </w:p>
        </w:tc>
        <w:tc>
          <w:tcPr>
            <w:tcW w:w="1080" w:type="dxa"/>
            <w:gridSpan w:val="3"/>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其他</w:t>
            </w:r>
          </w:p>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收入</w:t>
            </w:r>
          </w:p>
        </w:tc>
      </w:tr>
      <w:tr>
        <w:tblPrEx>
          <w:tblCellMar>
            <w:top w:w="0" w:type="dxa"/>
            <w:left w:w="15" w:type="dxa"/>
            <w:bottom w:w="0" w:type="dxa"/>
            <w:right w:w="15" w:type="dxa"/>
          </w:tblCellMar>
        </w:tblPrEx>
        <w:trPr>
          <w:trHeight w:val="772" w:hRule="atLeast"/>
          <w:jc w:val="center"/>
        </w:trPr>
        <w:tc>
          <w:tcPr>
            <w:tcW w:w="1700" w:type="dxa"/>
            <w:gridSpan w:val="3"/>
            <w:tcBorders>
              <w:top w:val="single" w:color="000000" w:sz="4" w:space="0"/>
              <w:left w:val="single" w:color="000000" w:sz="4" w:space="0"/>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局机关及二级机构汇总</w:t>
            </w:r>
          </w:p>
        </w:tc>
        <w:tc>
          <w:tcPr>
            <w:tcW w:w="1080" w:type="dxa"/>
            <w:tcBorders>
              <w:top w:val="single" w:color="000000" w:sz="4" w:space="0"/>
              <w:left w:val="nil"/>
              <w:bottom w:val="single" w:color="000000" w:sz="4" w:space="0"/>
              <w:right w:val="single" w:color="auto" w:sz="4" w:space="0"/>
            </w:tcBorders>
            <w:vAlign w:val="center"/>
          </w:tcPr>
          <w:p>
            <w:pPr>
              <w:spacing w:line="320" w:lineRule="exact"/>
              <w:jc w:val="left"/>
              <w:textAlignment w:val="center"/>
              <w:rPr>
                <w:rFonts w:hint="default" w:ascii="仿宋_GB2312" w:hAnsi="仿宋_GB2312" w:eastAsia="宋体"/>
                <w:color w:val="000000"/>
                <w:sz w:val="24"/>
                <w:szCs w:val="24"/>
                <w:lang w:val="en-US" w:eastAsia="zh-CN"/>
              </w:rPr>
            </w:pPr>
            <w:r>
              <w:rPr>
                <w:rFonts w:hint="eastAsia" w:ascii="仿宋_GB2312" w:hAnsi="仿宋_GB2312"/>
                <w:color w:val="000000"/>
                <w:sz w:val="24"/>
                <w:szCs w:val="24"/>
                <w:lang w:val="zh-CN" w:eastAsia="zh-CN"/>
              </w:rPr>
              <w:t>2,565.6</w:t>
            </w:r>
          </w:p>
        </w:tc>
        <w:tc>
          <w:tcPr>
            <w:tcW w:w="1355" w:type="dxa"/>
            <w:gridSpan w:val="2"/>
            <w:tcBorders>
              <w:top w:val="single" w:color="000000" w:sz="4" w:space="0"/>
              <w:left w:val="nil"/>
              <w:bottom w:val="single" w:color="000000" w:sz="4" w:space="0"/>
              <w:right w:val="single" w:color="000000" w:sz="4" w:space="0"/>
            </w:tcBorders>
            <w:vAlign w:val="center"/>
          </w:tcPr>
          <w:p>
            <w:pPr>
              <w:spacing w:line="320" w:lineRule="exact"/>
              <w:jc w:val="left"/>
              <w:textAlignment w:val="center"/>
              <w:rPr>
                <w:rFonts w:ascii="仿宋_GB2312" w:hAnsi="仿宋_GB2312"/>
                <w:color w:val="000000"/>
                <w:sz w:val="24"/>
                <w:szCs w:val="24"/>
              </w:rPr>
            </w:pPr>
          </w:p>
        </w:tc>
        <w:tc>
          <w:tcPr>
            <w:tcW w:w="1080" w:type="dxa"/>
            <w:gridSpan w:val="2"/>
            <w:tcBorders>
              <w:top w:val="single" w:color="000000" w:sz="4" w:space="0"/>
              <w:left w:val="nil"/>
              <w:bottom w:val="single" w:color="000000" w:sz="4" w:space="0"/>
              <w:right w:val="single" w:color="000000" w:sz="4" w:space="0"/>
            </w:tcBorders>
            <w:vAlign w:val="center"/>
          </w:tcPr>
          <w:p>
            <w:pPr>
              <w:spacing w:line="320" w:lineRule="exact"/>
              <w:jc w:val="left"/>
              <w:textAlignment w:val="center"/>
              <w:rPr>
                <w:rFonts w:hint="default" w:ascii="仿宋_GB2312" w:hAnsi="仿宋_GB2312" w:eastAsia="宋体"/>
                <w:color w:val="000000"/>
                <w:sz w:val="24"/>
                <w:szCs w:val="24"/>
                <w:lang w:val="en-US" w:eastAsia="zh-CN"/>
              </w:rPr>
            </w:pPr>
            <w:r>
              <w:rPr>
                <w:rFonts w:hint="eastAsia" w:ascii="仿宋_GB2312" w:hAnsi="仿宋_GB2312"/>
                <w:color w:val="000000"/>
                <w:sz w:val="24"/>
                <w:szCs w:val="24"/>
                <w:lang w:val="zh-CN" w:eastAsia="zh-CN"/>
              </w:rPr>
              <w:t>2,565.6</w:t>
            </w:r>
          </w:p>
        </w:tc>
        <w:tc>
          <w:tcPr>
            <w:tcW w:w="1705" w:type="dxa"/>
            <w:gridSpan w:val="2"/>
            <w:tcBorders>
              <w:top w:val="single" w:color="000000" w:sz="4" w:space="0"/>
              <w:left w:val="nil"/>
              <w:bottom w:val="single" w:color="000000" w:sz="4" w:space="0"/>
              <w:right w:val="single" w:color="000000" w:sz="4" w:space="0"/>
            </w:tcBorders>
            <w:vAlign w:val="center"/>
          </w:tcPr>
          <w:p>
            <w:pPr>
              <w:spacing w:line="320" w:lineRule="exact"/>
              <w:jc w:val="left"/>
              <w:textAlignment w:val="center"/>
              <w:rPr>
                <w:rFonts w:ascii="仿宋_GB2312" w:hAnsi="仿宋_GB2312"/>
                <w:color w:val="000000"/>
                <w:sz w:val="24"/>
                <w:szCs w:val="24"/>
              </w:rPr>
            </w:pPr>
          </w:p>
        </w:tc>
        <w:tc>
          <w:tcPr>
            <w:tcW w:w="1800" w:type="dxa"/>
            <w:gridSpan w:val="4"/>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c>
          <w:tcPr>
            <w:tcW w:w="1080" w:type="dxa"/>
            <w:gridSpan w:val="3"/>
            <w:tcBorders>
              <w:top w:val="single" w:color="000000" w:sz="4" w:space="0"/>
              <w:left w:val="nil"/>
              <w:bottom w:val="single" w:color="000000" w:sz="4" w:space="0"/>
              <w:right w:val="single" w:color="000000" w:sz="4" w:space="0"/>
            </w:tcBorders>
            <w:vAlign w:val="center"/>
          </w:tcPr>
          <w:p>
            <w:pPr>
              <w:spacing w:line="320" w:lineRule="exact"/>
              <w:jc w:val="left"/>
              <w:textAlignment w:val="center"/>
              <w:rPr>
                <w:rFonts w:hint="default" w:ascii="仿宋_GB2312" w:hAnsi="仿宋_GB2312" w:eastAsia="宋体"/>
                <w:color w:val="000000"/>
                <w:sz w:val="24"/>
                <w:szCs w:val="24"/>
                <w:lang w:val="en-US" w:eastAsia="zh-CN"/>
              </w:rPr>
            </w:pPr>
          </w:p>
        </w:tc>
      </w:tr>
      <w:tr>
        <w:tblPrEx>
          <w:tblCellMar>
            <w:top w:w="0" w:type="dxa"/>
            <w:left w:w="15" w:type="dxa"/>
            <w:bottom w:w="0" w:type="dxa"/>
            <w:right w:w="15" w:type="dxa"/>
          </w:tblCellMar>
        </w:tblPrEx>
        <w:trPr>
          <w:trHeight w:val="567" w:hRule="atLeast"/>
          <w:jc w:val="center"/>
        </w:trPr>
        <w:tc>
          <w:tcPr>
            <w:tcW w:w="1700" w:type="dxa"/>
            <w:gridSpan w:val="3"/>
            <w:tcBorders>
              <w:top w:val="single" w:color="000000" w:sz="4" w:space="0"/>
              <w:left w:val="single" w:color="000000" w:sz="4" w:space="0"/>
              <w:bottom w:val="single" w:color="000000" w:sz="4" w:space="0"/>
              <w:right w:val="single" w:color="000000" w:sz="4" w:space="0"/>
            </w:tcBorders>
            <w:vAlign w:val="center"/>
          </w:tcPr>
          <w:p>
            <w:pPr>
              <w:spacing w:line="320" w:lineRule="exact"/>
              <w:rPr>
                <w:rFonts w:ascii="仿宋_GB2312" w:hAnsi="仿宋_GB2312"/>
                <w:sz w:val="24"/>
                <w:szCs w:val="24"/>
              </w:rPr>
            </w:pPr>
            <w:r>
              <w:rPr>
                <w:rFonts w:ascii="仿宋_GB2312" w:hAnsi="仿宋_GB2312"/>
                <w:sz w:val="24"/>
                <w:szCs w:val="24"/>
              </w:rPr>
              <w:t>1、局机关</w:t>
            </w:r>
          </w:p>
        </w:tc>
        <w:tc>
          <w:tcPr>
            <w:tcW w:w="1080" w:type="dxa"/>
            <w:tcBorders>
              <w:top w:val="single" w:color="000000" w:sz="4" w:space="0"/>
              <w:left w:val="nil"/>
              <w:bottom w:val="single" w:color="000000" w:sz="4" w:space="0"/>
              <w:right w:val="single" w:color="auto" w:sz="4" w:space="0"/>
            </w:tcBorders>
            <w:vAlign w:val="center"/>
          </w:tcPr>
          <w:p>
            <w:pPr>
              <w:spacing w:line="320" w:lineRule="exact"/>
              <w:jc w:val="left"/>
              <w:textAlignment w:val="center"/>
              <w:rPr>
                <w:rFonts w:hint="default" w:ascii="仿宋_GB2312" w:hAnsi="仿宋_GB2312"/>
                <w:color w:val="000000"/>
                <w:sz w:val="24"/>
                <w:szCs w:val="24"/>
                <w:lang w:val="en-US"/>
              </w:rPr>
            </w:pPr>
            <w:r>
              <w:rPr>
                <w:rFonts w:hint="eastAsia" w:ascii="仿宋_GB2312" w:hAnsi="仿宋_GB2312"/>
                <w:color w:val="000000"/>
                <w:sz w:val="24"/>
                <w:szCs w:val="24"/>
                <w:lang w:val="zh-CN" w:eastAsia="zh-CN"/>
              </w:rPr>
              <w:t>2,565.6</w:t>
            </w:r>
          </w:p>
        </w:tc>
        <w:tc>
          <w:tcPr>
            <w:tcW w:w="1355" w:type="dxa"/>
            <w:gridSpan w:val="2"/>
            <w:tcBorders>
              <w:top w:val="single" w:color="000000" w:sz="4" w:space="0"/>
              <w:left w:val="nil"/>
              <w:bottom w:val="single" w:color="000000" w:sz="4" w:space="0"/>
              <w:right w:val="single" w:color="000000" w:sz="4" w:space="0"/>
            </w:tcBorders>
            <w:vAlign w:val="center"/>
          </w:tcPr>
          <w:p>
            <w:pPr>
              <w:spacing w:line="320" w:lineRule="exact"/>
              <w:jc w:val="left"/>
              <w:textAlignment w:val="center"/>
              <w:rPr>
                <w:rFonts w:ascii="仿宋_GB2312" w:hAnsi="仿宋_GB2312"/>
                <w:color w:val="000000"/>
                <w:sz w:val="24"/>
                <w:szCs w:val="24"/>
              </w:rPr>
            </w:pPr>
          </w:p>
        </w:tc>
        <w:tc>
          <w:tcPr>
            <w:tcW w:w="1080" w:type="dxa"/>
            <w:gridSpan w:val="2"/>
            <w:tcBorders>
              <w:top w:val="single" w:color="000000" w:sz="4" w:space="0"/>
              <w:left w:val="nil"/>
              <w:bottom w:val="single" w:color="000000" w:sz="4" w:space="0"/>
              <w:right w:val="single" w:color="000000" w:sz="4" w:space="0"/>
            </w:tcBorders>
            <w:vAlign w:val="center"/>
          </w:tcPr>
          <w:p>
            <w:pPr>
              <w:spacing w:line="320" w:lineRule="exact"/>
              <w:jc w:val="left"/>
              <w:textAlignment w:val="center"/>
              <w:rPr>
                <w:rFonts w:hint="default" w:ascii="仿宋_GB2312" w:hAnsi="仿宋_GB2312"/>
                <w:color w:val="000000"/>
                <w:sz w:val="24"/>
                <w:szCs w:val="24"/>
                <w:lang w:val="en-US"/>
              </w:rPr>
            </w:pPr>
            <w:r>
              <w:rPr>
                <w:rFonts w:hint="eastAsia" w:ascii="仿宋_GB2312" w:hAnsi="仿宋_GB2312"/>
                <w:color w:val="000000"/>
                <w:sz w:val="24"/>
                <w:szCs w:val="24"/>
                <w:lang w:val="zh-CN" w:eastAsia="zh-CN"/>
              </w:rPr>
              <w:t>2,565.6</w:t>
            </w:r>
          </w:p>
        </w:tc>
        <w:tc>
          <w:tcPr>
            <w:tcW w:w="1705" w:type="dxa"/>
            <w:gridSpan w:val="2"/>
            <w:tcBorders>
              <w:top w:val="single" w:color="000000" w:sz="4" w:space="0"/>
              <w:left w:val="nil"/>
              <w:bottom w:val="single" w:color="000000" w:sz="4" w:space="0"/>
              <w:right w:val="single" w:color="000000" w:sz="4" w:space="0"/>
            </w:tcBorders>
            <w:vAlign w:val="center"/>
          </w:tcPr>
          <w:p>
            <w:pPr>
              <w:spacing w:line="320" w:lineRule="exact"/>
              <w:jc w:val="left"/>
              <w:textAlignment w:val="center"/>
              <w:rPr>
                <w:rFonts w:ascii="仿宋_GB2312" w:hAnsi="仿宋_GB2312"/>
                <w:color w:val="000000"/>
                <w:sz w:val="24"/>
                <w:szCs w:val="24"/>
              </w:rPr>
            </w:pPr>
          </w:p>
        </w:tc>
        <w:tc>
          <w:tcPr>
            <w:tcW w:w="1800" w:type="dxa"/>
            <w:gridSpan w:val="4"/>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c>
          <w:tcPr>
            <w:tcW w:w="1080" w:type="dxa"/>
            <w:gridSpan w:val="3"/>
            <w:tcBorders>
              <w:top w:val="single" w:color="000000" w:sz="4" w:space="0"/>
              <w:left w:val="nil"/>
              <w:bottom w:val="single" w:color="000000" w:sz="4" w:space="0"/>
              <w:right w:val="single" w:color="000000" w:sz="4" w:space="0"/>
            </w:tcBorders>
            <w:vAlign w:val="center"/>
          </w:tcPr>
          <w:p>
            <w:pPr>
              <w:spacing w:line="320" w:lineRule="exact"/>
              <w:jc w:val="left"/>
              <w:textAlignment w:val="center"/>
              <w:rPr>
                <w:rFonts w:hint="default" w:ascii="仿宋_GB2312" w:hAnsi="仿宋_GB2312" w:eastAsia="宋体"/>
                <w:color w:val="000000"/>
                <w:sz w:val="24"/>
                <w:szCs w:val="24"/>
                <w:lang w:val="en-US" w:eastAsia="zh-CN"/>
              </w:rPr>
            </w:pPr>
          </w:p>
        </w:tc>
      </w:tr>
      <w:tr>
        <w:tblPrEx>
          <w:tblCellMar>
            <w:top w:w="0" w:type="dxa"/>
            <w:left w:w="15" w:type="dxa"/>
            <w:bottom w:w="0" w:type="dxa"/>
            <w:right w:w="15" w:type="dxa"/>
          </w:tblCellMar>
        </w:tblPrEx>
        <w:trPr>
          <w:trHeight w:val="567" w:hRule="atLeast"/>
          <w:jc w:val="center"/>
        </w:trPr>
        <w:tc>
          <w:tcPr>
            <w:tcW w:w="1700" w:type="dxa"/>
            <w:gridSpan w:val="3"/>
            <w:tcBorders>
              <w:top w:val="single" w:color="000000" w:sz="4" w:space="0"/>
              <w:left w:val="single" w:color="000000" w:sz="4" w:space="0"/>
              <w:bottom w:val="single" w:color="000000" w:sz="4" w:space="0"/>
              <w:right w:val="single" w:color="000000" w:sz="4" w:space="0"/>
            </w:tcBorders>
            <w:vAlign w:val="center"/>
          </w:tcPr>
          <w:p>
            <w:pPr>
              <w:spacing w:line="320" w:lineRule="exact"/>
              <w:rPr>
                <w:rFonts w:ascii="仿宋_GB2312" w:hAnsi="仿宋_GB2312"/>
                <w:sz w:val="24"/>
                <w:szCs w:val="24"/>
              </w:rPr>
            </w:pPr>
            <w:r>
              <w:rPr>
                <w:rFonts w:ascii="仿宋_GB2312" w:hAnsi="仿宋_GB2312"/>
                <w:sz w:val="24"/>
                <w:szCs w:val="24"/>
              </w:rPr>
              <w:t>2、二级机构1</w:t>
            </w:r>
          </w:p>
        </w:tc>
        <w:tc>
          <w:tcPr>
            <w:tcW w:w="1080" w:type="dxa"/>
            <w:tcBorders>
              <w:top w:val="single" w:color="000000" w:sz="4" w:space="0"/>
              <w:left w:val="nil"/>
              <w:bottom w:val="single" w:color="000000" w:sz="4" w:space="0"/>
              <w:right w:val="single" w:color="auto" w:sz="4" w:space="0"/>
            </w:tcBorders>
            <w:vAlign w:val="center"/>
          </w:tcPr>
          <w:p>
            <w:pPr>
              <w:spacing w:line="320" w:lineRule="exact"/>
              <w:jc w:val="left"/>
              <w:textAlignment w:val="center"/>
              <w:rPr>
                <w:rFonts w:ascii="仿宋_GB2312" w:hAnsi="仿宋_GB2312"/>
                <w:color w:val="000000"/>
                <w:sz w:val="24"/>
                <w:szCs w:val="24"/>
              </w:rPr>
            </w:pPr>
          </w:p>
        </w:tc>
        <w:tc>
          <w:tcPr>
            <w:tcW w:w="1355" w:type="dxa"/>
            <w:gridSpan w:val="2"/>
            <w:tcBorders>
              <w:top w:val="single" w:color="000000" w:sz="4" w:space="0"/>
              <w:left w:val="nil"/>
              <w:bottom w:val="single" w:color="000000" w:sz="4" w:space="0"/>
              <w:right w:val="single" w:color="000000" w:sz="4" w:space="0"/>
            </w:tcBorders>
            <w:vAlign w:val="center"/>
          </w:tcPr>
          <w:p>
            <w:pPr>
              <w:spacing w:line="320" w:lineRule="exact"/>
              <w:jc w:val="left"/>
              <w:textAlignment w:val="center"/>
              <w:rPr>
                <w:rFonts w:ascii="仿宋_GB2312" w:hAnsi="仿宋_GB2312"/>
                <w:color w:val="000000"/>
                <w:sz w:val="24"/>
                <w:szCs w:val="24"/>
              </w:rPr>
            </w:pPr>
          </w:p>
        </w:tc>
        <w:tc>
          <w:tcPr>
            <w:tcW w:w="1080" w:type="dxa"/>
            <w:gridSpan w:val="2"/>
            <w:tcBorders>
              <w:top w:val="single" w:color="000000" w:sz="4" w:space="0"/>
              <w:left w:val="nil"/>
              <w:bottom w:val="single" w:color="000000" w:sz="4" w:space="0"/>
              <w:right w:val="single" w:color="000000" w:sz="4" w:space="0"/>
            </w:tcBorders>
            <w:vAlign w:val="center"/>
          </w:tcPr>
          <w:p>
            <w:pPr>
              <w:spacing w:line="320" w:lineRule="exact"/>
              <w:jc w:val="left"/>
              <w:textAlignment w:val="center"/>
              <w:rPr>
                <w:rFonts w:ascii="仿宋_GB2312" w:hAnsi="仿宋_GB2312"/>
                <w:color w:val="000000"/>
                <w:sz w:val="24"/>
                <w:szCs w:val="24"/>
              </w:rPr>
            </w:pPr>
          </w:p>
        </w:tc>
        <w:tc>
          <w:tcPr>
            <w:tcW w:w="1705" w:type="dxa"/>
            <w:gridSpan w:val="2"/>
            <w:tcBorders>
              <w:top w:val="single" w:color="000000" w:sz="4" w:space="0"/>
              <w:left w:val="nil"/>
              <w:bottom w:val="single" w:color="000000" w:sz="4" w:space="0"/>
              <w:right w:val="single" w:color="000000" w:sz="4" w:space="0"/>
            </w:tcBorders>
            <w:vAlign w:val="center"/>
          </w:tcPr>
          <w:p>
            <w:pPr>
              <w:spacing w:line="320" w:lineRule="exact"/>
              <w:jc w:val="left"/>
              <w:textAlignment w:val="center"/>
              <w:rPr>
                <w:rFonts w:ascii="仿宋_GB2312" w:hAnsi="仿宋_GB2312"/>
                <w:color w:val="000000"/>
                <w:sz w:val="24"/>
                <w:szCs w:val="24"/>
              </w:rPr>
            </w:pPr>
          </w:p>
        </w:tc>
        <w:tc>
          <w:tcPr>
            <w:tcW w:w="1800" w:type="dxa"/>
            <w:gridSpan w:val="4"/>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c>
          <w:tcPr>
            <w:tcW w:w="1080" w:type="dxa"/>
            <w:gridSpan w:val="3"/>
            <w:tcBorders>
              <w:top w:val="single" w:color="000000" w:sz="4" w:space="0"/>
              <w:left w:val="nil"/>
              <w:bottom w:val="single" w:color="000000" w:sz="4" w:space="0"/>
              <w:right w:val="single" w:color="000000" w:sz="4" w:space="0"/>
            </w:tcBorders>
            <w:vAlign w:val="center"/>
          </w:tcPr>
          <w:p>
            <w:pPr>
              <w:spacing w:line="320" w:lineRule="exact"/>
              <w:jc w:val="left"/>
              <w:textAlignment w:val="center"/>
              <w:rPr>
                <w:rFonts w:ascii="仿宋_GB2312" w:hAnsi="仿宋_GB2312"/>
                <w:color w:val="000000"/>
                <w:sz w:val="24"/>
                <w:szCs w:val="24"/>
              </w:rPr>
            </w:pPr>
          </w:p>
        </w:tc>
      </w:tr>
      <w:tr>
        <w:tblPrEx>
          <w:tblCellMar>
            <w:top w:w="0" w:type="dxa"/>
            <w:left w:w="15" w:type="dxa"/>
            <w:bottom w:w="0" w:type="dxa"/>
            <w:right w:w="15" w:type="dxa"/>
          </w:tblCellMar>
        </w:tblPrEx>
        <w:trPr>
          <w:trHeight w:val="567" w:hRule="atLeast"/>
          <w:jc w:val="center"/>
        </w:trPr>
        <w:tc>
          <w:tcPr>
            <w:tcW w:w="1700" w:type="dxa"/>
            <w:gridSpan w:val="3"/>
            <w:tcBorders>
              <w:top w:val="single" w:color="000000" w:sz="4" w:space="0"/>
              <w:left w:val="single" w:color="000000" w:sz="4" w:space="0"/>
              <w:bottom w:val="single" w:color="000000" w:sz="4" w:space="0"/>
              <w:right w:val="single" w:color="000000" w:sz="4" w:space="0"/>
            </w:tcBorders>
            <w:vAlign w:val="center"/>
          </w:tcPr>
          <w:p>
            <w:pPr>
              <w:spacing w:line="320" w:lineRule="exact"/>
              <w:rPr>
                <w:rFonts w:ascii="仿宋_GB2312" w:hAnsi="仿宋_GB2312"/>
                <w:sz w:val="24"/>
                <w:szCs w:val="24"/>
              </w:rPr>
            </w:pPr>
            <w:r>
              <w:rPr>
                <w:rFonts w:ascii="仿宋_GB2312" w:hAnsi="仿宋_GB2312"/>
                <w:sz w:val="24"/>
                <w:szCs w:val="24"/>
              </w:rPr>
              <w:t>3、二级机构2</w:t>
            </w:r>
          </w:p>
        </w:tc>
        <w:tc>
          <w:tcPr>
            <w:tcW w:w="1080" w:type="dxa"/>
            <w:tcBorders>
              <w:top w:val="single" w:color="000000" w:sz="4" w:space="0"/>
              <w:left w:val="nil"/>
              <w:bottom w:val="single" w:color="000000" w:sz="4" w:space="0"/>
              <w:right w:val="single" w:color="auto" w:sz="4" w:space="0"/>
            </w:tcBorders>
            <w:vAlign w:val="center"/>
          </w:tcPr>
          <w:p>
            <w:pPr>
              <w:spacing w:line="320" w:lineRule="exact"/>
              <w:jc w:val="left"/>
              <w:textAlignment w:val="center"/>
              <w:rPr>
                <w:rFonts w:ascii="仿宋_GB2312" w:hAnsi="仿宋_GB2312"/>
                <w:color w:val="000000"/>
                <w:sz w:val="24"/>
                <w:szCs w:val="24"/>
              </w:rPr>
            </w:pPr>
          </w:p>
        </w:tc>
        <w:tc>
          <w:tcPr>
            <w:tcW w:w="1355" w:type="dxa"/>
            <w:gridSpan w:val="2"/>
            <w:tcBorders>
              <w:top w:val="single" w:color="000000" w:sz="4" w:space="0"/>
              <w:left w:val="nil"/>
              <w:bottom w:val="single" w:color="000000" w:sz="4" w:space="0"/>
              <w:right w:val="single" w:color="000000" w:sz="4" w:space="0"/>
            </w:tcBorders>
            <w:vAlign w:val="center"/>
          </w:tcPr>
          <w:p>
            <w:pPr>
              <w:spacing w:line="320" w:lineRule="exact"/>
              <w:jc w:val="left"/>
              <w:textAlignment w:val="center"/>
              <w:rPr>
                <w:rFonts w:ascii="仿宋_GB2312" w:hAnsi="仿宋_GB2312"/>
                <w:color w:val="000000"/>
                <w:sz w:val="24"/>
                <w:szCs w:val="24"/>
              </w:rPr>
            </w:pPr>
          </w:p>
        </w:tc>
        <w:tc>
          <w:tcPr>
            <w:tcW w:w="1080" w:type="dxa"/>
            <w:gridSpan w:val="2"/>
            <w:tcBorders>
              <w:top w:val="single" w:color="000000" w:sz="4" w:space="0"/>
              <w:left w:val="nil"/>
              <w:bottom w:val="single" w:color="000000" w:sz="4" w:space="0"/>
              <w:right w:val="single" w:color="000000" w:sz="4" w:space="0"/>
            </w:tcBorders>
            <w:vAlign w:val="center"/>
          </w:tcPr>
          <w:p>
            <w:pPr>
              <w:spacing w:line="320" w:lineRule="exact"/>
              <w:jc w:val="left"/>
              <w:textAlignment w:val="center"/>
              <w:rPr>
                <w:rFonts w:ascii="仿宋_GB2312" w:hAnsi="仿宋_GB2312"/>
                <w:color w:val="000000"/>
                <w:sz w:val="24"/>
                <w:szCs w:val="24"/>
              </w:rPr>
            </w:pPr>
          </w:p>
        </w:tc>
        <w:tc>
          <w:tcPr>
            <w:tcW w:w="1705" w:type="dxa"/>
            <w:gridSpan w:val="2"/>
            <w:tcBorders>
              <w:top w:val="single" w:color="000000" w:sz="4" w:space="0"/>
              <w:left w:val="nil"/>
              <w:bottom w:val="single" w:color="000000" w:sz="4" w:space="0"/>
              <w:right w:val="single" w:color="000000" w:sz="4" w:space="0"/>
            </w:tcBorders>
            <w:vAlign w:val="center"/>
          </w:tcPr>
          <w:p>
            <w:pPr>
              <w:spacing w:line="320" w:lineRule="exact"/>
              <w:jc w:val="left"/>
              <w:textAlignment w:val="center"/>
              <w:rPr>
                <w:rFonts w:ascii="仿宋_GB2312" w:hAnsi="仿宋_GB2312"/>
                <w:color w:val="000000"/>
                <w:sz w:val="24"/>
                <w:szCs w:val="24"/>
              </w:rPr>
            </w:pPr>
          </w:p>
        </w:tc>
        <w:tc>
          <w:tcPr>
            <w:tcW w:w="1800" w:type="dxa"/>
            <w:gridSpan w:val="4"/>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c>
          <w:tcPr>
            <w:tcW w:w="1080" w:type="dxa"/>
            <w:gridSpan w:val="3"/>
            <w:tcBorders>
              <w:top w:val="single" w:color="000000" w:sz="4" w:space="0"/>
              <w:left w:val="nil"/>
              <w:bottom w:val="single" w:color="000000" w:sz="4" w:space="0"/>
              <w:right w:val="single" w:color="000000" w:sz="4" w:space="0"/>
            </w:tcBorders>
            <w:vAlign w:val="center"/>
          </w:tcPr>
          <w:p>
            <w:pPr>
              <w:spacing w:line="320" w:lineRule="exact"/>
              <w:jc w:val="left"/>
              <w:textAlignment w:val="center"/>
              <w:rPr>
                <w:rFonts w:ascii="仿宋_GB2312" w:hAnsi="仿宋_GB2312"/>
                <w:color w:val="000000"/>
                <w:sz w:val="24"/>
                <w:szCs w:val="24"/>
              </w:rPr>
            </w:pPr>
          </w:p>
        </w:tc>
      </w:tr>
      <w:tr>
        <w:tblPrEx>
          <w:tblCellMar>
            <w:top w:w="0" w:type="dxa"/>
            <w:left w:w="15" w:type="dxa"/>
            <w:bottom w:w="0" w:type="dxa"/>
            <w:right w:w="15" w:type="dxa"/>
          </w:tblCellMar>
        </w:tblPrEx>
        <w:trPr>
          <w:trHeight w:val="624" w:hRule="atLeast"/>
          <w:jc w:val="center"/>
        </w:trPr>
        <w:tc>
          <w:tcPr>
            <w:tcW w:w="9800" w:type="dxa"/>
            <w:gridSpan w:val="17"/>
            <w:tcBorders>
              <w:top w:val="single" w:color="000000" w:sz="4" w:space="0"/>
              <w:left w:val="single" w:color="000000" w:sz="4" w:space="0"/>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b/>
                <w:bCs/>
                <w:color w:val="000000"/>
                <w:sz w:val="24"/>
                <w:szCs w:val="24"/>
              </w:rPr>
              <w:t>部门（单位）年度支出和结余情况（万元）</w:t>
            </w:r>
          </w:p>
        </w:tc>
      </w:tr>
      <w:tr>
        <w:tblPrEx>
          <w:tblCellMar>
            <w:top w:w="0" w:type="dxa"/>
            <w:left w:w="15" w:type="dxa"/>
            <w:bottom w:w="0" w:type="dxa"/>
            <w:right w:w="15" w:type="dxa"/>
          </w:tblCellMar>
        </w:tblPrEx>
        <w:trPr>
          <w:trHeight w:val="624" w:hRule="atLeast"/>
          <w:jc w:val="center"/>
        </w:trPr>
        <w:tc>
          <w:tcPr>
            <w:tcW w:w="1700" w:type="dxa"/>
            <w:gridSpan w:val="3"/>
            <w:vMerge w:val="restart"/>
            <w:tcBorders>
              <w:top w:val="nil"/>
              <w:left w:val="single" w:color="000000" w:sz="4" w:space="0"/>
              <w:bottom w:val="single" w:color="000000" w:sz="4" w:space="0"/>
              <w:right w:val="single" w:color="000000" w:sz="4" w:space="0"/>
            </w:tcBorders>
            <w:vAlign w:val="center"/>
          </w:tcPr>
          <w:p>
            <w:pPr>
              <w:snapToGrid w:val="0"/>
              <w:spacing w:line="320" w:lineRule="exact"/>
              <w:jc w:val="center"/>
              <w:rPr>
                <w:rFonts w:ascii="仿宋_GB2312" w:hAnsi="仿宋_GB2312"/>
                <w:sz w:val="24"/>
                <w:szCs w:val="24"/>
              </w:rPr>
            </w:pPr>
            <w:r>
              <w:rPr>
                <w:rFonts w:ascii="仿宋_GB2312" w:hAnsi="仿宋_GB2312"/>
                <w:sz w:val="24"/>
                <w:szCs w:val="24"/>
              </w:rPr>
              <w:t>机构名称</w:t>
            </w:r>
          </w:p>
        </w:tc>
        <w:tc>
          <w:tcPr>
            <w:tcW w:w="1080" w:type="dxa"/>
            <w:vMerge w:val="restart"/>
            <w:tcBorders>
              <w:top w:val="single" w:color="000000" w:sz="4" w:space="0"/>
              <w:left w:val="nil"/>
              <w:bottom w:val="single" w:color="000000" w:sz="4" w:space="0"/>
              <w:right w:val="single" w:color="auto"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支出合计</w:t>
            </w:r>
          </w:p>
        </w:tc>
        <w:tc>
          <w:tcPr>
            <w:tcW w:w="5675" w:type="dxa"/>
            <w:gridSpan w:val="9"/>
            <w:tcBorders>
              <w:top w:val="single" w:color="000000" w:sz="4" w:space="0"/>
              <w:left w:val="nil"/>
              <w:bottom w:val="single" w:color="auto" w:sz="4" w:space="0"/>
              <w:right w:val="single" w:color="auto"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其中：</w:t>
            </w:r>
          </w:p>
        </w:tc>
        <w:tc>
          <w:tcPr>
            <w:tcW w:w="1345" w:type="dxa"/>
            <w:gridSpan w:val="4"/>
            <w:tcBorders>
              <w:top w:val="single" w:color="000000" w:sz="4" w:space="0"/>
              <w:left w:val="nil"/>
              <w:bottom w:val="single" w:color="auto"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结余</w:t>
            </w:r>
          </w:p>
        </w:tc>
      </w:tr>
      <w:tr>
        <w:tblPrEx>
          <w:tblCellMar>
            <w:top w:w="0" w:type="dxa"/>
            <w:left w:w="15" w:type="dxa"/>
            <w:bottom w:w="0" w:type="dxa"/>
            <w:right w:w="15" w:type="dxa"/>
          </w:tblCellMar>
        </w:tblPrEx>
        <w:trPr>
          <w:trHeight w:val="624" w:hRule="atLeast"/>
          <w:jc w:val="center"/>
        </w:trPr>
        <w:tc>
          <w:tcPr>
            <w:tcW w:w="1700" w:type="dxa"/>
            <w:gridSpan w:val="3"/>
            <w:vMerge w:val="continue"/>
            <w:tcBorders>
              <w:top w:val="nil"/>
              <w:left w:val="single" w:color="000000" w:sz="4" w:space="0"/>
              <w:bottom w:val="single" w:color="000000" w:sz="4" w:space="0"/>
              <w:right w:val="single" w:color="000000" w:sz="4" w:space="0"/>
            </w:tcBorders>
            <w:vAlign w:val="center"/>
          </w:tcPr>
          <w:p>
            <w:pPr>
              <w:widowControl/>
              <w:jc w:val="left"/>
              <w:rPr>
                <w:rFonts w:ascii="仿宋_GB2312" w:hAnsi="仿宋_GB2312"/>
                <w:sz w:val="24"/>
                <w:szCs w:val="24"/>
              </w:rPr>
            </w:pPr>
          </w:p>
        </w:tc>
        <w:tc>
          <w:tcPr>
            <w:tcW w:w="1080" w:type="dxa"/>
            <w:vMerge w:val="continue"/>
            <w:tcBorders>
              <w:top w:val="single" w:color="000000" w:sz="4" w:space="0"/>
              <w:left w:val="nil"/>
              <w:bottom w:val="single" w:color="000000" w:sz="4" w:space="0"/>
              <w:right w:val="single" w:color="auto" w:sz="4" w:space="0"/>
            </w:tcBorders>
            <w:vAlign w:val="center"/>
          </w:tcPr>
          <w:p>
            <w:pPr>
              <w:widowControl/>
              <w:jc w:val="left"/>
              <w:rPr>
                <w:rFonts w:ascii="仿宋_GB2312" w:hAnsi="仿宋_GB2312"/>
                <w:color w:val="000000"/>
                <w:sz w:val="24"/>
                <w:szCs w:val="24"/>
              </w:rPr>
            </w:pPr>
          </w:p>
        </w:tc>
        <w:tc>
          <w:tcPr>
            <w:tcW w:w="1355" w:type="dxa"/>
            <w:gridSpan w:val="2"/>
            <w:vMerge w:val="restart"/>
            <w:tcBorders>
              <w:top w:val="nil"/>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基本支出</w:t>
            </w:r>
          </w:p>
        </w:tc>
        <w:tc>
          <w:tcPr>
            <w:tcW w:w="3240" w:type="dxa"/>
            <w:gridSpan w:val="6"/>
            <w:tcBorders>
              <w:top w:val="single" w:color="auto"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其中：</w:t>
            </w:r>
          </w:p>
        </w:tc>
        <w:tc>
          <w:tcPr>
            <w:tcW w:w="1080" w:type="dxa"/>
            <w:vMerge w:val="restart"/>
            <w:tcBorders>
              <w:top w:val="single" w:color="auto" w:sz="4" w:space="0"/>
              <w:left w:val="nil"/>
              <w:bottom w:val="single" w:color="000000" w:sz="4" w:space="0"/>
              <w:right w:val="single" w:color="auto"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项目支出</w:t>
            </w:r>
          </w:p>
        </w:tc>
        <w:tc>
          <w:tcPr>
            <w:tcW w:w="720" w:type="dxa"/>
            <w:gridSpan w:val="3"/>
            <w:vMerge w:val="restart"/>
            <w:tcBorders>
              <w:top w:val="single" w:color="auto" w:sz="4" w:space="0"/>
              <w:left w:val="nil"/>
              <w:bottom w:val="single" w:color="000000" w:sz="4" w:space="0"/>
              <w:right w:val="single" w:color="auto"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当年结余</w:t>
            </w:r>
          </w:p>
        </w:tc>
        <w:tc>
          <w:tcPr>
            <w:tcW w:w="625" w:type="dxa"/>
            <w:vMerge w:val="restart"/>
            <w:tcBorders>
              <w:top w:val="single" w:color="auto"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累计结余</w:t>
            </w:r>
          </w:p>
        </w:tc>
      </w:tr>
      <w:tr>
        <w:tblPrEx>
          <w:tblCellMar>
            <w:top w:w="0" w:type="dxa"/>
            <w:left w:w="15" w:type="dxa"/>
            <w:bottom w:w="0" w:type="dxa"/>
            <w:right w:w="15" w:type="dxa"/>
          </w:tblCellMar>
        </w:tblPrEx>
        <w:trPr>
          <w:trHeight w:val="624" w:hRule="atLeast"/>
          <w:jc w:val="center"/>
        </w:trPr>
        <w:tc>
          <w:tcPr>
            <w:tcW w:w="1700" w:type="dxa"/>
            <w:gridSpan w:val="3"/>
            <w:vMerge w:val="continue"/>
            <w:tcBorders>
              <w:top w:val="nil"/>
              <w:left w:val="single" w:color="000000" w:sz="4" w:space="0"/>
              <w:bottom w:val="single" w:color="000000" w:sz="4" w:space="0"/>
              <w:right w:val="single" w:color="000000" w:sz="4" w:space="0"/>
            </w:tcBorders>
            <w:vAlign w:val="center"/>
          </w:tcPr>
          <w:p>
            <w:pPr>
              <w:widowControl/>
              <w:jc w:val="left"/>
              <w:rPr>
                <w:rFonts w:ascii="仿宋_GB2312" w:hAnsi="仿宋_GB2312"/>
                <w:sz w:val="24"/>
                <w:szCs w:val="24"/>
              </w:rPr>
            </w:pPr>
          </w:p>
        </w:tc>
        <w:tc>
          <w:tcPr>
            <w:tcW w:w="1080" w:type="dxa"/>
            <w:vMerge w:val="continue"/>
            <w:tcBorders>
              <w:top w:val="single" w:color="000000" w:sz="4" w:space="0"/>
              <w:left w:val="nil"/>
              <w:bottom w:val="single" w:color="000000" w:sz="4" w:space="0"/>
              <w:right w:val="single" w:color="auto" w:sz="4" w:space="0"/>
            </w:tcBorders>
            <w:vAlign w:val="center"/>
          </w:tcPr>
          <w:p>
            <w:pPr>
              <w:widowControl/>
              <w:jc w:val="left"/>
              <w:rPr>
                <w:rFonts w:ascii="仿宋_GB2312" w:hAnsi="仿宋_GB2312"/>
                <w:color w:val="000000"/>
                <w:sz w:val="24"/>
                <w:szCs w:val="24"/>
              </w:rPr>
            </w:pPr>
          </w:p>
        </w:tc>
        <w:tc>
          <w:tcPr>
            <w:tcW w:w="1355" w:type="dxa"/>
            <w:gridSpan w:val="2"/>
            <w:vMerge w:val="continue"/>
            <w:tcBorders>
              <w:top w:val="nil"/>
              <w:left w:val="nil"/>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1080" w:type="dxa"/>
            <w:gridSpan w:val="2"/>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人员支出</w:t>
            </w:r>
          </w:p>
        </w:tc>
        <w:tc>
          <w:tcPr>
            <w:tcW w:w="2160" w:type="dxa"/>
            <w:gridSpan w:val="4"/>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公用支出</w:t>
            </w:r>
          </w:p>
        </w:tc>
        <w:tc>
          <w:tcPr>
            <w:tcW w:w="1080" w:type="dxa"/>
            <w:tcBorders>
              <w:top w:val="single" w:color="auto" w:sz="4" w:space="0"/>
              <w:left w:val="nil"/>
              <w:bottom w:val="single" w:color="000000" w:sz="4" w:space="0"/>
              <w:right w:val="single" w:color="auto" w:sz="4" w:space="0"/>
            </w:tcBorders>
            <w:vAlign w:val="center"/>
          </w:tcPr>
          <w:p>
            <w:pPr>
              <w:widowControl/>
              <w:jc w:val="left"/>
              <w:rPr>
                <w:rFonts w:ascii="仿宋_GB2312" w:hAnsi="仿宋_GB2312"/>
                <w:color w:val="000000"/>
                <w:sz w:val="24"/>
                <w:szCs w:val="24"/>
              </w:rPr>
            </w:pPr>
          </w:p>
        </w:tc>
        <w:tc>
          <w:tcPr>
            <w:tcW w:w="720" w:type="dxa"/>
            <w:gridSpan w:val="3"/>
            <w:tcBorders>
              <w:top w:val="single" w:color="auto" w:sz="4" w:space="0"/>
              <w:left w:val="nil"/>
              <w:bottom w:val="single" w:color="000000" w:sz="4" w:space="0"/>
              <w:right w:val="single" w:color="auto" w:sz="4" w:space="0"/>
            </w:tcBorders>
            <w:vAlign w:val="center"/>
          </w:tcPr>
          <w:p>
            <w:pPr>
              <w:widowControl/>
              <w:jc w:val="left"/>
              <w:rPr>
                <w:rFonts w:ascii="仿宋_GB2312" w:hAnsi="仿宋_GB2312"/>
                <w:color w:val="000000"/>
                <w:sz w:val="24"/>
                <w:szCs w:val="24"/>
              </w:rPr>
            </w:pPr>
          </w:p>
        </w:tc>
        <w:tc>
          <w:tcPr>
            <w:tcW w:w="625" w:type="dxa"/>
            <w:tcBorders>
              <w:top w:val="single" w:color="auto" w:sz="4" w:space="0"/>
              <w:left w:val="nil"/>
              <w:bottom w:val="single" w:color="000000" w:sz="4" w:space="0"/>
              <w:right w:val="single" w:color="000000" w:sz="4" w:space="0"/>
            </w:tcBorders>
            <w:vAlign w:val="center"/>
          </w:tcPr>
          <w:p>
            <w:pPr>
              <w:widowControl/>
              <w:jc w:val="left"/>
              <w:rPr>
                <w:rFonts w:ascii="仿宋_GB2312" w:hAnsi="仿宋_GB2312"/>
                <w:color w:val="000000"/>
                <w:sz w:val="24"/>
                <w:szCs w:val="24"/>
              </w:rPr>
            </w:pPr>
          </w:p>
        </w:tc>
      </w:tr>
      <w:tr>
        <w:tblPrEx>
          <w:tblCellMar>
            <w:top w:w="0" w:type="dxa"/>
            <w:left w:w="15" w:type="dxa"/>
            <w:bottom w:w="0" w:type="dxa"/>
            <w:right w:w="15" w:type="dxa"/>
          </w:tblCellMar>
        </w:tblPrEx>
        <w:trPr>
          <w:trHeight w:val="877" w:hRule="atLeast"/>
          <w:jc w:val="center"/>
        </w:trPr>
        <w:tc>
          <w:tcPr>
            <w:tcW w:w="1700" w:type="dxa"/>
            <w:gridSpan w:val="3"/>
            <w:tcBorders>
              <w:top w:val="single" w:color="000000" w:sz="4" w:space="0"/>
              <w:left w:val="single" w:color="000000" w:sz="4" w:space="0"/>
              <w:bottom w:val="single" w:color="000000" w:sz="4" w:space="0"/>
              <w:right w:val="single" w:color="000000" w:sz="4" w:space="0"/>
            </w:tcBorders>
            <w:vAlign w:val="center"/>
          </w:tcPr>
          <w:p>
            <w:pPr>
              <w:spacing w:line="320" w:lineRule="exact"/>
              <w:jc w:val="left"/>
              <w:rPr>
                <w:rFonts w:ascii="仿宋_GB2312" w:hAnsi="仿宋_GB2312"/>
                <w:sz w:val="24"/>
                <w:szCs w:val="24"/>
              </w:rPr>
            </w:pPr>
            <w:r>
              <w:rPr>
                <w:rFonts w:ascii="仿宋_GB2312" w:hAnsi="仿宋_GB2312"/>
                <w:color w:val="000000"/>
                <w:sz w:val="24"/>
                <w:szCs w:val="24"/>
              </w:rPr>
              <w:t>局机关及二级机构汇总</w:t>
            </w:r>
          </w:p>
        </w:tc>
        <w:tc>
          <w:tcPr>
            <w:tcW w:w="1080" w:type="dxa"/>
            <w:tcBorders>
              <w:top w:val="single" w:color="000000" w:sz="4" w:space="0"/>
              <w:left w:val="nil"/>
              <w:bottom w:val="single" w:color="000000" w:sz="4" w:space="0"/>
              <w:right w:val="single" w:color="auto" w:sz="4" w:space="0"/>
            </w:tcBorders>
            <w:vAlign w:val="center"/>
          </w:tcPr>
          <w:p>
            <w:pPr>
              <w:spacing w:line="320" w:lineRule="exact"/>
              <w:jc w:val="center"/>
              <w:textAlignment w:val="center"/>
              <w:rPr>
                <w:rFonts w:hint="default" w:ascii="仿宋_GB2312" w:hAnsi="仿宋_GB2312" w:eastAsia="宋体"/>
                <w:color w:val="000000"/>
                <w:sz w:val="24"/>
                <w:szCs w:val="24"/>
                <w:lang w:val="en-US" w:eastAsia="zh-CN"/>
              </w:rPr>
            </w:pPr>
            <w:r>
              <w:rPr>
                <w:rFonts w:hint="eastAsia" w:ascii="仿宋_GB2312" w:hAnsi="仿宋_GB2312"/>
                <w:color w:val="000000"/>
                <w:sz w:val="24"/>
                <w:szCs w:val="24"/>
                <w:lang w:val="en-US" w:eastAsia="zh-CN"/>
              </w:rPr>
              <w:t>1636</w:t>
            </w:r>
          </w:p>
        </w:tc>
        <w:tc>
          <w:tcPr>
            <w:tcW w:w="1355" w:type="dxa"/>
            <w:gridSpan w:val="2"/>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hint="default" w:ascii="仿宋_GB2312" w:hAnsi="仿宋_GB2312" w:eastAsia="宋体"/>
                <w:color w:val="000000"/>
                <w:sz w:val="24"/>
                <w:szCs w:val="24"/>
                <w:lang w:val="en-US" w:eastAsia="zh-CN"/>
              </w:rPr>
            </w:pPr>
            <w:r>
              <w:rPr>
                <w:rFonts w:hint="eastAsia" w:ascii="仿宋_GB2312" w:hAnsi="仿宋_GB2312"/>
                <w:color w:val="000000"/>
                <w:sz w:val="24"/>
                <w:szCs w:val="24"/>
                <w:lang w:val="en-US" w:eastAsia="zh-CN"/>
              </w:rPr>
              <w:t>1636</w:t>
            </w:r>
          </w:p>
        </w:tc>
        <w:tc>
          <w:tcPr>
            <w:tcW w:w="1080" w:type="dxa"/>
            <w:gridSpan w:val="2"/>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hint="default" w:ascii="仿宋_GB2312" w:hAnsi="仿宋_GB2312" w:eastAsia="宋体"/>
                <w:color w:val="000000"/>
                <w:sz w:val="24"/>
                <w:szCs w:val="24"/>
                <w:lang w:val="en-US" w:eastAsia="zh-CN"/>
              </w:rPr>
            </w:pPr>
            <w:r>
              <w:rPr>
                <w:rFonts w:hint="eastAsia" w:ascii="仿宋_GB2312" w:hAnsi="仿宋_GB2312"/>
                <w:color w:val="000000"/>
                <w:sz w:val="24"/>
                <w:szCs w:val="24"/>
                <w:lang w:val="en-US" w:eastAsia="zh-CN"/>
              </w:rPr>
              <w:t>848</w:t>
            </w:r>
          </w:p>
        </w:tc>
        <w:tc>
          <w:tcPr>
            <w:tcW w:w="2160" w:type="dxa"/>
            <w:gridSpan w:val="4"/>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hint="default" w:ascii="仿宋_GB2312" w:hAnsi="仿宋_GB2312" w:eastAsia="宋体"/>
                <w:color w:val="000000"/>
                <w:sz w:val="24"/>
                <w:szCs w:val="24"/>
                <w:lang w:val="en-US" w:eastAsia="zh-CN"/>
              </w:rPr>
            </w:pPr>
            <w:r>
              <w:rPr>
                <w:rFonts w:hint="eastAsia" w:ascii="仿宋_GB2312" w:hAnsi="仿宋_GB2312"/>
                <w:color w:val="000000"/>
                <w:sz w:val="24"/>
                <w:szCs w:val="24"/>
                <w:lang w:val="en-US" w:eastAsia="zh-CN"/>
              </w:rPr>
              <w:t>620</w:t>
            </w:r>
          </w:p>
        </w:tc>
        <w:tc>
          <w:tcPr>
            <w:tcW w:w="1080" w:type="dxa"/>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hint="default" w:ascii="仿宋_GB2312" w:hAnsi="仿宋_GB2312" w:eastAsia="宋体"/>
                <w:color w:val="000000"/>
                <w:sz w:val="24"/>
                <w:szCs w:val="24"/>
                <w:lang w:val="en-US" w:eastAsia="zh-CN"/>
              </w:rPr>
            </w:pPr>
            <w:r>
              <w:rPr>
                <w:rFonts w:hint="eastAsia" w:ascii="仿宋_GB2312" w:hAnsi="仿宋_GB2312"/>
                <w:color w:val="000000"/>
                <w:sz w:val="24"/>
                <w:szCs w:val="24"/>
                <w:lang w:val="en-US" w:eastAsia="zh-CN"/>
              </w:rPr>
              <w:t>150</w:t>
            </w:r>
          </w:p>
        </w:tc>
        <w:tc>
          <w:tcPr>
            <w:tcW w:w="720" w:type="dxa"/>
            <w:gridSpan w:val="3"/>
            <w:tcBorders>
              <w:top w:val="single" w:color="000000" w:sz="4" w:space="0"/>
              <w:left w:val="nil"/>
              <w:bottom w:val="single" w:color="000000" w:sz="4" w:space="0"/>
              <w:right w:val="single" w:color="auto" w:sz="4" w:space="0"/>
            </w:tcBorders>
            <w:vAlign w:val="center"/>
          </w:tcPr>
          <w:p>
            <w:pPr>
              <w:spacing w:line="320" w:lineRule="exact"/>
              <w:jc w:val="center"/>
              <w:textAlignment w:val="center"/>
              <w:rPr>
                <w:rFonts w:ascii="仿宋_GB2312" w:hAnsi="仿宋_GB2312"/>
                <w:color w:val="000000"/>
                <w:sz w:val="24"/>
                <w:szCs w:val="24"/>
              </w:rPr>
            </w:pPr>
          </w:p>
        </w:tc>
        <w:tc>
          <w:tcPr>
            <w:tcW w:w="625" w:type="dxa"/>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hint="eastAsia" w:ascii="仿宋_GB2312" w:hAnsi="仿宋_GB2312" w:eastAsia="宋体"/>
                <w:color w:val="000000"/>
                <w:sz w:val="24"/>
                <w:szCs w:val="24"/>
                <w:lang w:val="en-US" w:eastAsia="zh-CN"/>
              </w:rPr>
            </w:pPr>
          </w:p>
        </w:tc>
      </w:tr>
      <w:tr>
        <w:tblPrEx>
          <w:tblCellMar>
            <w:top w:w="0" w:type="dxa"/>
            <w:left w:w="15" w:type="dxa"/>
            <w:bottom w:w="0" w:type="dxa"/>
            <w:right w:w="15" w:type="dxa"/>
          </w:tblCellMar>
        </w:tblPrEx>
        <w:trPr>
          <w:trHeight w:val="624" w:hRule="atLeast"/>
          <w:jc w:val="center"/>
        </w:trPr>
        <w:tc>
          <w:tcPr>
            <w:tcW w:w="1700" w:type="dxa"/>
            <w:gridSpan w:val="3"/>
            <w:tcBorders>
              <w:top w:val="single" w:color="000000" w:sz="4" w:space="0"/>
              <w:left w:val="single" w:color="000000" w:sz="4" w:space="0"/>
              <w:bottom w:val="single" w:color="000000" w:sz="4" w:space="0"/>
              <w:right w:val="single" w:color="000000" w:sz="4" w:space="0"/>
            </w:tcBorders>
            <w:vAlign w:val="center"/>
          </w:tcPr>
          <w:p>
            <w:pPr>
              <w:spacing w:line="320" w:lineRule="exact"/>
              <w:jc w:val="left"/>
              <w:rPr>
                <w:rFonts w:ascii="仿宋_GB2312" w:hAnsi="仿宋_GB2312"/>
                <w:color w:val="000000"/>
                <w:sz w:val="24"/>
                <w:szCs w:val="24"/>
              </w:rPr>
            </w:pPr>
            <w:r>
              <w:rPr>
                <w:rFonts w:ascii="仿宋_GB2312" w:hAnsi="仿宋_GB2312"/>
                <w:sz w:val="24"/>
                <w:szCs w:val="24"/>
              </w:rPr>
              <w:t>1、局机关</w:t>
            </w:r>
          </w:p>
        </w:tc>
        <w:tc>
          <w:tcPr>
            <w:tcW w:w="1080" w:type="dxa"/>
            <w:tcBorders>
              <w:top w:val="single" w:color="000000" w:sz="4" w:space="0"/>
              <w:left w:val="nil"/>
              <w:bottom w:val="single" w:color="000000" w:sz="4" w:space="0"/>
              <w:right w:val="single" w:color="auto" w:sz="4" w:space="0"/>
            </w:tcBorders>
            <w:vAlign w:val="center"/>
          </w:tcPr>
          <w:p>
            <w:pPr>
              <w:spacing w:line="320" w:lineRule="exact"/>
              <w:jc w:val="center"/>
              <w:textAlignment w:val="center"/>
              <w:rPr>
                <w:rFonts w:hint="default" w:ascii="仿宋_GB2312" w:hAnsi="仿宋_GB2312" w:eastAsia="宋体"/>
                <w:color w:val="000000"/>
                <w:sz w:val="24"/>
                <w:szCs w:val="24"/>
                <w:lang w:val="en-US" w:eastAsia="zh-CN"/>
              </w:rPr>
            </w:pPr>
            <w:r>
              <w:rPr>
                <w:rFonts w:hint="eastAsia" w:ascii="仿宋_GB2312" w:hAnsi="仿宋_GB2312"/>
                <w:color w:val="000000"/>
                <w:sz w:val="24"/>
                <w:szCs w:val="24"/>
                <w:lang w:val="en-US" w:eastAsia="zh-CN"/>
              </w:rPr>
              <w:t>1636</w:t>
            </w:r>
          </w:p>
        </w:tc>
        <w:tc>
          <w:tcPr>
            <w:tcW w:w="1355" w:type="dxa"/>
            <w:gridSpan w:val="2"/>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hint="default" w:ascii="仿宋_GB2312" w:hAnsi="仿宋_GB2312"/>
                <w:color w:val="000000"/>
                <w:sz w:val="24"/>
                <w:szCs w:val="24"/>
                <w:lang w:val="en-US"/>
              </w:rPr>
            </w:pPr>
            <w:r>
              <w:rPr>
                <w:rFonts w:hint="eastAsia" w:ascii="仿宋_GB2312" w:hAnsi="仿宋_GB2312"/>
                <w:color w:val="000000"/>
                <w:sz w:val="24"/>
                <w:szCs w:val="24"/>
                <w:lang w:val="en-US" w:eastAsia="zh-CN"/>
              </w:rPr>
              <w:t>1636</w:t>
            </w:r>
          </w:p>
        </w:tc>
        <w:tc>
          <w:tcPr>
            <w:tcW w:w="1080" w:type="dxa"/>
            <w:gridSpan w:val="2"/>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hint="default" w:ascii="仿宋_GB2312" w:hAnsi="仿宋_GB2312"/>
                <w:color w:val="000000"/>
                <w:sz w:val="24"/>
                <w:szCs w:val="24"/>
                <w:lang w:val="en-US"/>
              </w:rPr>
            </w:pPr>
            <w:r>
              <w:rPr>
                <w:rFonts w:hint="eastAsia" w:ascii="仿宋_GB2312" w:hAnsi="仿宋_GB2312"/>
                <w:color w:val="000000"/>
                <w:sz w:val="24"/>
                <w:szCs w:val="24"/>
                <w:lang w:val="en-US" w:eastAsia="zh-CN"/>
              </w:rPr>
              <w:t>848</w:t>
            </w:r>
          </w:p>
        </w:tc>
        <w:tc>
          <w:tcPr>
            <w:tcW w:w="2160" w:type="dxa"/>
            <w:gridSpan w:val="4"/>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hint="default" w:ascii="仿宋_GB2312" w:hAnsi="仿宋_GB2312"/>
                <w:color w:val="000000"/>
                <w:sz w:val="24"/>
                <w:szCs w:val="24"/>
                <w:lang w:val="en-US"/>
              </w:rPr>
            </w:pPr>
            <w:r>
              <w:rPr>
                <w:rFonts w:hint="eastAsia" w:ascii="仿宋_GB2312" w:hAnsi="仿宋_GB2312"/>
                <w:color w:val="000000"/>
                <w:sz w:val="24"/>
                <w:szCs w:val="24"/>
                <w:lang w:val="en-US" w:eastAsia="zh-CN"/>
              </w:rPr>
              <w:t>620</w:t>
            </w:r>
          </w:p>
        </w:tc>
        <w:tc>
          <w:tcPr>
            <w:tcW w:w="1080" w:type="dxa"/>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hint="default" w:ascii="仿宋_GB2312" w:hAnsi="仿宋_GB2312"/>
                <w:color w:val="000000"/>
                <w:sz w:val="24"/>
                <w:szCs w:val="24"/>
                <w:lang w:val="en-US"/>
              </w:rPr>
            </w:pPr>
            <w:r>
              <w:rPr>
                <w:rFonts w:hint="eastAsia" w:ascii="仿宋_GB2312" w:hAnsi="仿宋_GB2312"/>
                <w:color w:val="000000"/>
                <w:sz w:val="24"/>
                <w:szCs w:val="24"/>
                <w:lang w:val="en-US" w:eastAsia="zh-CN"/>
              </w:rPr>
              <w:t>150</w:t>
            </w:r>
          </w:p>
        </w:tc>
        <w:tc>
          <w:tcPr>
            <w:tcW w:w="720" w:type="dxa"/>
            <w:gridSpan w:val="3"/>
            <w:tcBorders>
              <w:top w:val="single" w:color="000000" w:sz="4" w:space="0"/>
              <w:left w:val="nil"/>
              <w:bottom w:val="single" w:color="000000" w:sz="4" w:space="0"/>
              <w:right w:val="single" w:color="auto" w:sz="4" w:space="0"/>
            </w:tcBorders>
            <w:vAlign w:val="center"/>
          </w:tcPr>
          <w:p>
            <w:pPr>
              <w:spacing w:line="320" w:lineRule="exact"/>
              <w:jc w:val="center"/>
              <w:textAlignment w:val="center"/>
              <w:rPr>
                <w:rFonts w:ascii="仿宋_GB2312" w:hAnsi="仿宋_GB2312"/>
                <w:color w:val="000000"/>
                <w:sz w:val="24"/>
                <w:szCs w:val="24"/>
              </w:rPr>
            </w:pPr>
          </w:p>
        </w:tc>
        <w:tc>
          <w:tcPr>
            <w:tcW w:w="625" w:type="dxa"/>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hint="eastAsia" w:ascii="仿宋_GB2312" w:hAnsi="仿宋_GB2312" w:eastAsia="宋体"/>
                <w:color w:val="000000"/>
                <w:sz w:val="24"/>
                <w:szCs w:val="24"/>
                <w:lang w:val="en-US" w:eastAsia="zh-CN"/>
              </w:rPr>
            </w:pPr>
          </w:p>
        </w:tc>
      </w:tr>
      <w:tr>
        <w:tblPrEx>
          <w:tblCellMar>
            <w:top w:w="0" w:type="dxa"/>
            <w:left w:w="15" w:type="dxa"/>
            <w:bottom w:w="0" w:type="dxa"/>
            <w:right w:w="15" w:type="dxa"/>
          </w:tblCellMar>
        </w:tblPrEx>
        <w:trPr>
          <w:trHeight w:val="624" w:hRule="atLeast"/>
          <w:jc w:val="center"/>
        </w:trPr>
        <w:tc>
          <w:tcPr>
            <w:tcW w:w="1700" w:type="dxa"/>
            <w:gridSpan w:val="3"/>
            <w:tcBorders>
              <w:top w:val="single" w:color="000000" w:sz="4" w:space="0"/>
              <w:left w:val="single" w:color="000000" w:sz="4" w:space="0"/>
              <w:bottom w:val="single" w:color="000000" w:sz="4" w:space="0"/>
              <w:right w:val="single" w:color="000000" w:sz="4" w:space="0"/>
            </w:tcBorders>
            <w:vAlign w:val="center"/>
          </w:tcPr>
          <w:p>
            <w:pPr>
              <w:spacing w:line="320" w:lineRule="exact"/>
              <w:jc w:val="left"/>
              <w:rPr>
                <w:rFonts w:ascii="仿宋_GB2312" w:hAnsi="仿宋_GB2312"/>
                <w:color w:val="000000"/>
                <w:sz w:val="24"/>
                <w:szCs w:val="24"/>
              </w:rPr>
            </w:pPr>
            <w:r>
              <w:rPr>
                <w:rFonts w:ascii="仿宋_GB2312" w:hAnsi="仿宋_GB2312"/>
                <w:sz w:val="24"/>
                <w:szCs w:val="24"/>
              </w:rPr>
              <w:t>2、二级机构1</w:t>
            </w:r>
          </w:p>
        </w:tc>
        <w:tc>
          <w:tcPr>
            <w:tcW w:w="1080" w:type="dxa"/>
            <w:tcBorders>
              <w:top w:val="single" w:color="000000" w:sz="4" w:space="0"/>
              <w:left w:val="nil"/>
              <w:bottom w:val="single" w:color="000000" w:sz="4" w:space="0"/>
              <w:right w:val="single" w:color="auto" w:sz="4" w:space="0"/>
            </w:tcBorders>
            <w:vAlign w:val="center"/>
          </w:tcPr>
          <w:p>
            <w:pPr>
              <w:spacing w:line="320" w:lineRule="exact"/>
              <w:jc w:val="center"/>
              <w:textAlignment w:val="center"/>
              <w:rPr>
                <w:rFonts w:ascii="仿宋_GB2312" w:hAnsi="仿宋_GB2312"/>
                <w:color w:val="000000"/>
                <w:sz w:val="24"/>
                <w:szCs w:val="24"/>
              </w:rPr>
            </w:pPr>
          </w:p>
        </w:tc>
        <w:tc>
          <w:tcPr>
            <w:tcW w:w="1355" w:type="dxa"/>
            <w:gridSpan w:val="2"/>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c>
          <w:tcPr>
            <w:tcW w:w="1080" w:type="dxa"/>
            <w:gridSpan w:val="2"/>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c>
          <w:tcPr>
            <w:tcW w:w="2160" w:type="dxa"/>
            <w:gridSpan w:val="4"/>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c>
          <w:tcPr>
            <w:tcW w:w="1080" w:type="dxa"/>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c>
          <w:tcPr>
            <w:tcW w:w="720" w:type="dxa"/>
            <w:gridSpan w:val="3"/>
            <w:tcBorders>
              <w:top w:val="single" w:color="000000" w:sz="4" w:space="0"/>
              <w:left w:val="nil"/>
              <w:bottom w:val="single" w:color="000000" w:sz="4" w:space="0"/>
              <w:right w:val="single" w:color="auto" w:sz="4" w:space="0"/>
            </w:tcBorders>
            <w:vAlign w:val="center"/>
          </w:tcPr>
          <w:p>
            <w:pPr>
              <w:spacing w:line="320" w:lineRule="exact"/>
              <w:jc w:val="center"/>
              <w:textAlignment w:val="center"/>
              <w:rPr>
                <w:rFonts w:ascii="仿宋_GB2312" w:hAnsi="仿宋_GB2312"/>
                <w:color w:val="000000"/>
                <w:sz w:val="24"/>
                <w:szCs w:val="24"/>
              </w:rPr>
            </w:pPr>
          </w:p>
        </w:tc>
        <w:tc>
          <w:tcPr>
            <w:tcW w:w="625" w:type="dxa"/>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r>
      <w:tr>
        <w:tblPrEx>
          <w:tblCellMar>
            <w:top w:w="0" w:type="dxa"/>
            <w:left w:w="15" w:type="dxa"/>
            <w:bottom w:w="0" w:type="dxa"/>
            <w:right w:w="15" w:type="dxa"/>
          </w:tblCellMar>
        </w:tblPrEx>
        <w:trPr>
          <w:trHeight w:val="624" w:hRule="atLeast"/>
          <w:jc w:val="center"/>
        </w:trPr>
        <w:tc>
          <w:tcPr>
            <w:tcW w:w="1700" w:type="dxa"/>
            <w:gridSpan w:val="3"/>
            <w:tcBorders>
              <w:top w:val="single" w:color="000000" w:sz="4" w:space="0"/>
              <w:left w:val="single" w:color="000000" w:sz="4" w:space="0"/>
              <w:bottom w:val="single" w:color="000000" w:sz="4" w:space="0"/>
              <w:right w:val="single" w:color="000000" w:sz="4" w:space="0"/>
            </w:tcBorders>
            <w:vAlign w:val="center"/>
          </w:tcPr>
          <w:p>
            <w:pPr>
              <w:spacing w:line="320" w:lineRule="exact"/>
              <w:jc w:val="left"/>
              <w:rPr>
                <w:rFonts w:ascii="仿宋_GB2312" w:hAnsi="仿宋_GB2312"/>
                <w:color w:val="000000"/>
                <w:sz w:val="24"/>
                <w:szCs w:val="24"/>
              </w:rPr>
            </w:pPr>
            <w:r>
              <w:rPr>
                <w:rFonts w:ascii="仿宋_GB2312" w:hAnsi="仿宋_GB2312"/>
                <w:sz w:val="24"/>
                <w:szCs w:val="24"/>
              </w:rPr>
              <w:t>3、二级机构2</w:t>
            </w:r>
          </w:p>
        </w:tc>
        <w:tc>
          <w:tcPr>
            <w:tcW w:w="1080" w:type="dxa"/>
            <w:tcBorders>
              <w:top w:val="single" w:color="000000" w:sz="4" w:space="0"/>
              <w:left w:val="nil"/>
              <w:bottom w:val="single" w:color="000000" w:sz="4" w:space="0"/>
              <w:right w:val="single" w:color="auto" w:sz="4" w:space="0"/>
            </w:tcBorders>
            <w:vAlign w:val="center"/>
          </w:tcPr>
          <w:p>
            <w:pPr>
              <w:spacing w:line="320" w:lineRule="exact"/>
              <w:jc w:val="center"/>
              <w:textAlignment w:val="center"/>
              <w:rPr>
                <w:rFonts w:ascii="仿宋_GB2312" w:hAnsi="仿宋_GB2312"/>
                <w:color w:val="000000"/>
                <w:sz w:val="24"/>
                <w:szCs w:val="24"/>
              </w:rPr>
            </w:pPr>
          </w:p>
        </w:tc>
        <w:tc>
          <w:tcPr>
            <w:tcW w:w="1355" w:type="dxa"/>
            <w:gridSpan w:val="2"/>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c>
          <w:tcPr>
            <w:tcW w:w="1080" w:type="dxa"/>
            <w:gridSpan w:val="2"/>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c>
          <w:tcPr>
            <w:tcW w:w="2160" w:type="dxa"/>
            <w:gridSpan w:val="4"/>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c>
          <w:tcPr>
            <w:tcW w:w="1080" w:type="dxa"/>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c>
          <w:tcPr>
            <w:tcW w:w="720" w:type="dxa"/>
            <w:gridSpan w:val="3"/>
            <w:tcBorders>
              <w:top w:val="single" w:color="000000" w:sz="4" w:space="0"/>
              <w:left w:val="nil"/>
              <w:bottom w:val="single" w:color="000000" w:sz="4" w:space="0"/>
              <w:right w:val="single" w:color="auto" w:sz="4" w:space="0"/>
            </w:tcBorders>
            <w:vAlign w:val="center"/>
          </w:tcPr>
          <w:p>
            <w:pPr>
              <w:spacing w:line="320" w:lineRule="exact"/>
              <w:jc w:val="center"/>
              <w:textAlignment w:val="center"/>
              <w:rPr>
                <w:rFonts w:ascii="仿宋_GB2312" w:hAnsi="仿宋_GB2312"/>
                <w:color w:val="000000"/>
                <w:sz w:val="24"/>
                <w:szCs w:val="24"/>
              </w:rPr>
            </w:pPr>
          </w:p>
        </w:tc>
        <w:tc>
          <w:tcPr>
            <w:tcW w:w="625" w:type="dxa"/>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r>
      <w:tr>
        <w:tblPrEx>
          <w:tblCellMar>
            <w:top w:w="0" w:type="dxa"/>
            <w:left w:w="15" w:type="dxa"/>
            <w:bottom w:w="0" w:type="dxa"/>
            <w:right w:w="15" w:type="dxa"/>
          </w:tblCellMar>
        </w:tblPrEx>
        <w:trPr>
          <w:trHeight w:val="624" w:hRule="atLeast"/>
          <w:jc w:val="center"/>
        </w:trPr>
        <w:tc>
          <w:tcPr>
            <w:tcW w:w="1700" w:type="dxa"/>
            <w:gridSpan w:val="3"/>
            <w:vMerge w:val="restart"/>
            <w:tcBorders>
              <w:top w:val="nil"/>
              <w:left w:val="single" w:color="000000" w:sz="4" w:space="0"/>
              <w:bottom w:val="single" w:color="000000" w:sz="4" w:space="0"/>
              <w:right w:val="single" w:color="000000" w:sz="4" w:space="0"/>
            </w:tcBorders>
            <w:vAlign w:val="center"/>
          </w:tcPr>
          <w:p>
            <w:pPr>
              <w:spacing w:line="320" w:lineRule="exact"/>
              <w:jc w:val="center"/>
              <w:rPr>
                <w:rFonts w:ascii="仿宋_GB2312" w:hAnsi="仿宋_GB2312"/>
                <w:sz w:val="24"/>
                <w:szCs w:val="24"/>
              </w:rPr>
            </w:pPr>
            <w:r>
              <w:rPr>
                <w:rFonts w:ascii="仿宋_GB2312" w:hAnsi="仿宋_GB2312"/>
                <w:sz w:val="24"/>
                <w:szCs w:val="24"/>
              </w:rPr>
              <w:t>机构名称</w:t>
            </w:r>
          </w:p>
        </w:tc>
        <w:tc>
          <w:tcPr>
            <w:tcW w:w="1080" w:type="dxa"/>
            <w:vMerge w:val="restart"/>
            <w:tcBorders>
              <w:top w:val="nil"/>
              <w:left w:val="nil"/>
              <w:bottom w:val="single" w:color="000000" w:sz="4" w:space="0"/>
              <w:right w:val="single" w:color="auto"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三公经费</w:t>
            </w:r>
          </w:p>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合计</w:t>
            </w:r>
          </w:p>
        </w:tc>
        <w:tc>
          <w:tcPr>
            <w:tcW w:w="7020" w:type="dxa"/>
            <w:gridSpan w:val="13"/>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其中：</w:t>
            </w:r>
          </w:p>
        </w:tc>
      </w:tr>
      <w:tr>
        <w:tblPrEx>
          <w:tblCellMar>
            <w:top w:w="0" w:type="dxa"/>
            <w:left w:w="15" w:type="dxa"/>
            <w:bottom w:w="0" w:type="dxa"/>
            <w:right w:w="15" w:type="dxa"/>
          </w:tblCellMar>
        </w:tblPrEx>
        <w:trPr>
          <w:trHeight w:val="624" w:hRule="atLeast"/>
          <w:jc w:val="center"/>
        </w:trPr>
        <w:tc>
          <w:tcPr>
            <w:tcW w:w="1700" w:type="dxa"/>
            <w:gridSpan w:val="3"/>
            <w:vMerge w:val="continue"/>
            <w:tcBorders>
              <w:top w:val="nil"/>
              <w:left w:val="single" w:color="000000" w:sz="4" w:space="0"/>
              <w:bottom w:val="single" w:color="000000" w:sz="4" w:space="0"/>
              <w:right w:val="single" w:color="000000" w:sz="4" w:space="0"/>
            </w:tcBorders>
            <w:vAlign w:val="center"/>
          </w:tcPr>
          <w:p>
            <w:pPr>
              <w:widowControl/>
              <w:jc w:val="left"/>
              <w:rPr>
                <w:rFonts w:ascii="仿宋_GB2312" w:hAnsi="仿宋_GB2312"/>
                <w:sz w:val="24"/>
                <w:szCs w:val="24"/>
              </w:rPr>
            </w:pPr>
          </w:p>
        </w:tc>
        <w:tc>
          <w:tcPr>
            <w:tcW w:w="1080" w:type="dxa"/>
            <w:vMerge w:val="continue"/>
            <w:tcBorders>
              <w:top w:val="nil"/>
              <w:left w:val="nil"/>
              <w:bottom w:val="single" w:color="000000" w:sz="4" w:space="0"/>
              <w:right w:val="single" w:color="auto" w:sz="4" w:space="0"/>
            </w:tcBorders>
            <w:vAlign w:val="center"/>
          </w:tcPr>
          <w:p>
            <w:pPr>
              <w:widowControl/>
              <w:jc w:val="left"/>
              <w:rPr>
                <w:rFonts w:ascii="仿宋_GB2312" w:hAnsi="仿宋_GB2312"/>
                <w:color w:val="000000"/>
                <w:sz w:val="24"/>
                <w:szCs w:val="24"/>
              </w:rPr>
            </w:pPr>
          </w:p>
        </w:tc>
        <w:tc>
          <w:tcPr>
            <w:tcW w:w="1355" w:type="dxa"/>
            <w:gridSpan w:val="2"/>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公务接待费</w:t>
            </w:r>
          </w:p>
        </w:tc>
        <w:tc>
          <w:tcPr>
            <w:tcW w:w="1080" w:type="dxa"/>
            <w:gridSpan w:val="2"/>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公务用车运维费</w:t>
            </w:r>
          </w:p>
        </w:tc>
        <w:tc>
          <w:tcPr>
            <w:tcW w:w="2160" w:type="dxa"/>
            <w:gridSpan w:val="4"/>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公务用车购置费</w:t>
            </w:r>
          </w:p>
        </w:tc>
        <w:tc>
          <w:tcPr>
            <w:tcW w:w="2425" w:type="dxa"/>
            <w:gridSpan w:val="5"/>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因公出国费</w:t>
            </w:r>
          </w:p>
        </w:tc>
      </w:tr>
      <w:tr>
        <w:tblPrEx>
          <w:tblCellMar>
            <w:top w:w="0" w:type="dxa"/>
            <w:left w:w="15" w:type="dxa"/>
            <w:bottom w:w="0" w:type="dxa"/>
            <w:right w:w="15" w:type="dxa"/>
          </w:tblCellMar>
        </w:tblPrEx>
        <w:trPr>
          <w:trHeight w:val="858" w:hRule="atLeast"/>
          <w:jc w:val="center"/>
        </w:trPr>
        <w:tc>
          <w:tcPr>
            <w:tcW w:w="1700" w:type="dxa"/>
            <w:gridSpan w:val="3"/>
            <w:tcBorders>
              <w:top w:val="single" w:color="000000" w:sz="4" w:space="0"/>
              <w:left w:val="single" w:color="000000" w:sz="4" w:space="0"/>
              <w:bottom w:val="single" w:color="000000" w:sz="4" w:space="0"/>
              <w:right w:val="single" w:color="000000" w:sz="4" w:space="0"/>
            </w:tcBorders>
            <w:vAlign w:val="center"/>
          </w:tcPr>
          <w:p>
            <w:pPr>
              <w:spacing w:line="320" w:lineRule="exact"/>
              <w:jc w:val="left"/>
              <w:rPr>
                <w:rFonts w:ascii="仿宋_GB2312" w:hAnsi="仿宋_GB2312"/>
                <w:sz w:val="24"/>
                <w:szCs w:val="24"/>
              </w:rPr>
            </w:pPr>
            <w:r>
              <w:rPr>
                <w:rFonts w:ascii="仿宋_GB2312" w:hAnsi="仿宋_GB2312"/>
                <w:color w:val="000000"/>
                <w:sz w:val="24"/>
                <w:szCs w:val="24"/>
              </w:rPr>
              <w:t>局机关及二级机构汇总</w:t>
            </w:r>
          </w:p>
        </w:tc>
        <w:tc>
          <w:tcPr>
            <w:tcW w:w="1080" w:type="dxa"/>
            <w:tcBorders>
              <w:top w:val="single" w:color="000000" w:sz="4" w:space="0"/>
              <w:left w:val="nil"/>
              <w:bottom w:val="single" w:color="000000" w:sz="4" w:space="0"/>
              <w:right w:val="single" w:color="auto" w:sz="4" w:space="0"/>
            </w:tcBorders>
            <w:vAlign w:val="center"/>
          </w:tcPr>
          <w:p>
            <w:pPr>
              <w:spacing w:line="320" w:lineRule="exact"/>
              <w:jc w:val="center"/>
              <w:textAlignment w:val="center"/>
              <w:rPr>
                <w:rFonts w:hint="default" w:ascii="仿宋_GB2312" w:hAnsi="仿宋_GB2312" w:eastAsia="宋体"/>
                <w:color w:val="000000"/>
                <w:sz w:val="24"/>
                <w:szCs w:val="24"/>
                <w:lang w:val="en-US" w:eastAsia="zh-CN"/>
              </w:rPr>
            </w:pPr>
            <w:r>
              <w:rPr>
                <w:rFonts w:hint="eastAsia" w:ascii="仿宋_GB2312" w:hAnsi="仿宋_GB2312"/>
                <w:color w:val="000000"/>
                <w:sz w:val="24"/>
                <w:szCs w:val="24"/>
                <w:lang w:val="en-US" w:eastAsia="zh-CN"/>
              </w:rPr>
              <w:t>23</w:t>
            </w:r>
          </w:p>
        </w:tc>
        <w:tc>
          <w:tcPr>
            <w:tcW w:w="1355" w:type="dxa"/>
            <w:gridSpan w:val="2"/>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hint="default" w:ascii="仿宋_GB2312" w:hAnsi="仿宋_GB2312" w:eastAsia="宋体"/>
                <w:color w:val="000000"/>
                <w:sz w:val="24"/>
                <w:szCs w:val="24"/>
                <w:lang w:val="en-US" w:eastAsia="zh-CN"/>
              </w:rPr>
            </w:pPr>
            <w:r>
              <w:rPr>
                <w:rFonts w:hint="eastAsia" w:ascii="仿宋_GB2312" w:hAnsi="仿宋_GB2312"/>
                <w:color w:val="000000"/>
                <w:sz w:val="24"/>
                <w:szCs w:val="24"/>
                <w:lang w:val="en-US" w:eastAsia="zh-CN"/>
              </w:rPr>
              <w:t>23</w:t>
            </w:r>
          </w:p>
        </w:tc>
        <w:tc>
          <w:tcPr>
            <w:tcW w:w="1080" w:type="dxa"/>
            <w:gridSpan w:val="2"/>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hint="eastAsia" w:ascii="仿宋_GB2312" w:hAnsi="仿宋_GB2312" w:eastAsia="宋体"/>
                <w:color w:val="000000"/>
                <w:sz w:val="24"/>
                <w:szCs w:val="24"/>
                <w:lang w:val="en-US" w:eastAsia="zh-CN"/>
              </w:rPr>
            </w:pPr>
          </w:p>
        </w:tc>
        <w:tc>
          <w:tcPr>
            <w:tcW w:w="2160" w:type="dxa"/>
            <w:gridSpan w:val="4"/>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c>
          <w:tcPr>
            <w:tcW w:w="2425" w:type="dxa"/>
            <w:gridSpan w:val="5"/>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r>
      <w:tr>
        <w:tblPrEx>
          <w:tblCellMar>
            <w:top w:w="0" w:type="dxa"/>
            <w:left w:w="15" w:type="dxa"/>
            <w:bottom w:w="0" w:type="dxa"/>
            <w:right w:w="15" w:type="dxa"/>
          </w:tblCellMar>
        </w:tblPrEx>
        <w:trPr>
          <w:trHeight w:val="624" w:hRule="atLeast"/>
          <w:jc w:val="center"/>
        </w:trPr>
        <w:tc>
          <w:tcPr>
            <w:tcW w:w="1700" w:type="dxa"/>
            <w:gridSpan w:val="3"/>
            <w:tcBorders>
              <w:top w:val="single" w:color="000000" w:sz="4" w:space="0"/>
              <w:left w:val="single" w:color="000000" w:sz="4" w:space="0"/>
              <w:bottom w:val="single" w:color="000000" w:sz="4" w:space="0"/>
              <w:right w:val="single" w:color="000000" w:sz="4" w:space="0"/>
            </w:tcBorders>
            <w:vAlign w:val="center"/>
          </w:tcPr>
          <w:p>
            <w:pPr>
              <w:spacing w:line="320" w:lineRule="exact"/>
              <w:jc w:val="left"/>
              <w:rPr>
                <w:rFonts w:ascii="仿宋_GB2312" w:hAnsi="仿宋_GB2312"/>
                <w:sz w:val="24"/>
                <w:szCs w:val="24"/>
              </w:rPr>
            </w:pPr>
            <w:r>
              <w:rPr>
                <w:rFonts w:ascii="仿宋_GB2312" w:hAnsi="仿宋_GB2312"/>
                <w:sz w:val="24"/>
                <w:szCs w:val="24"/>
              </w:rPr>
              <w:t>1、局机关</w:t>
            </w:r>
          </w:p>
        </w:tc>
        <w:tc>
          <w:tcPr>
            <w:tcW w:w="1080" w:type="dxa"/>
            <w:tcBorders>
              <w:top w:val="single" w:color="000000" w:sz="4" w:space="0"/>
              <w:left w:val="nil"/>
              <w:bottom w:val="single" w:color="000000" w:sz="4" w:space="0"/>
              <w:right w:val="single" w:color="auto" w:sz="4" w:space="0"/>
            </w:tcBorders>
            <w:vAlign w:val="center"/>
          </w:tcPr>
          <w:p>
            <w:pPr>
              <w:spacing w:line="320" w:lineRule="exact"/>
              <w:jc w:val="center"/>
              <w:textAlignment w:val="center"/>
              <w:rPr>
                <w:rFonts w:hint="default" w:ascii="仿宋_GB2312" w:hAnsi="仿宋_GB2312" w:eastAsia="宋体"/>
                <w:color w:val="000000"/>
                <w:sz w:val="24"/>
                <w:szCs w:val="24"/>
                <w:lang w:val="en-US" w:eastAsia="zh-CN"/>
              </w:rPr>
            </w:pPr>
            <w:r>
              <w:rPr>
                <w:rFonts w:hint="eastAsia" w:ascii="仿宋_GB2312" w:hAnsi="仿宋_GB2312"/>
                <w:color w:val="000000"/>
                <w:sz w:val="24"/>
                <w:szCs w:val="24"/>
                <w:lang w:val="en-US" w:eastAsia="zh-CN"/>
              </w:rPr>
              <w:t>23</w:t>
            </w:r>
          </w:p>
        </w:tc>
        <w:tc>
          <w:tcPr>
            <w:tcW w:w="1355" w:type="dxa"/>
            <w:gridSpan w:val="2"/>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hint="default" w:ascii="仿宋_GB2312" w:hAnsi="仿宋_GB2312" w:eastAsia="宋体"/>
                <w:color w:val="000000"/>
                <w:sz w:val="24"/>
                <w:szCs w:val="24"/>
                <w:lang w:val="en-US" w:eastAsia="zh-CN"/>
              </w:rPr>
            </w:pPr>
            <w:r>
              <w:rPr>
                <w:rFonts w:hint="eastAsia" w:ascii="仿宋_GB2312" w:hAnsi="仿宋_GB2312"/>
                <w:color w:val="000000"/>
                <w:sz w:val="24"/>
                <w:szCs w:val="24"/>
                <w:lang w:val="en-US" w:eastAsia="zh-CN"/>
              </w:rPr>
              <w:t>23</w:t>
            </w:r>
          </w:p>
        </w:tc>
        <w:tc>
          <w:tcPr>
            <w:tcW w:w="1080" w:type="dxa"/>
            <w:gridSpan w:val="2"/>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c>
          <w:tcPr>
            <w:tcW w:w="2160" w:type="dxa"/>
            <w:gridSpan w:val="4"/>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c>
          <w:tcPr>
            <w:tcW w:w="2425" w:type="dxa"/>
            <w:gridSpan w:val="5"/>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r>
      <w:tr>
        <w:tblPrEx>
          <w:tblCellMar>
            <w:top w:w="0" w:type="dxa"/>
            <w:left w:w="15" w:type="dxa"/>
            <w:bottom w:w="0" w:type="dxa"/>
            <w:right w:w="15" w:type="dxa"/>
          </w:tblCellMar>
        </w:tblPrEx>
        <w:trPr>
          <w:trHeight w:val="624" w:hRule="atLeast"/>
          <w:jc w:val="center"/>
        </w:trPr>
        <w:tc>
          <w:tcPr>
            <w:tcW w:w="1700" w:type="dxa"/>
            <w:gridSpan w:val="3"/>
            <w:tcBorders>
              <w:top w:val="single" w:color="000000" w:sz="4" w:space="0"/>
              <w:left w:val="single" w:color="000000" w:sz="4" w:space="0"/>
              <w:bottom w:val="single" w:color="000000" w:sz="4" w:space="0"/>
              <w:right w:val="single" w:color="000000" w:sz="4" w:space="0"/>
            </w:tcBorders>
            <w:vAlign w:val="center"/>
          </w:tcPr>
          <w:p>
            <w:pPr>
              <w:spacing w:line="320" w:lineRule="exact"/>
              <w:jc w:val="left"/>
              <w:rPr>
                <w:rFonts w:ascii="仿宋_GB2312" w:hAnsi="仿宋_GB2312"/>
                <w:sz w:val="24"/>
                <w:szCs w:val="24"/>
              </w:rPr>
            </w:pPr>
            <w:r>
              <w:rPr>
                <w:rFonts w:ascii="仿宋_GB2312" w:hAnsi="仿宋_GB2312"/>
                <w:sz w:val="24"/>
                <w:szCs w:val="24"/>
              </w:rPr>
              <w:t>2、二级机构1</w:t>
            </w:r>
          </w:p>
        </w:tc>
        <w:tc>
          <w:tcPr>
            <w:tcW w:w="1080" w:type="dxa"/>
            <w:tcBorders>
              <w:top w:val="single" w:color="000000" w:sz="4" w:space="0"/>
              <w:left w:val="nil"/>
              <w:bottom w:val="single" w:color="000000" w:sz="4" w:space="0"/>
              <w:right w:val="single" w:color="auto" w:sz="4" w:space="0"/>
            </w:tcBorders>
            <w:vAlign w:val="center"/>
          </w:tcPr>
          <w:p>
            <w:pPr>
              <w:spacing w:line="320" w:lineRule="exact"/>
              <w:jc w:val="center"/>
              <w:textAlignment w:val="center"/>
              <w:rPr>
                <w:rFonts w:ascii="仿宋_GB2312" w:hAnsi="仿宋_GB2312"/>
                <w:color w:val="000000"/>
                <w:sz w:val="24"/>
                <w:szCs w:val="24"/>
              </w:rPr>
            </w:pPr>
          </w:p>
        </w:tc>
        <w:tc>
          <w:tcPr>
            <w:tcW w:w="1355" w:type="dxa"/>
            <w:gridSpan w:val="2"/>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c>
          <w:tcPr>
            <w:tcW w:w="1080" w:type="dxa"/>
            <w:gridSpan w:val="2"/>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c>
          <w:tcPr>
            <w:tcW w:w="2160" w:type="dxa"/>
            <w:gridSpan w:val="4"/>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c>
          <w:tcPr>
            <w:tcW w:w="2425" w:type="dxa"/>
            <w:gridSpan w:val="5"/>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r>
      <w:tr>
        <w:tblPrEx>
          <w:tblCellMar>
            <w:top w:w="0" w:type="dxa"/>
            <w:left w:w="15" w:type="dxa"/>
            <w:bottom w:w="0" w:type="dxa"/>
            <w:right w:w="15" w:type="dxa"/>
          </w:tblCellMar>
        </w:tblPrEx>
        <w:trPr>
          <w:trHeight w:val="624" w:hRule="atLeast"/>
          <w:jc w:val="center"/>
        </w:trPr>
        <w:tc>
          <w:tcPr>
            <w:tcW w:w="1700" w:type="dxa"/>
            <w:gridSpan w:val="3"/>
            <w:tcBorders>
              <w:top w:val="single" w:color="000000" w:sz="4" w:space="0"/>
              <w:left w:val="single" w:color="000000" w:sz="4" w:space="0"/>
              <w:bottom w:val="single" w:color="000000" w:sz="4" w:space="0"/>
              <w:right w:val="single" w:color="000000" w:sz="4" w:space="0"/>
            </w:tcBorders>
            <w:vAlign w:val="center"/>
          </w:tcPr>
          <w:p>
            <w:pPr>
              <w:spacing w:line="320" w:lineRule="exact"/>
              <w:jc w:val="left"/>
              <w:rPr>
                <w:rFonts w:ascii="仿宋_GB2312" w:hAnsi="仿宋_GB2312"/>
                <w:sz w:val="24"/>
                <w:szCs w:val="24"/>
              </w:rPr>
            </w:pPr>
            <w:r>
              <w:rPr>
                <w:rFonts w:ascii="仿宋_GB2312" w:hAnsi="仿宋_GB2312"/>
                <w:sz w:val="24"/>
                <w:szCs w:val="24"/>
              </w:rPr>
              <w:t>3、二级机构2</w:t>
            </w:r>
          </w:p>
        </w:tc>
        <w:tc>
          <w:tcPr>
            <w:tcW w:w="1080" w:type="dxa"/>
            <w:tcBorders>
              <w:top w:val="single" w:color="000000" w:sz="4" w:space="0"/>
              <w:left w:val="nil"/>
              <w:bottom w:val="single" w:color="000000" w:sz="4" w:space="0"/>
              <w:right w:val="single" w:color="auto" w:sz="4" w:space="0"/>
            </w:tcBorders>
            <w:vAlign w:val="center"/>
          </w:tcPr>
          <w:p>
            <w:pPr>
              <w:spacing w:line="320" w:lineRule="exact"/>
              <w:jc w:val="center"/>
              <w:textAlignment w:val="center"/>
              <w:rPr>
                <w:rFonts w:ascii="仿宋_GB2312" w:hAnsi="仿宋_GB2312"/>
                <w:color w:val="000000"/>
                <w:sz w:val="24"/>
                <w:szCs w:val="24"/>
              </w:rPr>
            </w:pPr>
          </w:p>
        </w:tc>
        <w:tc>
          <w:tcPr>
            <w:tcW w:w="1355" w:type="dxa"/>
            <w:gridSpan w:val="2"/>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c>
          <w:tcPr>
            <w:tcW w:w="1080" w:type="dxa"/>
            <w:gridSpan w:val="2"/>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c>
          <w:tcPr>
            <w:tcW w:w="2160" w:type="dxa"/>
            <w:gridSpan w:val="4"/>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c>
          <w:tcPr>
            <w:tcW w:w="2425" w:type="dxa"/>
            <w:gridSpan w:val="5"/>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r>
      <w:tr>
        <w:tblPrEx>
          <w:tblCellMar>
            <w:top w:w="0" w:type="dxa"/>
            <w:left w:w="15" w:type="dxa"/>
            <w:bottom w:w="0" w:type="dxa"/>
            <w:right w:w="15" w:type="dxa"/>
          </w:tblCellMar>
        </w:tblPrEx>
        <w:trPr>
          <w:trHeight w:val="624" w:hRule="atLeast"/>
          <w:jc w:val="center"/>
        </w:trPr>
        <w:tc>
          <w:tcPr>
            <w:tcW w:w="1700" w:type="dxa"/>
            <w:gridSpan w:val="3"/>
            <w:vMerge w:val="restart"/>
            <w:tcBorders>
              <w:top w:val="nil"/>
              <w:left w:val="single" w:color="000000" w:sz="4" w:space="0"/>
              <w:bottom w:val="single" w:color="000000" w:sz="4" w:space="0"/>
              <w:right w:val="single" w:color="000000" w:sz="4" w:space="0"/>
            </w:tcBorders>
            <w:vAlign w:val="center"/>
          </w:tcPr>
          <w:p>
            <w:pPr>
              <w:spacing w:line="320" w:lineRule="exact"/>
              <w:jc w:val="center"/>
              <w:rPr>
                <w:rFonts w:ascii="仿宋_GB2312" w:hAnsi="仿宋_GB2312"/>
                <w:sz w:val="24"/>
                <w:szCs w:val="24"/>
              </w:rPr>
            </w:pPr>
            <w:r>
              <w:rPr>
                <w:rFonts w:ascii="仿宋_GB2312" w:hAnsi="仿宋_GB2312"/>
                <w:sz w:val="24"/>
                <w:szCs w:val="24"/>
              </w:rPr>
              <w:t>机构名称</w:t>
            </w:r>
          </w:p>
        </w:tc>
        <w:tc>
          <w:tcPr>
            <w:tcW w:w="1080" w:type="dxa"/>
            <w:vMerge w:val="restart"/>
            <w:tcBorders>
              <w:top w:val="nil"/>
              <w:left w:val="nil"/>
              <w:bottom w:val="single" w:color="000000" w:sz="4" w:space="0"/>
              <w:right w:val="single" w:color="auto"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固定资产</w:t>
            </w:r>
          </w:p>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合计</w:t>
            </w:r>
          </w:p>
        </w:tc>
        <w:tc>
          <w:tcPr>
            <w:tcW w:w="6079" w:type="dxa"/>
            <w:gridSpan w:val="11"/>
            <w:tcBorders>
              <w:top w:val="single" w:color="000000" w:sz="4" w:space="0"/>
              <w:left w:val="nil"/>
              <w:bottom w:val="single" w:color="000000" w:sz="4" w:space="0"/>
              <w:right w:val="single" w:color="auto"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其中：</w:t>
            </w:r>
          </w:p>
        </w:tc>
        <w:tc>
          <w:tcPr>
            <w:tcW w:w="941" w:type="dxa"/>
            <w:gridSpan w:val="2"/>
            <w:vMerge w:val="restart"/>
            <w:tcBorders>
              <w:top w:val="nil"/>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其他</w:t>
            </w:r>
          </w:p>
        </w:tc>
      </w:tr>
      <w:tr>
        <w:tblPrEx>
          <w:tblCellMar>
            <w:top w:w="0" w:type="dxa"/>
            <w:left w:w="15" w:type="dxa"/>
            <w:bottom w:w="0" w:type="dxa"/>
            <w:right w:w="15" w:type="dxa"/>
          </w:tblCellMar>
        </w:tblPrEx>
        <w:trPr>
          <w:trHeight w:val="624" w:hRule="atLeast"/>
          <w:jc w:val="center"/>
        </w:trPr>
        <w:tc>
          <w:tcPr>
            <w:tcW w:w="1700" w:type="dxa"/>
            <w:gridSpan w:val="3"/>
            <w:vMerge w:val="continue"/>
            <w:tcBorders>
              <w:top w:val="nil"/>
              <w:left w:val="single" w:color="000000" w:sz="4" w:space="0"/>
              <w:bottom w:val="single" w:color="000000" w:sz="4" w:space="0"/>
              <w:right w:val="single" w:color="000000" w:sz="4" w:space="0"/>
            </w:tcBorders>
            <w:vAlign w:val="center"/>
          </w:tcPr>
          <w:p>
            <w:pPr>
              <w:widowControl/>
              <w:jc w:val="left"/>
              <w:rPr>
                <w:rFonts w:ascii="仿宋_GB2312" w:hAnsi="仿宋_GB2312"/>
                <w:sz w:val="24"/>
                <w:szCs w:val="24"/>
              </w:rPr>
            </w:pPr>
          </w:p>
        </w:tc>
        <w:tc>
          <w:tcPr>
            <w:tcW w:w="1080" w:type="dxa"/>
            <w:vMerge w:val="continue"/>
            <w:tcBorders>
              <w:top w:val="nil"/>
              <w:left w:val="nil"/>
              <w:bottom w:val="single" w:color="000000" w:sz="4" w:space="0"/>
              <w:right w:val="single" w:color="auto" w:sz="4" w:space="0"/>
            </w:tcBorders>
            <w:vAlign w:val="center"/>
          </w:tcPr>
          <w:p>
            <w:pPr>
              <w:widowControl/>
              <w:jc w:val="left"/>
              <w:rPr>
                <w:rFonts w:ascii="仿宋_GB2312" w:hAnsi="仿宋_GB2312"/>
                <w:color w:val="000000"/>
                <w:sz w:val="24"/>
                <w:szCs w:val="24"/>
              </w:rPr>
            </w:pPr>
          </w:p>
        </w:tc>
        <w:tc>
          <w:tcPr>
            <w:tcW w:w="2435" w:type="dxa"/>
            <w:gridSpan w:val="4"/>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在用固定资产</w:t>
            </w:r>
          </w:p>
        </w:tc>
        <w:tc>
          <w:tcPr>
            <w:tcW w:w="3644" w:type="dxa"/>
            <w:gridSpan w:val="7"/>
            <w:tcBorders>
              <w:top w:val="single" w:color="000000" w:sz="4" w:space="0"/>
              <w:left w:val="nil"/>
              <w:bottom w:val="single" w:color="000000" w:sz="4" w:space="0"/>
              <w:right w:val="single" w:color="auto"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出租固定资产</w:t>
            </w:r>
          </w:p>
        </w:tc>
        <w:tc>
          <w:tcPr>
            <w:tcW w:w="941" w:type="dxa"/>
            <w:gridSpan w:val="2"/>
            <w:tcBorders>
              <w:top w:val="nil"/>
              <w:left w:val="nil"/>
              <w:bottom w:val="single" w:color="000000" w:sz="4" w:space="0"/>
              <w:right w:val="single" w:color="000000" w:sz="4" w:space="0"/>
            </w:tcBorders>
            <w:vAlign w:val="center"/>
          </w:tcPr>
          <w:p>
            <w:pPr>
              <w:widowControl/>
              <w:jc w:val="left"/>
              <w:rPr>
                <w:rFonts w:ascii="仿宋_GB2312" w:hAnsi="仿宋_GB2312"/>
                <w:color w:val="000000"/>
                <w:sz w:val="24"/>
                <w:szCs w:val="24"/>
              </w:rPr>
            </w:pPr>
          </w:p>
        </w:tc>
      </w:tr>
      <w:tr>
        <w:tblPrEx>
          <w:tblCellMar>
            <w:top w:w="0" w:type="dxa"/>
            <w:left w:w="15" w:type="dxa"/>
            <w:bottom w:w="0" w:type="dxa"/>
            <w:right w:w="15" w:type="dxa"/>
          </w:tblCellMar>
        </w:tblPrEx>
        <w:trPr>
          <w:trHeight w:val="855" w:hRule="atLeast"/>
          <w:jc w:val="center"/>
        </w:trPr>
        <w:tc>
          <w:tcPr>
            <w:tcW w:w="1700" w:type="dxa"/>
            <w:gridSpan w:val="3"/>
            <w:tcBorders>
              <w:top w:val="single" w:color="000000" w:sz="4" w:space="0"/>
              <w:left w:val="single" w:color="000000" w:sz="4" w:space="0"/>
              <w:bottom w:val="single" w:color="000000" w:sz="4" w:space="0"/>
              <w:right w:val="single" w:color="000000" w:sz="4" w:space="0"/>
            </w:tcBorders>
            <w:vAlign w:val="center"/>
          </w:tcPr>
          <w:p>
            <w:pPr>
              <w:spacing w:line="320" w:lineRule="exact"/>
              <w:jc w:val="left"/>
              <w:rPr>
                <w:rFonts w:ascii="仿宋_GB2312" w:hAnsi="仿宋_GB2312"/>
                <w:sz w:val="24"/>
                <w:szCs w:val="24"/>
              </w:rPr>
            </w:pPr>
            <w:r>
              <w:rPr>
                <w:rFonts w:ascii="仿宋_GB2312" w:hAnsi="仿宋_GB2312"/>
                <w:color w:val="000000"/>
                <w:sz w:val="24"/>
                <w:szCs w:val="24"/>
              </w:rPr>
              <w:t>局机关及二级机构汇总</w:t>
            </w:r>
          </w:p>
        </w:tc>
        <w:tc>
          <w:tcPr>
            <w:tcW w:w="1080" w:type="dxa"/>
            <w:tcBorders>
              <w:top w:val="single" w:color="000000" w:sz="4" w:space="0"/>
              <w:left w:val="nil"/>
              <w:bottom w:val="single" w:color="000000" w:sz="4" w:space="0"/>
              <w:right w:val="single" w:color="auto" w:sz="4" w:space="0"/>
            </w:tcBorders>
            <w:vAlign w:val="center"/>
          </w:tcPr>
          <w:p>
            <w:pPr>
              <w:spacing w:line="320" w:lineRule="exact"/>
              <w:jc w:val="center"/>
              <w:textAlignment w:val="center"/>
              <w:rPr>
                <w:rFonts w:hint="default" w:ascii="仿宋_GB2312" w:hAnsi="仿宋_GB2312" w:eastAsia="宋体"/>
                <w:color w:val="000000"/>
                <w:sz w:val="24"/>
                <w:szCs w:val="24"/>
                <w:lang w:val="en-US" w:eastAsia="zh-CN"/>
              </w:rPr>
            </w:pPr>
            <w:r>
              <w:rPr>
                <w:rFonts w:hint="eastAsia" w:ascii="仿宋_GB2312" w:hAnsi="仿宋_GB2312"/>
                <w:color w:val="000000"/>
                <w:sz w:val="24"/>
                <w:szCs w:val="24"/>
                <w:lang w:val="en-US" w:eastAsia="zh-CN"/>
              </w:rPr>
              <w:t>777.6</w:t>
            </w:r>
          </w:p>
        </w:tc>
        <w:tc>
          <w:tcPr>
            <w:tcW w:w="2435" w:type="dxa"/>
            <w:gridSpan w:val="4"/>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hint="default" w:ascii="仿宋_GB2312" w:hAnsi="仿宋_GB2312" w:eastAsia="宋体"/>
                <w:color w:val="000000"/>
                <w:sz w:val="24"/>
                <w:szCs w:val="24"/>
                <w:lang w:val="en-US" w:eastAsia="zh-CN"/>
              </w:rPr>
            </w:pPr>
            <w:r>
              <w:rPr>
                <w:rFonts w:hint="eastAsia" w:ascii="仿宋_GB2312" w:hAnsi="仿宋_GB2312"/>
                <w:color w:val="000000"/>
                <w:sz w:val="24"/>
                <w:szCs w:val="24"/>
                <w:lang w:val="en-US" w:eastAsia="zh-CN"/>
              </w:rPr>
              <w:t>777.6</w:t>
            </w:r>
          </w:p>
        </w:tc>
        <w:tc>
          <w:tcPr>
            <w:tcW w:w="3644" w:type="dxa"/>
            <w:gridSpan w:val="7"/>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c>
          <w:tcPr>
            <w:tcW w:w="941" w:type="dxa"/>
            <w:gridSpan w:val="2"/>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r>
      <w:tr>
        <w:tblPrEx>
          <w:tblCellMar>
            <w:top w:w="0" w:type="dxa"/>
            <w:left w:w="15" w:type="dxa"/>
            <w:bottom w:w="0" w:type="dxa"/>
            <w:right w:w="15" w:type="dxa"/>
          </w:tblCellMar>
        </w:tblPrEx>
        <w:trPr>
          <w:trHeight w:val="624" w:hRule="atLeast"/>
          <w:jc w:val="center"/>
        </w:trPr>
        <w:tc>
          <w:tcPr>
            <w:tcW w:w="1700" w:type="dxa"/>
            <w:gridSpan w:val="3"/>
            <w:tcBorders>
              <w:top w:val="single" w:color="000000" w:sz="4" w:space="0"/>
              <w:left w:val="single" w:color="000000" w:sz="4" w:space="0"/>
              <w:bottom w:val="single" w:color="000000" w:sz="4" w:space="0"/>
              <w:right w:val="single" w:color="000000" w:sz="4" w:space="0"/>
            </w:tcBorders>
            <w:vAlign w:val="center"/>
          </w:tcPr>
          <w:p>
            <w:pPr>
              <w:spacing w:line="320" w:lineRule="exact"/>
              <w:jc w:val="left"/>
              <w:rPr>
                <w:rFonts w:ascii="仿宋_GB2312" w:hAnsi="仿宋_GB2312"/>
                <w:sz w:val="24"/>
                <w:szCs w:val="24"/>
              </w:rPr>
            </w:pPr>
            <w:r>
              <w:rPr>
                <w:rFonts w:ascii="仿宋_GB2312" w:hAnsi="仿宋_GB2312"/>
                <w:sz w:val="24"/>
                <w:szCs w:val="24"/>
              </w:rPr>
              <w:t>1、局机关</w:t>
            </w:r>
          </w:p>
        </w:tc>
        <w:tc>
          <w:tcPr>
            <w:tcW w:w="1080" w:type="dxa"/>
            <w:tcBorders>
              <w:top w:val="single" w:color="000000" w:sz="4" w:space="0"/>
              <w:left w:val="nil"/>
              <w:bottom w:val="single" w:color="000000" w:sz="4" w:space="0"/>
              <w:right w:val="single" w:color="auto" w:sz="4" w:space="0"/>
            </w:tcBorders>
            <w:vAlign w:val="center"/>
          </w:tcPr>
          <w:p>
            <w:pPr>
              <w:spacing w:line="320" w:lineRule="exact"/>
              <w:jc w:val="center"/>
              <w:textAlignment w:val="center"/>
              <w:rPr>
                <w:rFonts w:hint="default" w:ascii="仿宋_GB2312" w:hAnsi="仿宋_GB2312"/>
                <w:color w:val="000000"/>
                <w:sz w:val="24"/>
                <w:szCs w:val="24"/>
                <w:lang w:val="en-US"/>
              </w:rPr>
            </w:pPr>
            <w:r>
              <w:rPr>
                <w:rFonts w:hint="eastAsia" w:ascii="仿宋_GB2312" w:hAnsi="仿宋_GB2312"/>
                <w:color w:val="000000"/>
                <w:sz w:val="24"/>
                <w:szCs w:val="24"/>
                <w:lang w:val="en-US" w:eastAsia="zh-CN"/>
              </w:rPr>
              <w:t>777.6</w:t>
            </w:r>
          </w:p>
        </w:tc>
        <w:tc>
          <w:tcPr>
            <w:tcW w:w="2435" w:type="dxa"/>
            <w:gridSpan w:val="4"/>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hint="default" w:ascii="仿宋_GB2312" w:hAnsi="仿宋_GB2312"/>
                <w:color w:val="000000"/>
                <w:sz w:val="24"/>
                <w:szCs w:val="24"/>
                <w:lang w:val="en-US"/>
              </w:rPr>
            </w:pPr>
            <w:r>
              <w:rPr>
                <w:rFonts w:hint="eastAsia" w:ascii="仿宋_GB2312" w:hAnsi="仿宋_GB2312"/>
                <w:color w:val="000000"/>
                <w:sz w:val="24"/>
                <w:szCs w:val="24"/>
                <w:lang w:val="en-US" w:eastAsia="zh-CN"/>
              </w:rPr>
              <w:t>777.6</w:t>
            </w:r>
          </w:p>
        </w:tc>
        <w:tc>
          <w:tcPr>
            <w:tcW w:w="3644" w:type="dxa"/>
            <w:gridSpan w:val="7"/>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c>
          <w:tcPr>
            <w:tcW w:w="941" w:type="dxa"/>
            <w:gridSpan w:val="2"/>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r>
      <w:tr>
        <w:tblPrEx>
          <w:tblCellMar>
            <w:top w:w="0" w:type="dxa"/>
            <w:left w:w="15" w:type="dxa"/>
            <w:bottom w:w="0" w:type="dxa"/>
            <w:right w:w="15" w:type="dxa"/>
          </w:tblCellMar>
        </w:tblPrEx>
        <w:trPr>
          <w:trHeight w:val="624" w:hRule="atLeast"/>
          <w:jc w:val="center"/>
        </w:trPr>
        <w:tc>
          <w:tcPr>
            <w:tcW w:w="1700" w:type="dxa"/>
            <w:gridSpan w:val="3"/>
            <w:tcBorders>
              <w:top w:val="single" w:color="000000" w:sz="4" w:space="0"/>
              <w:left w:val="single" w:color="000000" w:sz="4" w:space="0"/>
              <w:bottom w:val="single" w:color="000000" w:sz="4" w:space="0"/>
              <w:right w:val="single" w:color="000000" w:sz="4" w:space="0"/>
            </w:tcBorders>
            <w:vAlign w:val="center"/>
          </w:tcPr>
          <w:p>
            <w:pPr>
              <w:spacing w:line="320" w:lineRule="exact"/>
              <w:jc w:val="left"/>
              <w:rPr>
                <w:rFonts w:ascii="仿宋_GB2312" w:hAnsi="仿宋_GB2312"/>
                <w:sz w:val="24"/>
                <w:szCs w:val="24"/>
              </w:rPr>
            </w:pPr>
            <w:r>
              <w:rPr>
                <w:rFonts w:ascii="仿宋_GB2312" w:hAnsi="仿宋_GB2312"/>
                <w:sz w:val="24"/>
                <w:szCs w:val="24"/>
              </w:rPr>
              <w:t>2、二级机构1</w:t>
            </w:r>
          </w:p>
        </w:tc>
        <w:tc>
          <w:tcPr>
            <w:tcW w:w="1080" w:type="dxa"/>
            <w:tcBorders>
              <w:top w:val="single" w:color="000000" w:sz="4" w:space="0"/>
              <w:left w:val="nil"/>
              <w:bottom w:val="single" w:color="000000" w:sz="4" w:space="0"/>
              <w:right w:val="single" w:color="auto" w:sz="4" w:space="0"/>
            </w:tcBorders>
            <w:vAlign w:val="center"/>
          </w:tcPr>
          <w:p>
            <w:pPr>
              <w:spacing w:line="320" w:lineRule="exact"/>
              <w:jc w:val="center"/>
              <w:textAlignment w:val="center"/>
              <w:rPr>
                <w:rFonts w:ascii="仿宋_GB2312" w:hAnsi="仿宋_GB2312"/>
                <w:color w:val="000000"/>
                <w:sz w:val="24"/>
                <w:szCs w:val="24"/>
              </w:rPr>
            </w:pPr>
          </w:p>
        </w:tc>
        <w:tc>
          <w:tcPr>
            <w:tcW w:w="2435" w:type="dxa"/>
            <w:gridSpan w:val="4"/>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c>
          <w:tcPr>
            <w:tcW w:w="3644" w:type="dxa"/>
            <w:gridSpan w:val="7"/>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c>
          <w:tcPr>
            <w:tcW w:w="941" w:type="dxa"/>
            <w:gridSpan w:val="2"/>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r>
      <w:tr>
        <w:tblPrEx>
          <w:tblCellMar>
            <w:top w:w="0" w:type="dxa"/>
            <w:left w:w="15" w:type="dxa"/>
            <w:bottom w:w="0" w:type="dxa"/>
            <w:right w:w="15" w:type="dxa"/>
          </w:tblCellMar>
        </w:tblPrEx>
        <w:trPr>
          <w:trHeight w:val="624" w:hRule="atLeast"/>
          <w:jc w:val="center"/>
        </w:trPr>
        <w:tc>
          <w:tcPr>
            <w:tcW w:w="1700" w:type="dxa"/>
            <w:gridSpan w:val="3"/>
            <w:tcBorders>
              <w:top w:val="single" w:color="000000" w:sz="4" w:space="0"/>
              <w:left w:val="single" w:color="000000" w:sz="4" w:space="0"/>
              <w:bottom w:val="single" w:color="000000" w:sz="4" w:space="0"/>
              <w:right w:val="single" w:color="000000" w:sz="4" w:space="0"/>
            </w:tcBorders>
            <w:vAlign w:val="center"/>
          </w:tcPr>
          <w:p>
            <w:pPr>
              <w:spacing w:line="320" w:lineRule="exact"/>
              <w:jc w:val="left"/>
              <w:rPr>
                <w:rFonts w:ascii="仿宋_GB2312" w:hAnsi="仿宋_GB2312"/>
                <w:sz w:val="24"/>
                <w:szCs w:val="24"/>
              </w:rPr>
            </w:pPr>
            <w:r>
              <w:rPr>
                <w:rFonts w:ascii="仿宋_GB2312" w:hAnsi="仿宋_GB2312"/>
                <w:sz w:val="24"/>
                <w:szCs w:val="24"/>
              </w:rPr>
              <w:t>3、二级机构2</w:t>
            </w:r>
          </w:p>
        </w:tc>
        <w:tc>
          <w:tcPr>
            <w:tcW w:w="1080" w:type="dxa"/>
            <w:tcBorders>
              <w:top w:val="single" w:color="000000" w:sz="4" w:space="0"/>
              <w:left w:val="nil"/>
              <w:bottom w:val="single" w:color="000000" w:sz="4" w:space="0"/>
              <w:right w:val="single" w:color="auto" w:sz="4" w:space="0"/>
            </w:tcBorders>
            <w:vAlign w:val="center"/>
          </w:tcPr>
          <w:p>
            <w:pPr>
              <w:spacing w:line="320" w:lineRule="exact"/>
              <w:jc w:val="center"/>
              <w:textAlignment w:val="center"/>
              <w:rPr>
                <w:rFonts w:ascii="仿宋_GB2312" w:hAnsi="仿宋_GB2312"/>
                <w:color w:val="000000"/>
                <w:sz w:val="24"/>
                <w:szCs w:val="24"/>
              </w:rPr>
            </w:pPr>
          </w:p>
        </w:tc>
        <w:tc>
          <w:tcPr>
            <w:tcW w:w="2435" w:type="dxa"/>
            <w:gridSpan w:val="4"/>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c>
          <w:tcPr>
            <w:tcW w:w="3644" w:type="dxa"/>
            <w:gridSpan w:val="7"/>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c>
          <w:tcPr>
            <w:tcW w:w="941" w:type="dxa"/>
            <w:gridSpan w:val="2"/>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r>
      <w:tr>
        <w:tblPrEx>
          <w:tblCellMar>
            <w:top w:w="0" w:type="dxa"/>
            <w:left w:w="15" w:type="dxa"/>
            <w:bottom w:w="0" w:type="dxa"/>
            <w:right w:w="15" w:type="dxa"/>
          </w:tblCellMar>
        </w:tblPrEx>
        <w:trPr>
          <w:trHeight w:val="567" w:hRule="atLeast"/>
          <w:jc w:val="center"/>
        </w:trPr>
        <w:tc>
          <w:tcPr>
            <w:tcW w:w="9800" w:type="dxa"/>
            <w:gridSpan w:val="17"/>
            <w:tcBorders>
              <w:top w:val="single" w:color="000000" w:sz="4" w:space="0"/>
              <w:left w:val="single" w:color="000000" w:sz="4" w:space="0"/>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hint="eastAsia" w:ascii="黑体" w:hAnsi="黑体" w:eastAsia="黑体"/>
                <w:color w:val="000000"/>
                <w:sz w:val="28"/>
                <w:szCs w:val="28"/>
              </w:rPr>
              <w:t>三、部门（单位）整体支出绩效自评情况</w:t>
            </w:r>
          </w:p>
        </w:tc>
      </w:tr>
      <w:tr>
        <w:tblPrEx>
          <w:tblCellMar>
            <w:top w:w="0" w:type="dxa"/>
            <w:left w:w="15" w:type="dxa"/>
            <w:bottom w:w="0" w:type="dxa"/>
            <w:right w:w="15" w:type="dxa"/>
          </w:tblCellMar>
        </w:tblPrEx>
        <w:trPr>
          <w:trHeight w:val="567" w:hRule="atLeast"/>
          <w:jc w:val="center"/>
        </w:trPr>
        <w:tc>
          <w:tcPr>
            <w:tcW w:w="1441" w:type="dxa"/>
            <w:vMerge w:val="restart"/>
            <w:tcBorders>
              <w:top w:val="nil"/>
              <w:left w:val="single" w:color="000000" w:sz="4" w:space="0"/>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整体支出绩效定性目标及实施计划完成情况</w:t>
            </w:r>
          </w:p>
        </w:tc>
        <w:tc>
          <w:tcPr>
            <w:tcW w:w="3774" w:type="dxa"/>
            <w:gridSpan w:val="7"/>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预期目标</w:t>
            </w:r>
          </w:p>
        </w:tc>
        <w:tc>
          <w:tcPr>
            <w:tcW w:w="4585" w:type="dxa"/>
            <w:gridSpan w:val="9"/>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实际完成</w:t>
            </w:r>
          </w:p>
        </w:tc>
      </w:tr>
      <w:tr>
        <w:tblPrEx>
          <w:tblCellMar>
            <w:top w:w="0" w:type="dxa"/>
            <w:left w:w="15" w:type="dxa"/>
            <w:bottom w:w="0" w:type="dxa"/>
            <w:right w:w="15" w:type="dxa"/>
          </w:tblCellMar>
        </w:tblPrEx>
        <w:trPr>
          <w:trHeight w:val="1172" w:hRule="atLeast"/>
          <w:jc w:val="center"/>
        </w:trPr>
        <w:tc>
          <w:tcPr>
            <w:tcW w:w="1441" w:type="dxa"/>
            <w:vMerge w:val="continue"/>
            <w:tcBorders>
              <w:top w:val="nil"/>
              <w:left w:val="single" w:color="000000" w:sz="4" w:space="0"/>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3774" w:type="dxa"/>
            <w:gridSpan w:val="7"/>
            <w:tcBorders>
              <w:top w:val="single" w:color="000000" w:sz="4" w:space="0"/>
              <w:left w:val="nil"/>
              <w:bottom w:val="single" w:color="000000" w:sz="4" w:space="0"/>
              <w:right w:val="single" w:color="000000" w:sz="4" w:space="0"/>
            </w:tcBorders>
            <w:vAlign w:val="center"/>
          </w:tcPr>
          <w:p>
            <w:pPr>
              <w:autoSpaceDN w:val="0"/>
              <w:spacing w:line="340" w:lineRule="exact"/>
              <w:ind w:left="819" w:hanging="840" w:hangingChars="350"/>
              <w:jc w:val="left"/>
              <w:textAlignment w:val="center"/>
              <w:rPr>
                <w:rFonts w:hint="eastAsia" w:ascii="仿宋_GB2312" w:eastAsia="仿宋_GB2312"/>
                <w:szCs w:val="21"/>
              </w:rPr>
            </w:pPr>
            <w:r>
              <w:rPr>
                <w:rFonts w:hint="eastAsia" w:ascii="仿宋_GB2312" w:hAnsi="仿宋_GB2312" w:eastAsia="仿宋_GB2312" w:cs="仿宋_GB2312"/>
                <w:color w:val="000000"/>
                <w:sz w:val="24"/>
              </w:rPr>
              <w:t>目标1：</w:t>
            </w:r>
            <w:r>
              <w:rPr>
                <w:rFonts w:hint="eastAsia" w:ascii="仿宋_GB2312" w:eastAsia="仿宋_GB2312"/>
                <w:szCs w:val="21"/>
              </w:rPr>
              <w:t>积极组织财政收入，强化预算执行管理。</w:t>
            </w:r>
          </w:p>
          <w:p>
            <w:pPr>
              <w:autoSpaceDN w:val="0"/>
              <w:spacing w:line="340" w:lineRule="exact"/>
              <w:ind w:left="819" w:hanging="840" w:hangingChars="350"/>
              <w:jc w:val="left"/>
              <w:textAlignment w:val="center"/>
              <w:rPr>
                <w:rFonts w:hint="eastAsia" w:ascii="仿宋_GB2312" w:hAnsi="仿宋_GB2312" w:eastAsia="仿宋_GB2312" w:cs="仿宋_GB2312"/>
                <w:b/>
                <w:color w:val="000000"/>
                <w:szCs w:val="21"/>
              </w:rPr>
            </w:pPr>
            <w:r>
              <w:rPr>
                <w:rFonts w:hint="eastAsia" w:ascii="仿宋_GB2312" w:hAnsi="仿宋_GB2312" w:eastAsia="仿宋_GB2312" w:cs="仿宋_GB2312"/>
                <w:color w:val="000000"/>
                <w:sz w:val="24"/>
              </w:rPr>
              <w:t>目标2：优化支出结构，着力保障改善民生。</w:t>
            </w:r>
          </w:p>
          <w:p>
            <w:pPr>
              <w:autoSpaceDN w:val="0"/>
              <w:spacing w:line="340" w:lineRule="exact"/>
              <w:ind w:left="840" w:leftChars="0" w:hanging="840" w:hangingChars="400"/>
              <w:jc w:val="left"/>
              <w:textAlignment w:val="center"/>
              <w:rPr>
                <w:rFonts w:ascii="仿宋_GB2312" w:hAnsi="仿宋_GB2312"/>
                <w:color w:val="000000"/>
                <w:sz w:val="24"/>
                <w:szCs w:val="24"/>
              </w:rPr>
            </w:pPr>
            <w:r>
              <w:rPr>
                <w:rFonts w:hint="eastAsia" w:ascii="仿宋_GB2312" w:hAnsi="仿宋_GB2312" w:eastAsia="仿宋_GB2312" w:cs="仿宋_GB2312"/>
                <w:color w:val="000000"/>
                <w:szCs w:val="21"/>
              </w:rPr>
              <w:t>目标</w:t>
            </w:r>
            <w:r>
              <w:rPr>
                <w:rFonts w:hint="eastAsia" w:ascii="仿宋_GB2312" w:hAnsi="仿宋_GB2312" w:eastAsia="仿宋_GB2312" w:cs="仿宋_GB2312"/>
                <w:color w:val="000000"/>
                <w:sz w:val="24"/>
              </w:rPr>
              <w:t>3：</w:t>
            </w:r>
            <w:r>
              <w:rPr>
                <w:rFonts w:hint="eastAsia" w:ascii="仿宋_GB2312" w:eastAsia="仿宋_GB2312"/>
                <w:szCs w:val="21"/>
              </w:rPr>
              <w:t>深化财政管理改革，加强财政监督管理。</w:t>
            </w:r>
          </w:p>
        </w:tc>
        <w:tc>
          <w:tcPr>
            <w:tcW w:w="4585" w:type="dxa"/>
            <w:gridSpan w:val="9"/>
            <w:tcBorders>
              <w:top w:val="single" w:color="000000" w:sz="4" w:space="0"/>
              <w:left w:val="nil"/>
              <w:bottom w:val="single" w:color="000000" w:sz="4" w:space="0"/>
              <w:right w:val="single" w:color="000000" w:sz="4" w:space="0"/>
            </w:tcBorders>
            <w:vAlign w:val="center"/>
          </w:tcPr>
          <w:p>
            <w:pPr>
              <w:numPr>
                <w:ilvl w:val="0"/>
                <w:numId w:val="1"/>
              </w:numPr>
              <w:autoSpaceDN w:val="0"/>
              <w:spacing w:line="400" w:lineRule="exact"/>
              <w:ind w:left="0" w:firstLine="0"/>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财政收入提质增长；</w:t>
            </w:r>
          </w:p>
          <w:p>
            <w:pPr>
              <w:numPr>
                <w:ilvl w:val="0"/>
                <w:numId w:val="1"/>
              </w:numPr>
              <w:autoSpaceDN w:val="0"/>
              <w:spacing w:line="400" w:lineRule="exac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服务发展成绩显著；</w:t>
            </w:r>
          </w:p>
          <w:p>
            <w:pPr>
              <w:numPr>
                <w:ilvl w:val="0"/>
                <w:numId w:val="1"/>
              </w:numPr>
              <w:autoSpaceDN w:val="0"/>
              <w:spacing w:line="400" w:lineRule="exac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社会事业全面进步；</w:t>
            </w:r>
          </w:p>
          <w:p>
            <w:pPr>
              <w:numPr>
                <w:ilvl w:val="0"/>
                <w:numId w:val="1"/>
              </w:numPr>
              <w:autoSpaceDN w:val="0"/>
              <w:spacing w:line="400" w:lineRule="exact"/>
              <w:ind w:left="720" w:leftChars="0" w:hanging="720" w:firstLineChars="0"/>
              <w:textAlignment w:val="center"/>
              <w:rPr>
                <w:rFonts w:ascii="仿宋_GB2312" w:hAnsi="仿宋_GB2312"/>
                <w:color w:val="000000"/>
                <w:sz w:val="24"/>
                <w:szCs w:val="24"/>
              </w:rPr>
            </w:pPr>
            <w:r>
              <w:rPr>
                <w:rFonts w:hint="eastAsia" w:ascii="仿宋_GB2312" w:hAnsi="仿宋_GB2312" w:eastAsia="仿宋_GB2312" w:cs="仿宋_GB2312"/>
                <w:color w:val="000000"/>
                <w:sz w:val="24"/>
              </w:rPr>
              <w:t>改革管理有序推进。</w:t>
            </w:r>
          </w:p>
        </w:tc>
      </w:tr>
      <w:tr>
        <w:tblPrEx>
          <w:tblCellMar>
            <w:top w:w="0" w:type="dxa"/>
            <w:left w:w="15" w:type="dxa"/>
            <w:bottom w:w="0" w:type="dxa"/>
            <w:right w:w="15" w:type="dxa"/>
          </w:tblCellMar>
        </w:tblPrEx>
        <w:trPr>
          <w:trHeight w:val="567" w:hRule="atLeast"/>
          <w:jc w:val="center"/>
        </w:trPr>
        <w:tc>
          <w:tcPr>
            <w:tcW w:w="1441" w:type="dxa"/>
            <w:vMerge w:val="restart"/>
            <w:tcBorders>
              <w:top w:val="nil"/>
              <w:left w:val="single" w:color="000000" w:sz="4" w:space="0"/>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整体支出</w:t>
            </w:r>
          </w:p>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绩效定量目标及实施计划完成情况</w:t>
            </w:r>
          </w:p>
        </w:tc>
        <w:tc>
          <w:tcPr>
            <w:tcW w:w="2966" w:type="dxa"/>
            <w:gridSpan w:val="6"/>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评价内容</w:t>
            </w:r>
          </w:p>
        </w:tc>
        <w:tc>
          <w:tcPr>
            <w:tcW w:w="2709" w:type="dxa"/>
            <w:gridSpan w:val="4"/>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绩效目标</w:t>
            </w:r>
          </w:p>
        </w:tc>
        <w:tc>
          <w:tcPr>
            <w:tcW w:w="2684" w:type="dxa"/>
            <w:gridSpan w:val="6"/>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完成情况</w:t>
            </w:r>
          </w:p>
        </w:tc>
      </w:tr>
      <w:tr>
        <w:tblPrEx>
          <w:tblCellMar>
            <w:top w:w="0" w:type="dxa"/>
            <w:left w:w="15" w:type="dxa"/>
            <w:bottom w:w="0" w:type="dxa"/>
            <w:right w:w="15" w:type="dxa"/>
          </w:tblCellMar>
        </w:tblPrEx>
        <w:trPr>
          <w:trHeight w:val="454" w:hRule="atLeast"/>
          <w:jc w:val="center"/>
        </w:trPr>
        <w:tc>
          <w:tcPr>
            <w:tcW w:w="1441" w:type="dxa"/>
            <w:vMerge w:val="continue"/>
            <w:tcBorders>
              <w:top w:val="nil"/>
              <w:left w:val="single" w:color="000000" w:sz="4" w:space="0"/>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1549" w:type="dxa"/>
            <w:gridSpan w:val="4"/>
            <w:vMerge w:val="restart"/>
            <w:tcBorders>
              <w:top w:val="nil"/>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产出目标</w:t>
            </w:r>
          </w:p>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（部门工作实绩，包含上级部门和</w:t>
            </w:r>
            <w:r>
              <w:rPr>
                <w:rFonts w:hint="eastAsia" w:ascii="仿宋_GB2312" w:hAnsi="仿宋_GB2312"/>
                <w:color w:val="000000"/>
                <w:sz w:val="24"/>
                <w:szCs w:val="24"/>
                <w:lang w:eastAsia="zh-CN"/>
              </w:rPr>
              <w:t>县</w:t>
            </w:r>
            <w:r>
              <w:rPr>
                <w:rFonts w:ascii="仿宋_GB2312" w:hAnsi="仿宋_GB2312"/>
                <w:color w:val="000000"/>
                <w:sz w:val="24"/>
                <w:szCs w:val="24"/>
              </w:rPr>
              <w:t>委</w:t>
            </w:r>
            <w:r>
              <w:rPr>
                <w:rFonts w:hint="eastAsia" w:ascii="仿宋_GB2312" w:hAnsi="仿宋_GB2312"/>
                <w:color w:val="000000"/>
                <w:sz w:val="24"/>
                <w:szCs w:val="24"/>
                <w:lang w:eastAsia="zh-CN"/>
              </w:rPr>
              <w:t>县</w:t>
            </w:r>
            <w:r>
              <w:rPr>
                <w:rFonts w:ascii="仿宋_GB2312" w:hAnsi="仿宋_GB2312"/>
                <w:color w:val="000000"/>
                <w:sz w:val="24"/>
                <w:szCs w:val="24"/>
              </w:rPr>
              <w:t>政府布置的重点工作、实事任务等，根据部门实际进行调整细化）</w:t>
            </w:r>
          </w:p>
        </w:tc>
        <w:tc>
          <w:tcPr>
            <w:tcW w:w="1417" w:type="dxa"/>
            <w:gridSpan w:val="2"/>
            <w:vMerge w:val="restart"/>
            <w:tcBorders>
              <w:top w:val="nil"/>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质量指标</w:t>
            </w:r>
          </w:p>
        </w:tc>
        <w:tc>
          <w:tcPr>
            <w:tcW w:w="2709" w:type="dxa"/>
            <w:gridSpan w:val="4"/>
            <w:tcBorders>
              <w:top w:val="single" w:color="000000" w:sz="4" w:space="0"/>
              <w:left w:val="nil"/>
              <w:bottom w:val="single" w:color="000000" w:sz="4" w:space="0"/>
              <w:right w:val="single" w:color="000000" w:sz="4" w:space="0"/>
            </w:tcBorders>
            <w:vAlign w:val="center"/>
          </w:tcPr>
          <w:p>
            <w:pPr>
              <w:autoSpaceDN w:val="0"/>
              <w:spacing w:line="340" w:lineRule="exact"/>
              <w:ind w:left="-13" w:leftChars="-6" w:firstLine="12" w:firstLineChars="5"/>
              <w:jc w:val="left"/>
              <w:textAlignment w:val="center"/>
              <w:rPr>
                <w:rFonts w:hint="eastAsia" w:ascii="仿宋_GB2312" w:eastAsia="仿宋_GB2312"/>
                <w:szCs w:val="21"/>
              </w:rPr>
            </w:pPr>
            <w:r>
              <w:rPr>
                <w:rFonts w:hint="eastAsia" w:ascii="仿宋_GB2312" w:hAnsi="仿宋_GB2312" w:eastAsia="仿宋_GB2312" w:cs="仿宋_GB2312"/>
                <w:color w:val="000000"/>
                <w:sz w:val="24"/>
              </w:rPr>
              <w:t>指标1：财政收入提质增长。</w:t>
            </w:r>
          </w:p>
          <w:p>
            <w:pPr>
              <w:rPr>
                <w:rFonts w:ascii="仿宋_GB2312" w:hAnsi="仿宋_GB2312"/>
                <w:color w:val="000000"/>
                <w:sz w:val="24"/>
                <w:szCs w:val="24"/>
              </w:rPr>
            </w:pPr>
          </w:p>
        </w:tc>
        <w:tc>
          <w:tcPr>
            <w:tcW w:w="2684" w:type="dxa"/>
            <w:gridSpan w:val="6"/>
            <w:tcBorders>
              <w:top w:val="single" w:color="000000" w:sz="4" w:space="0"/>
              <w:left w:val="nil"/>
              <w:bottom w:val="single" w:color="000000" w:sz="4" w:space="0"/>
              <w:right w:val="single" w:color="000000" w:sz="4" w:space="0"/>
            </w:tcBorders>
            <w:vAlign w:val="center"/>
          </w:tcPr>
          <w:p>
            <w:pPr>
              <w:autoSpaceDN w:val="0"/>
              <w:spacing w:line="400" w:lineRule="exact"/>
              <w:jc w:val="left"/>
              <w:textAlignment w:val="center"/>
              <w:rPr>
                <w:rFonts w:ascii="仿宋_GB2312" w:hAnsi="仿宋_GB2312"/>
                <w:b/>
                <w:bCs/>
                <w:color w:val="000000"/>
                <w:sz w:val="24"/>
                <w:szCs w:val="24"/>
              </w:rPr>
            </w:pPr>
            <w:r>
              <w:rPr>
                <w:rFonts w:hint="eastAsia" w:ascii="仿宋_GB2312" w:hAnsi="仿宋_GB2312" w:eastAsia="仿宋_GB2312" w:cs="仿宋_GB2312"/>
                <w:color w:val="000000"/>
                <w:sz w:val="24"/>
              </w:rPr>
              <w:t>财政收入提质增长。一是增幅合理，二是质量提升，三是结构优化。</w:t>
            </w:r>
          </w:p>
        </w:tc>
      </w:tr>
      <w:tr>
        <w:tblPrEx>
          <w:tblCellMar>
            <w:top w:w="0" w:type="dxa"/>
            <w:left w:w="15" w:type="dxa"/>
            <w:bottom w:w="0" w:type="dxa"/>
            <w:right w:w="15" w:type="dxa"/>
          </w:tblCellMar>
        </w:tblPrEx>
        <w:trPr>
          <w:trHeight w:val="454" w:hRule="atLeast"/>
          <w:jc w:val="center"/>
        </w:trPr>
        <w:tc>
          <w:tcPr>
            <w:tcW w:w="1441" w:type="dxa"/>
            <w:vMerge w:val="continue"/>
            <w:tcBorders>
              <w:top w:val="nil"/>
              <w:left w:val="single" w:color="000000" w:sz="4" w:space="0"/>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1549" w:type="dxa"/>
            <w:gridSpan w:val="4"/>
            <w:vMerge w:val="continue"/>
            <w:tcBorders>
              <w:top w:val="nil"/>
              <w:left w:val="nil"/>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1417" w:type="dxa"/>
            <w:gridSpan w:val="2"/>
            <w:vMerge w:val="continue"/>
            <w:tcBorders>
              <w:top w:val="nil"/>
              <w:left w:val="nil"/>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2709" w:type="dxa"/>
            <w:gridSpan w:val="4"/>
            <w:tcBorders>
              <w:top w:val="single" w:color="000000" w:sz="4" w:space="0"/>
              <w:left w:val="nil"/>
              <w:bottom w:val="single" w:color="000000" w:sz="4" w:space="0"/>
              <w:right w:val="single" w:color="000000" w:sz="4" w:space="0"/>
            </w:tcBorders>
            <w:vAlign w:val="center"/>
          </w:tcPr>
          <w:p>
            <w:pPr>
              <w:autoSpaceDN w:val="0"/>
              <w:spacing w:line="400" w:lineRule="exact"/>
              <w:jc w:val="left"/>
              <w:textAlignment w:val="center"/>
              <w:rPr>
                <w:rFonts w:ascii="仿宋_GB2312" w:hAnsi="仿宋_GB2312"/>
                <w:color w:val="000000"/>
                <w:sz w:val="24"/>
                <w:szCs w:val="24"/>
              </w:rPr>
            </w:pPr>
            <w:r>
              <w:rPr>
                <w:rFonts w:hint="eastAsia" w:ascii="仿宋_GB2312" w:hAnsi="仿宋_GB2312" w:eastAsia="仿宋_GB2312" w:cs="仿宋_GB2312"/>
                <w:color w:val="000000"/>
                <w:sz w:val="24"/>
              </w:rPr>
              <w:t>指标2：社会事业全面进步</w:t>
            </w:r>
          </w:p>
        </w:tc>
        <w:tc>
          <w:tcPr>
            <w:tcW w:w="2684" w:type="dxa"/>
            <w:gridSpan w:val="6"/>
            <w:tcBorders>
              <w:top w:val="single" w:color="000000" w:sz="4" w:space="0"/>
              <w:left w:val="nil"/>
              <w:bottom w:val="single" w:color="000000" w:sz="4" w:space="0"/>
              <w:right w:val="single" w:color="000000" w:sz="4" w:space="0"/>
            </w:tcBorders>
            <w:vAlign w:val="center"/>
          </w:tcPr>
          <w:p>
            <w:pPr>
              <w:autoSpaceDN w:val="0"/>
              <w:spacing w:line="400" w:lineRule="exact"/>
              <w:jc w:val="left"/>
              <w:textAlignment w:val="center"/>
              <w:rPr>
                <w:rFonts w:ascii="仿宋_GB2312" w:hAnsi="仿宋_GB2312"/>
                <w:b/>
                <w:bCs/>
                <w:color w:val="000000"/>
                <w:sz w:val="24"/>
                <w:szCs w:val="24"/>
              </w:rPr>
            </w:pPr>
            <w:r>
              <w:rPr>
                <w:rFonts w:hint="eastAsia" w:ascii="仿宋_GB2312" w:hAnsi="仿宋_GB2312" w:eastAsia="仿宋_GB2312" w:cs="仿宋_GB2312"/>
                <w:color w:val="000000"/>
                <w:sz w:val="24"/>
              </w:rPr>
              <w:t>集中财力用于经济社会发展重点领域，加大民生支出投入。</w:t>
            </w:r>
          </w:p>
        </w:tc>
      </w:tr>
      <w:tr>
        <w:tblPrEx>
          <w:tblCellMar>
            <w:top w:w="0" w:type="dxa"/>
            <w:left w:w="15" w:type="dxa"/>
            <w:bottom w:w="0" w:type="dxa"/>
            <w:right w:w="15" w:type="dxa"/>
          </w:tblCellMar>
        </w:tblPrEx>
        <w:trPr>
          <w:trHeight w:val="454" w:hRule="atLeast"/>
          <w:jc w:val="center"/>
        </w:trPr>
        <w:tc>
          <w:tcPr>
            <w:tcW w:w="1441" w:type="dxa"/>
            <w:vMerge w:val="continue"/>
            <w:tcBorders>
              <w:top w:val="nil"/>
              <w:left w:val="single" w:color="000000" w:sz="4" w:space="0"/>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1549" w:type="dxa"/>
            <w:gridSpan w:val="4"/>
            <w:vMerge w:val="continue"/>
            <w:tcBorders>
              <w:top w:val="nil"/>
              <w:left w:val="nil"/>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1417" w:type="dxa"/>
            <w:gridSpan w:val="2"/>
            <w:vMerge w:val="continue"/>
            <w:tcBorders>
              <w:top w:val="nil"/>
              <w:left w:val="nil"/>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2709" w:type="dxa"/>
            <w:gridSpan w:val="4"/>
            <w:tcBorders>
              <w:top w:val="single" w:color="000000" w:sz="4" w:space="0"/>
              <w:left w:val="nil"/>
              <w:bottom w:val="single" w:color="000000" w:sz="4" w:space="0"/>
              <w:right w:val="single" w:color="000000" w:sz="4" w:space="0"/>
            </w:tcBorders>
            <w:vAlign w:val="center"/>
          </w:tcPr>
          <w:p>
            <w:pPr>
              <w:spacing w:line="320" w:lineRule="exact"/>
              <w:jc w:val="left"/>
              <w:textAlignment w:val="center"/>
              <w:rPr>
                <w:rFonts w:ascii="仿宋_GB2312" w:hAnsi="仿宋_GB2312"/>
                <w:color w:val="000000"/>
                <w:sz w:val="24"/>
                <w:szCs w:val="24"/>
              </w:rPr>
            </w:pPr>
            <w:r>
              <w:rPr>
                <w:rFonts w:ascii="仿宋_GB2312" w:hAnsi="仿宋_GB2312"/>
                <w:color w:val="000000"/>
                <w:sz w:val="24"/>
                <w:szCs w:val="24"/>
              </w:rPr>
              <w:t>……</w:t>
            </w:r>
          </w:p>
        </w:tc>
        <w:tc>
          <w:tcPr>
            <w:tcW w:w="2684" w:type="dxa"/>
            <w:gridSpan w:val="6"/>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b/>
                <w:bCs/>
                <w:color w:val="000000"/>
                <w:sz w:val="24"/>
                <w:szCs w:val="24"/>
              </w:rPr>
            </w:pPr>
          </w:p>
        </w:tc>
      </w:tr>
      <w:tr>
        <w:tblPrEx>
          <w:tblCellMar>
            <w:top w:w="0" w:type="dxa"/>
            <w:left w:w="15" w:type="dxa"/>
            <w:bottom w:w="0" w:type="dxa"/>
            <w:right w:w="15" w:type="dxa"/>
          </w:tblCellMar>
        </w:tblPrEx>
        <w:trPr>
          <w:trHeight w:val="454" w:hRule="atLeast"/>
          <w:jc w:val="center"/>
        </w:trPr>
        <w:tc>
          <w:tcPr>
            <w:tcW w:w="1441" w:type="dxa"/>
            <w:vMerge w:val="continue"/>
            <w:tcBorders>
              <w:top w:val="nil"/>
              <w:left w:val="single" w:color="000000" w:sz="4" w:space="0"/>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1549" w:type="dxa"/>
            <w:gridSpan w:val="4"/>
            <w:vMerge w:val="continue"/>
            <w:tcBorders>
              <w:top w:val="nil"/>
              <w:left w:val="nil"/>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1417" w:type="dxa"/>
            <w:gridSpan w:val="2"/>
            <w:vMerge w:val="restart"/>
            <w:tcBorders>
              <w:top w:val="nil"/>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数量指标</w:t>
            </w:r>
          </w:p>
        </w:tc>
        <w:tc>
          <w:tcPr>
            <w:tcW w:w="2709" w:type="dxa"/>
            <w:gridSpan w:val="4"/>
            <w:tcBorders>
              <w:top w:val="single" w:color="000000" w:sz="4" w:space="0"/>
              <w:left w:val="nil"/>
              <w:bottom w:val="single" w:color="000000" w:sz="4" w:space="0"/>
              <w:right w:val="single" w:color="000000" w:sz="4" w:space="0"/>
            </w:tcBorders>
            <w:vAlign w:val="center"/>
          </w:tcPr>
          <w:p>
            <w:pPr>
              <w:spacing w:line="2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指标1：积极组织财政收入，强化预算执行管理</w:t>
            </w:r>
          </w:p>
          <w:p>
            <w:pPr>
              <w:autoSpaceDN w:val="0"/>
              <w:spacing w:line="240" w:lineRule="exact"/>
              <w:jc w:val="left"/>
              <w:textAlignment w:val="center"/>
              <w:rPr>
                <w:rFonts w:ascii="仿宋_GB2312" w:hAnsi="仿宋_GB2312"/>
                <w:color w:val="000000"/>
                <w:sz w:val="24"/>
                <w:szCs w:val="24"/>
              </w:rPr>
            </w:pPr>
          </w:p>
        </w:tc>
        <w:tc>
          <w:tcPr>
            <w:tcW w:w="2684" w:type="dxa"/>
            <w:gridSpan w:val="6"/>
            <w:tcBorders>
              <w:top w:val="single" w:color="000000" w:sz="4" w:space="0"/>
              <w:left w:val="nil"/>
              <w:bottom w:val="single" w:color="000000" w:sz="4" w:space="0"/>
              <w:right w:val="single" w:color="000000" w:sz="4" w:space="0"/>
            </w:tcBorders>
            <w:vAlign w:val="center"/>
          </w:tcPr>
          <w:p>
            <w:pPr>
              <w:spacing w:line="240" w:lineRule="exact"/>
              <w:rPr>
                <w:rFonts w:ascii="仿宋_GB2312" w:hAnsi="仿宋_GB2312"/>
                <w:b/>
                <w:bCs/>
                <w:color w:val="000000"/>
                <w:sz w:val="24"/>
                <w:szCs w:val="24"/>
              </w:rPr>
            </w:pPr>
            <w:r>
              <w:rPr>
                <w:rFonts w:hint="eastAsia" w:ascii="仿宋_GB2312" w:hAnsi="仿宋_GB2312" w:eastAsia="仿宋_GB2312" w:cs="仿宋_GB2312"/>
                <w:color w:val="000000"/>
                <w:sz w:val="24"/>
              </w:rPr>
              <w:t>全年完成财政总收入8.26亿元，同比增长10.1%，近三年来首次呈两位数增长，增幅高于全省平均水平4.1个百分点。</w:t>
            </w:r>
          </w:p>
        </w:tc>
      </w:tr>
      <w:tr>
        <w:tblPrEx>
          <w:tblCellMar>
            <w:top w:w="0" w:type="dxa"/>
            <w:left w:w="15" w:type="dxa"/>
            <w:bottom w:w="0" w:type="dxa"/>
            <w:right w:w="15" w:type="dxa"/>
          </w:tblCellMar>
        </w:tblPrEx>
        <w:trPr>
          <w:trHeight w:val="461" w:hRule="atLeast"/>
          <w:jc w:val="center"/>
        </w:trPr>
        <w:tc>
          <w:tcPr>
            <w:tcW w:w="1441" w:type="dxa"/>
            <w:vMerge w:val="continue"/>
            <w:tcBorders>
              <w:top w:val="nil"/>
              <w:left w:val="single" w:color="000000" w:sz="4" w:space="0"/>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1549" w:type="dxa"/>
            <w:gridSpan w:val="4"/>
            <w:vMerge w:val="continue"/>
            <w:tcBorders>
              <w:top w:val="nil"/>
              <w:left w:val="nil"/>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1417" w:type="dxa"/>
            <w:gridSpan w:val="2"/>
            <w:vMerge w:val="continue"/>
            <w:tcBorders>
              <w:top w:val="nil"/>
              <w:left w:val="nil"/>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2709" w:type="dxa"/>
            <w:gridSpan w:val="4"/>
            <w:tcBorders>
              <w:top w:val="single" w:color="000000" w:sz="4" w:space="0"/>
              <w:left w:val="nil"/>
              <w:bottom w:val="single" w:color="000000" w:sz="4" w:space="0"/>
              <w:right w:val="single" w:color="000000" w:sz="4" w:space="0"/>
            </w:tcBorders>
            <w:vAlign w:val="center"/>
          </w:tcPr>
          <w:p>
            <w:pPr>
              <w:spacing w:line="320" w:lineRule="exact"/>
              <w:jc w:val="left"/>
              <w:textAlignment w:val="center"/>
              <w:rPr>
                <w:rFonts w:ascii="仿宋_GB2312" w:hAnsi="仿宋_GB2312"/>
                <w:color w:val="000000"/>
                <w:sz w:val="24"/>
                <w:szCs w:val="24"/>
              </w:rPr>
            </w:pPr>
            <w:r>
              <w:rPr>
                <w:rFonts w:ascii="仿宋_GB2312" w:hAnsi="仿宋_GB2312"/>
                <w:color w:val="000000"/>
                <w:sz w:val="24"/>
                <w:szCs w:val="24"/>
              </w:rPr>
              <w:t>指标2：</w:t>
            </w:r>
          </w:p>
        </w:tc>
        <w:tc>
          <w:tcPr>
            <w:tcW w:w="2684" w:type="dxa"/>
            <w:gridSpan w:val="6"/>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b/>
                <w:bCs/>
                <w:color w:val="000000"/>
                <w:sz w:val="24"/>
                <w:szCs w:val="24"/>
              </w:rPr>
            </w:pPr>
          </w:p>
        </w:tc>
      </w:tr>
      <w:tr>
        <w:tblPrEx>
          <w:tblCellMar>
            <w:top w:w="0" w:type="dxa"/>
            <w:left w:w="15" w:type="dxa"/>
            <w:bottom w:w="0" w:type="dxa"/>
            <w:right w:w="15" w:type="dxa"/>
          </w:tblCellMar>
        </w:tblPrEx>
        <w:trPr>
          <w:trHeight w:val="461" w:hRule="atLeast"/>
          <w:jc w:val="center"/>
        </w:trPr>
        <w:tc>
          <w:tcPr>
            <w:tcW w:w="1441" w:type="dxa"/>
            <w:vMerge w:val="continue"/>
            <w:tcBorders>
              <w:top w:val="nil"/>
              <w:left w:val="single" w:color="000000" w:sz="4" w:space="0"/>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1549" w:type="dxa"/>
            <w:gridSpan w:val="4"/>
            <w:vMerge w:val="continue"/>
            <w:tcBorders>
              <w:top w:val="nil"/>
              <w:left w:val="nil"/>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1417" w:type="dxa"/>
            <w:gridSpan w:val="2"/>
            <w:vMerge w:val="continue"/>
            <w:tcBorders>
              <w:top w:val="nil"/>
              <w:left w:val="nil"/>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2709" w:type="dxa"/>
            <w:gridSpan w:val="4"/>
            <w:tcBorders>
              <w:top w:val="single" w:color="000000" w:sz="4" w:space="0"/>
              <w:left w:val="nil"/>
              <w:bottom w:val="single" w:color="000000" w:sz="4" w:space="0"/>
              <w:right w:val="single" w:color="000000" w:sz="4" w:space="0"/>
            </w:tcBorders>
            <w:vAlign w:val="center"/>
          </w:tcPr>
          <w:p>
            <w:pPr>
              <w:spacing w:line="320" w:lineRule="exact"/>
              <w:jc w:val="left"/>
              <w:textAlignment w:val="center"/>
              <w:rPr>
                <w:rFonts w:ascii="仿宋_GB2312" w:hAnsi="仿宋_GB2312"/>
                <w:color w:val="000000"/>
                <w:sz w:val="24"/>
                <w:szCs w:val="24"/>
              </w:rPr>
            </w:pPr>
            <w:r>
              <w:rPr>
                <w:rFonts w:ascii="仿宋_GB2312" w:hAnsi="仿宋_GB2312"/>
                <w:color w:val="000000"/>
                <w:sz w:val="24"/>
                <w:szCs w:val="24"/>
              </w:rPr>
              <w:t>……</w:t>
            </w:r>
          </w:p>
        </w:tc>
        <w:tc>
          <w:tcPr>
            <w:tcW w:w="2684" w:type="dxa"/>
            <w:gridSpan w:val="6"/>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b/>
                <w:bCs/>
                <w:color w:val="000000"/>
                <w:sz w:val="24"/>
                <w:szCs w:val="24"/>
              </w:rPr>
            </w:pPr>
          </w:p>
        </w:tc>
      </w:tr>
      <w:tr>
        <w:tblPrEx>
          <w:tblCellMar>
            <w:top w:w="0" w:type="dxa"/>
            <w:left w:w="15" w:type="dxa"/>
            <w:bottom w:w="0" w:type="dxa"/>
            <w:right w:w="15" w:type="dxa"/>
          </w:tblCellMar>
        </w:tblPrEx>
        <w:trPr>
          <w:trHeight w:val="454" w:hRule="atLeast"/>
          <w:jc w:val="center"/>
        </w:trPr>
        <w:tc>
          <w:tcPr>
            <w:tcW w:w="1441" w:type="dxa"/>
            <w:vMerge w:val="continue"/>
            <w:tcBorders>
              <w:top w:val="nil"/>
              <w:left w:val="single" w:color="000000" w:sz="4" w:space="0"/>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1549" w:type="dxa"/>
            <w:gridSpan w:val="4"/>
            <w:vMerge w:val="continue"/>
            <w:tcBorders>
              <w:top w:val="nil"/>
              <w:left w:val="nil"/>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1417" w:type="dxa"/>
            <w:gridSpan w:val="2"/>
            <w:vMerge w:val="restart"/>
            <w:tcBorders>
              <w:top w:val="nil"/>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时效指标</w:t>
            </w:r>
          </w:p>
        </w:tc>
        <w:tc>
          <w:tcPr>
            <w:tcW w:w="2709" w:type="dxa"/>
            <w:gridSpan w:val="4"/>
            <w:tcBorders>
              <w:top w:val="single" w:color="000000" w:sz="4" w:space="0"/>
              <w:left w:val="nil"/>
              <w:bottom w:val="single" w:color="000000" w:sz="4" w:space="0"/>
              <w:right w:val="single" w:color="000000" w:sz="4" w:space="0"/>
            </w:tcBorders>
            <w:vAlign w:val="center"/>
          </w:tcPr>
          <w:p>
            <w:pPr>
              <w:rPr>
                <w:rFonts w:ascii="仿宋_GB2312" w:hAnsi="仿宋_GB2312"/>
                <w:color w:val="000000"/>
                <w:sz w:val="24"/>
                <w:szCs w:val="24"/>
              </w:rPr>
            </w:pPr>
            <w:r>
              <w:rPr>
                <w:rFonts w:hint="eastAsia" w:ascii="仿宋_GB2312" w:hAnsi="仿宋_GB2312" w:eastAsia="仿宋_GB2312" w:cs="仿宋_GB2312"/>
                <w:color w:val="000000"/>
                <w:sz w:val="24"/>
              </w:rPr>
              <w:t>指标1：综合运用资金、政策等手段，支持县域经济稳定发展。</w:t>
            </w:r>
          </w:p>
        </w:tc>
        <w:tc>
          <w:tcPr>
            <w:tcW w:w="2684" w:type="dxa"/>
            <w:gridSpan w:val="6"/>
            <w:tcBorders>
              <w:top w:val="single" w:color="000000" w:sz="4" w:space="0"/>
              <w:left w:val="nil"/>
              <w:bottom w:val="single" w:color="000000" w:sz="4" w:space="0"/>
              <w:right w:val="single" w:color="000000" w:sz="4" w:space="0"/>
            </w:tcBorders>
            <w:vAlign w:val="center"/>
          </w:tcPr>
          <w:p>
            <w:pPr>
              <w:autoSpaceDN w:val="0"/>
              <w:spacing w:line="400" w:lineRule="exact"/>
              <w:jc w:val="left"/>
              <w:textAlignment w:val="center"/>
              <w:rPr>
                <w:rFonts w:ascii="仿宋_GB2312" w:hAnsi="仿宋_GB2312"/>
                <w:b/>
                <w:bCs/>
                <w:color w:val="000000"/>
                <w:sz w:val="24"/>
                <w:szCs w:val="24"/>
              </w:rPr>
            </w:pPr>
            <w:r>
              <w:rPr>
                <w:rFonts w:hint="eastAsia" w:ascii="仿宋_GB2312" w:hAnsi="仿宋_GB2312" w:eastAsia="仿宋_GB2312" w:cs="仿宋_GB2312"/>
                <w:color w:val="000000"/>
                <w:sz w:val="24"/>
              </w:rPr>
              <w:t>最大限度争取转移支付和专项转移支付收入，支持重点项目建设，促进社会事业全面进步。</w:t>
            </w:r>
          </w:p>
        </w:tc>
      </w:tr>
      <w:tr>
        <w:tblPrEx>
          <w:tblCellMar>
            <w:top w:w="0" w:type="dxa"/>
            <w:left w:w="15" w:type="dxa"/>
            <w:bottom w:w="0" w:type="dxa"/>
            <w:right w:w="15" w:type="dxa"/>
          </w:tblCellMar>
        </w:tblPrEx>
        <w:trPr>
          <w:trHeight w:val="454" w:hRule="atLeast"/>
          <w:jc w:val="center"/>
        </w:trPr>
        <w:tc>
          <w:tcPr>
            <w:tcW w:w="1441" w:type="dxa"/>
            <w:vMerge w:val="continue"/>
            <w:tcBorders>
              <w:top w:val="nil"/>
              <w:left w:val="single" w:color="000000" w:sz="4" w:space="0"/>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1549" w:type="dxa"/>
            <w:gridSpan w:val="4"/>
            <w:vMerge w:val="continue"/>
            <w:tcBorders>
              <w:top w:val="nil"/>
              <w:left w:val="nil"/>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1417" w:type="dxa"/>
            <w:gridSpan w:val="2"/>
            <w:vMerge w:val="continue"/>
            <w:tcBorders>
              <w:top w:val="nil"/>
              <w:left w:val="nil"/>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2709" w:type="dxa"/>
            <w:gridSpan w:val="4"/>
            <w:tcBorders>
              <w:top w:val="single" w:color="000000" w:sz="4" w:space="0"/>
              <w:left w:val="nil"/>
              <w:bottom w:val="single" w:color="000000" w:sz="4" w:space="0"/>
              <w:right w:val="single" w:color="000000" w:sz="4" w:space="0"/>
            </w:tcBorders>
            <w:vAlign w:val="center"/>
          </w:tcPr>
          <w:p>
            <w:pPr>
              <w:spacing w:line="320" w:lineRule="exact"/>
              <w:jc w:val="left"/>
              <w:textAlignment w:val="center"/>
              <w:rPr>
                <w:rFonts w:ascii="仿宋_GB2312" w:hAnsi="仿宋_GB2312"/>
                <w:color w:val="000000"/>
                <w:sz w:val="24"/>
                <w:szCs w:val="24"/>
              </w:rPr>
            </w:pPr>
            <w:r>
              <w:rPr>
                <w:rFonts w:ascii="仿宋_GB2312" w:hAnsi="仿宋_GB2312"/>
                <w:color w:val="000000"/>
                <w:sz w:val="24"/>
                <w:szCs w:val="24"/>
              </w:rPr>
              <w:t>指标2：</w:t>
            </w:r>
          </w:p>
        </w:tc>
        <w:tc>
          <w:tcPr>
            <w:tcW w:w="2684" w:type="dxa"/>
            <w:gridSpan w:val="6"/>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b/>
                <w:bCs/>
                <w:color w:val="000000"/>
                <w:sz w:val="24"/>
                <w:szCs w:val="24"/>
              </w:rPr>
            </w:pPr>
          </w:p>
        </w:tc>
      </w:tr>
      <w:tr>
        <w:tblPrEx>
          <w:tblCellMar>
            <w:top w:w="0" w:type="dxa"/>
            <w:left w:w="15" w:type="dxa"/>
            <w:bottom w:w="0" w:type="dxa"/>
            <w:right w:w="15" w:type="dxa"/>
          </w:tblCellMar>
        </w:tblPrEx>
        <w:trPr>
          <w:trHeight w:val="454" w:hRule="atLeast"/>
          <w:jc w:val="center"/>
        </w:trPr>
        <w:tc>
          <w:tcPr>
            <w:tcW w:w="1441" w:type="dxa"/>
            <w:vMerge w:val="continue"/>
            <w:tcBorders>
              <w:top w:val="nil"/>
              <w:left w:val="single" w:color="000000" w:sz="4" w:space="0"/>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1549" w:type="dxa"/>
            <w:gridSpan w:val="4"/>
            <w:vMerge w:val="continue"/>
            <w:tcBorders>
              <w:top w:val="nil"/>
              <w:left w:val="nil"/>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1417" w:type="dxa"/>
            <w:gridSpan w:val="2"/>
            <w:vMerge w:val="continue"/>
            <w:tcBorders>
              <w:top w:val="nil"/>
              <w:left w:val="nil"/>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2709" w:type="dxa"/>
            <w:gridSpan w:val="4"/>
            <w:tcBorders>
              <w:top w:val="single" w:color="000000" w:sz="4" w:space="0"/>
              <w:left w:val="nil"/>
              <w:bottom w:val="single" w:color="000000" w:sz="4" w:space="0"/>
              <w:right w:val="single" w:color="000000" w:sz="4" w:space="0"/>
            </w:tcBorders>
            <w:vAlign w:val="center"/>
          </w:tcPr>
          <w:p>
            <w:pPr>
              <w:spacing w:line="320" w:lineRule="exact"/>
              <w:jc w:val="left"/>
              <w:textAlignment w:val="center"/>
              <w:rPr>
                <w:rFonts w:ascii="仿宋_GB2312" w:hAnsi="仿宋_GB2312"/>
                <w:color w:val="000000"/>
                <w:sz w:val="24"/>
                <w:szCs w:val="24"/>
              </w:rPr>
            </w:pPr>
            <w:r>
              <w:rPr>
                <w:rFonts w:ascii="仿宋_GB2312" w:hAnsi="仿宋_GB2312"/>
                <w:color w:val="000000"/>
                <w:sz w:val="24"/>
                <w:szCs w:val="24"/>
              </w:rPr>
              <w:t>……</w:t>
            </w:r>
          </w:p>
        </w:tc>
        <w:tc>
          <w:tcPr>
            <w:tcW w:w="2684" w:type="dxa"/>
            <w:gridSpan w:val="6"/>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b/>
                <w:bCs/>
                <w:color w:val="000000"/>
                <w:sz w:val="24"/>
                <w:szCs w:val="24"/>
              </w:rPr>
            </w:pPr>
          </w:p>
        </w:tc>
      </w:tr>
      <w:tr>
        <w:tblPrEx>
          <w:tblCellMar>
            <w:top w:w="0" w:type="dxa"/>
            <w:left w:w="15" w:type="dxa"/>
            <w:bottom w:w="0" w:type="dxa"/>
            <w:right w:w="15" w:type="dxa"/>
          </w:tblCellMar>
        </w:tblPrEx>
        <w:trPr>
          <w:trHeight w:val="454" w:hRule="atLeast"/>
          <w:jc w:val="center"/>
        </w:trPr>
        <w:tc>
          <w:tcPr>
            <w:tcW w:w="1441" w:type="dxa"/>
            <w:vMerge w:val="continue"/>
            <w:tcBorders>
              <w:top w:val="nil"/>
              <w:left w:val="single" w:color="000000" w:sz="4" w:space="0"/>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1549" w:type="dxa"/>
            <w:gridSpan w:val="4"/>
            <w:vMerge w:val="continue"/>
            <w:tcBorders>
              <w:top w:val="nil"/>
              <w:left w:val="nil"/>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1417" w:type="dxa"/>
            <w:gridSpan w:val="2"/>
            <w:vMerge w:val="restart"/>
            <w:tcBorders>
              <w:top w:val="nil"/>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成本指标</w:t>
            </w:r>
          </w:p>
        </w:tc>
        <w:tc>
          <w:tcPr>
            <w:tcW w:w="2709" w:type="dxa"/>
            <w:gridSpan w:val="4"/>
            <w:tcBorders>
              <w:top w:val="single" w:color="000000" w:sz="4" w:space="0"/>
              <w:left w:val="nil"/>
              <w:bottom w:val="single" w:color="000000" w:sz="4" w:space="0"/>
              <w:right w:val="single" w:color="000000" w:sz="4" w:space="0"/>
            </w:tcBorders>
            <w:vAlign w:val="center"/>
          </w:tcPr>
          <w:p>
            <w:pPr>
              <w:autoSpaceDN w:val="0"/>
              <w:spacing w:line="400" w:lineRule="exact"/>
              <w:jc w:val="left"/>
              <w:textAlignment w:val="center"/>
              <w:rPr>
                <w:rFonts w:ascii="仿宋_GB2312" w:hAnsi="仿宋_GB2312"/>
                <w:color w:val="000000"/>
                <w:sz w:val="24"/>
                <w:szCs w:val="24"/>
              </w:rPr>
            </w:pPr>
            <w:r>
              <w:rPr>
                <w:rFonts w:hint="eastAsia" w:ascii="仿宋_GB2312" w:hAnsi="仿宋_GB2312" w:eastAsia="仿宋_GB2312" w:cs="仿宋_GB2312"/>
                <w:color w:val="000000"/>
                <w:sz w:val="24"/>
              </w:rPr>
              <w:t>指标1：加强财政监督，严控支出管理。</w:t>
            </w:r>
          </w:p>
        </w:tc>
        <w:tc>
          <w:tcPr>
            <w:tcW w:w="2684" w:type="dxa"/>
            <w:gridSpan w:val="6"/>
            <w:tcBorders>
              <w:top w:val="single" w:color="000000" w:sz="4" w:space="0"/>
              <w:left w:val="nil"/>
              <w:bottom w:val="single" w:color="000000" w:sz="4" w:space="0"/>
              <w:right w:val="single" w:color="000000" w:sz="4" w:space="0"/>
            </w:tcBorders>
            <w:vAlign w:val="center"/>
          </w:tcPr>
          <w:p>
            <w:pPr>
              <w:autoSpaceDN w:val="0"/>
              <w:spacing w:line="400" w:lineRule="exact"/>
              <w:jc w:val="left"/>
              <w:textAlignment w:val="center"/>
              <w:rPr>
                <w:rFonts w:ascii="仿宋_GB2312" w:hAnsi="仿宋_GB2312"/>
                <w:b/>
                <w:bCs/>
                <w:color w:val="000000"/>
                <w:sz w:val="24"/>
                <w:szCs w:val="24"/>
              </w:rPr>
            </w:pPr>
            <w:r>
              <w:rPr>
                <w:rFonts w:hint="eastAsia" w:ascii="仿宋_GB2312" w:hAnsi="仿宋_GB2312" w:eastAsia="仿宋_GB2312" w:cs="仿宋_GB2312"/>
                <w:color w:val="000000"/>
                <w:sz w:val="24"/>
              </w:rPr>
              <w:t>大力压减三公经费等一般性支出，实现公务支出大量减少。</w:t>
            </w:r>
          </w:p>
        </w:tc>
      </w:tr>
      <w:tr>
        <w:tblPrEx>
          <w:tblCellMar>
            <w:top w:w="0" w:type="dxa"/>
            <w:left w:w="15" w:type="dxa"/>
            <w:bottom w:w="0" w:type="dxa"/>
            <w:right w:w="15" w:type="dxa"/>
          </w:tblCellMar>
        </w:tblPrEx>
        <w:trPr>
          <w:trHeight w:val="454" w:hRule="atLeast"/>
          <w:jc w:val="center"/>
        </w:trPr>
        <w:tc>
          <w:tcPr>
            <w:tcW w:w="1441" w:type="dxa"/>
            <w:vMerge w:val="continue"/>
            <w:tcBorders>
              <w:top w:val="nil"/>
              <w:left w:val="single" w:color="000000" w:sz="4" w:space="0"/>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1549" w:type="dxa"/>
            <w:gridSpan w:val="4"/>
            <w:vMerge w:val="continue"/>
            <w:tcBorders>
              <w:top w:val="nil"/>
              <w:left w:val="nil"/>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1417" w:type="dxa"/>
            <w:gridSpan w:val="2"/>
            <w:vMerge w:val="continue"/>
            <w:tcBorders>
              <w:top w:val="nil"/>
              <w:left w:val="nil"/>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2709" w:type="dxa"/>
            <w:gridSpan w:val="4"/>
            <w:tcBorders>
              <w:top w:val="single" w:color="000000" w:sz="4" w:space="0"/>
              <w:left w:val="nil"/>
              <w:bottom w:val="single" w:color="000000" w:sz="4" w:space="0"/>
              <w:right w:val="single" w:color="000000" w:sz="4" w:space="0"/>
            </w:tcBorders>
            <w:vAlign w:val="center"/>
          </w:tcPr>
          <w:p>
            <w:pPr>
              <w:spacing w:line="320" w:lineRule="exact"/>
              <w:jc w:val="left"/>
              <w:textAlignment w:val="center"/>
              <w:rPr>
                <w:rFonts w:ascii="仿宋_GB2312" w:hAnsi="仿宋_GB2312"/>
                <w:color w:val="000000"/>
                <w:sz w:val="24"/>
                <w:szCs w:val="24"/>
              </w:rPr>
            </w:pPr>
            <w:r>
              <w:rPr>
                <w:rFonts w:ascii="仿宋_GB2312" w:hAnsi="仿宋_GB2312"/>
                <w:color w:val="000000"/>
                <w:sz w:val="24"/>
                <w:szCs w:val="24"/>
              </w:rPr>
              <w:t>指标2：</w:t>
            </w:r>
          </w:p>
        </w:tc>
        <w:tc>
          <w:tcPr>
            <w:tcW w:w="2684" w:type="dxa"/>
            <w:gridSpan w:val="6"/>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b/>
                <w:bCs/>
                <w:color w:val="000000"/>
                <w:sz w:val="24"/>
                <w:szCs w:val="24"/>
              </w:rPr>
            </w:pPr>
          </w:p>
        </w:tc>
      </w:tr>
      <w:tr>
        <w:tblPrEx>
          <w:tblCellMar>
            <w:top w:w="0" w:type="dxa"/>
            <w:left w:w="15" w:type="dxa"/>
            <w:bottom w:w="0" w:type="dxa"/>
            <w:right w:w="15" w:type="dxa"/>
          </w:tblCellMar>
        </w:tblPrEx>
        <w:trPr>
          <w:trHeight w:val="454" w:hRule="atLeast"/>
          <w:jc w:val="center"/>
        </w:trPr>
        <w:tc>
          <w:tcPr>
            <w:tcW w:w="1441" w:type="dxa"/>
            <w:vMerge w:val="continue"/>
            <w:tcBorders>
              <w:top w:val="nil"/>
              <w:left w:val="single" w:color="000000" w:sz="4" w:space="0"/>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1549" w:type="dxa"/>
            <w:gridSpan w:val="4"/>
            <w:vMerge w:val="continue"/>
            <w:tcBorders>
              <w:top w:val="nil"/>
              <w:left w:val="nil"/>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1417" w:type="dxa"/>
            <w:gridSpan w:val="2"/>
            <w:vMerge w:val="continue"/>
            <w:tcBorders>
              <w:top w:val="nil"/>
              <w:left w:val="nil"/>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2709" w:type="dxa"/>
            <w:gridSpan w:val="4"/>
            <w:tcBorders>
              <w:top w:val="single" w:color="000000" w:sz="4" w:space="0"/>
              <w:left w:val="nil"/>
              <w:bottom w:val="single" w:color="000000" w:sz="4" w:space="0"/>
              <w:right w:val="single" w:color="000000" w:sz="4" w:space="0"/>
            </w:tcBorders>
            <w:vAlign w:val="center"/>
          </w:tcPr>
          <w:p>
            <w:pPr>
              <w:spacing w:line="320" w:lineRule="exact"/>
              <w:jc w:val="left"/>
              <w:textAlignment w:val="center"/>
              <w:rPr>
                <w:rFonts w:ascii="仿宋_GB2312" w:hAnsi="仿宋_GB2312"/>
                <w:color w:val="000000"/>
                <w:sz w:val="24"/>
                <w:szCs w:val="24"/>
              </w:rPr>
            </w:pPr>
            <w:r>
              <w:rPr>
                <w:rFonts w:ascii="仿宋_GB2312" w:hAnsi="仿宋_GB2312"/>
                <w:color w:val="000000"/>
                <w:sz w:val="24"/>
                <w:szCs w:val="24"/>
              </w:rPr>
              <w:t>……</w:t>
            </w:r>
          </w:p>
        </w:tc>
        <w:tc>
          <w:tcPr>
            <w:tcW w:w="2684" w:type="dxa"/>
            <w:gridSpan w:val="6"/>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b/>
                <w:bCs/>
                <w:color w:val="000000"/>
                <w:sz w:val="24"/>
                <w:szCs w:val="24"/>
              </w:rPr>
            </w:pPr>
          </w:p>
        </w:tc>
      </w:tr>
      <w:tr>
        <w:tblPrEx>
          <w:tblCellMar>
            <w:top w:w="0" w:type="dxa"/>
            <w:left w:w="15" w:type="dxa"/>
            <w:bottom w:w="0" w:type="dxa"/>
            <w:right w:w="15" w:type="dxa"/>
          </w:tblCellMar>
        </w:tblPrEx>
        <w:trPr>
          <w:trHeight w:val="454" w:hRule="atLeast"/>
          <w:jc w:val="center"/>
        </w:trPr>
        <w:tc>
          <w:tcPr>
            <w:tcW w:w="1441" w:type="dxa"/>
            <w:vMerge w:val="continue"/>
            <w:tcBorders>
              <w:top w:val="nil"/>
              <w:left w:val="single" w:color="000000" w:sz="4" w:space="0"/>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1549" w:type="dxa"/>
            <w:gridSpan w:val="4"/>
            <w:vMerge w:val="restart"/>
            <w:tcBorders>
              <w:top w:val="nil"/>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效益目标</w:t>
            </w:r>
          </w:p>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（预期实现的效益）</w:t>
            </w:r>
          </w:p>
        </w:tc>
        <w:tc>
          <w:tcPr>
            <w:tcW w:w="1417" w:type="dxa"/>
            <w:gridSpan w:val="2"/>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社会效益</w:t>
            </w:r>
          </w:p>
        </w:tc>
        <w:tc>
          <w:tcPr>
            <w:tcW w:w="2709" w:type="dxa"/>
            <w:gridSpan w:val="4"/>
            <w:tcBorders>
              <w:top w:val="single" w:color="000000" w:sz="4" w:space="0"/>
              <w:left w:val="nil"/>
              <w:bottom w:val="single" w:color="000000" w:sz="4" w:space="0"/>
              <w:right w:val="single" w:color="000000" w:sz="4" w:space="0"/>
            </w:tcBorders>
            <w:vAlign w:val="center"/>
          </w:tcPr>
          <w:p>
            <w:pPr>
              <w:autoSpaceDN w:val="0"/>
              <w:spacing w:line="34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指标1：统筹财政资金，控制压缩政府行政成本；保障教育、医疗、公共交通、养老助残等民生项目支出</w:t>
            </w:r>
          </w:p>
          <w:p>
            <w:pPr>
              <w:autoSpaceDN w:val="0"/>
              <w:spacing w:line="340" w:lineRule="exact"/>
              <w:jc w:val="left"/>
              <w:textAlignment w:val="center"/>
              <w:rPr>
                <w:rFonts w:ascii="仿宋_GB2312" w:hAnsi="仿宋_GB2312"/>
                <w:color w:val="000000"/>
                <w:sz w:val="24"/>
                <w:szCs w:val="24"/>
              </w:rPr>
            </w:pPr>
            <w:r>
              <w:rPr>
                <w:rFonts w:hint="eastAsia" w:ascii="仿宋_GB2312" w:hAnsi="仿宋_GB2312" w:eastAsia="仿宋_GB2312" w:cs="仿宋_GB2312"/>
                <w:color w:val="000000"/>
                <w:sz w:val="24"/>
              </w:rPr>
              <w:t>指标2：</w:t>
            </w:r>
          </w:p>
        </w:tc>
        <w:tc>
          <w:tcPr>
            <w:tcW w:w="2684" w:type="dxa"/>
            <w:gridSpan w:val="6"/>
            <w:tcBorders>
              <w:top w:val="single" w:color="000000" w:sz="4" w:space="0"/>
              <w:left w:val="nil"/>
              <w:bottom w:val="single" w:color="000000" w:sz="4" w:space="0"/>
              <w:right w:val="single" w:color="000000" w:sz="4" w:space="0"/>
            </w:tcBorders>
            <w:vAlign w:val="center"/>
          </w:tcPr>
          <w:p>
            <w:pPr>
              <w:autoSpaceDN w:val="0"/>
              <w:spacing w:line="400" w:lineRule="exact"/>
              <w:textAlignment w:val="center"/>
              <w:rPr>
                <w:rFonts w:ascii="仿宋_GB2312" w:hAnsi="仿宋_GB2312"/>
                <w:b/>
                <w:bCs/>
                <w:color w:val="000000"/>
                <w:sz w:val="24"/>
                <w:szCs w:val="24"/>
              </w:rPr>
            </w:pPr>
            <w:r>
              <w:rPr>
                <w:rFonts w:hint="eastAsia" w:ascii="仿宋_GB2312" w:hAnsi="仿宋_GB2312" w:eastAsia="仿宋_GB2312" w:cs="仿宋_GB2312"/>
                <w:color w:val="000000"/>
                <w:sz w:val="24"/>
              </w:rPr>
              <w:t>大力压减三公经费等一般性公务支出，集中财力用于经济社会发展的重点领域和薄弱环节。加大民生支出投入力度，一批重点民生问题得到了有效解决。</w:t>
            </w:r>
          </w:p>
        </w:tc>
      </w:tr>
      <w:tr>
        <w:tblPrEx>
          <w:tblCellMar>
            <w:top w:w="0" w:type="dxa"/>
            <w:left w:w="15" w:type="dxa"/>
            <w:bottom w:w="0" w:type="dxa"/>
            <w:right w:w="15" w:type="dxa"/>
          </w:tblCellMar>
        </w:tblPrEx>
        <w:trPr>
          <w:trHeight w:val="454" w:hRule="atLeast"/>
          <w:jc w:val="center"/>
        </w:trPr>
        <w:tc>
          <w:tcPr>
            <w:tcW w:w="1441" w:type="dxa"/>
            <w:vMerge w:val="continue"/>
            <w:tcBorders>
              <w:top w:val="nil"/>
              <w:left w:val="single" w:color="000000" w:sz="4" w:space="0"/>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1549" w:type="dxa"/>
            <w:gridSpan w:val="4"/>
            <w:vMerge w:val="continue"/>
            <w:tcBorders>
              <w:top w:val="nil"/>
              <w:left w:val="nil"/>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1417" w:type="dxa"/>
            <w:gridSpan w:val="2"/>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经济效益</w:t>
            </w:r>
          </w:p>
        </w:tc>
        <w:tc>
          <w:tcPr>
            <w:tcW w:w="2709" w:type="dxa"/>
            <w:gridSpan w:val="4"/>
            <w:tcBorders>
              <w:top w:val="single" w:color="000000" w:sz="4" w:space="0"/>
              <w:left w:val="nil"/>
              <w:bottom w:val="single" w:color="000000" w:sz="4" w:space="0"/>
              <w:right w:val="single" w:color="000000" w:sz="4" w:space="0"/>
            </w:tcBorders>
            <w:vAlign w:val="center"/>
          </w:tcPr>
          <w:p>
            <w:pPr>
              <w:autoSpaceDN w:val="0"/>
              <w:spacing w:line="34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指标1：发挥财政资金引导作用及财政政策宏观调控作用，服务县域经济发展</w:t>
            </w:r>
          </w:p>
          <w:p>
            <w:pPr>
              <w:autoSpaceDN w:val="0"/>
              <w:spacing w:line="340" w:lineRule="exact"/>
              <w:jc w:val="left"/>
              <w:textAlignment w:val="center"/>
              <w:rPr>
                <w:rFonts w:ascii="仿宋_GB2312" w:hAnsi="仿宋_GB2312"/>
                <w:color w:val="000000"/>
                <w:sz w:val="24"/>
                <w:szCs w:val="24"/>
              </w:rPr>
            </w:pPr>
            <w:r>
              <w:rPr>
                <w:rFonts w:hint="eastAsia" w:ascii="仿宋_GB2312" w:hAnsi="仿宋_GB2312" w:eastAsia="仿宋_GB2312" w:cs="仿宋_GB2312"/>
                <w:color w:val="000000"/>
                <w:sz w:val="24"/>
              </w:rPr>
              <w:t>指标2：</w:t>
            </w:r>
          </w:p>
        </w:tc>
        <w:tc>
          <w:tcPr>
            <w:tcW w:w="2684" w:type="dxa"/>
            <w:gridSpan w:val="6"/>
            <w:tcBorders>
              <w:top w:val="single" w:color="000000" w:sz="4" w:space="0"/>
              <w:left w:val="nil"/>
              <w:bottom w:val="single" w:color="000000" w:sz="4" w:space="0"/>
              <w:right w:val="single" w:color="000000" w:sz="4" w:space="0"/>
            </w:tcBorders>
            <w:vAlign w:val="center"/>
          </w:tcPr>
          <w:p>
            <w:pPr>
              <w:autoSpaceDN w:val="0"/>
              <w:spacing w:line="400" w:lineRule="exact"/>
              <w:jc w:val="left"/>
              <w:textAlignment w:val="center"/>
              <w:rPr>
                <w:rFonts w:ascii="仿宋_GB2312" w:hAnsi="仿宋_GB2312"/>
                <w:b/>
                <w:bCs/>
                <w:color w:val="000000"/>
                <w:sz w:val="24"/>
                <w:szCs w:val="24"/>
              </w:rPr>
            </w:pPr>
            <w:r>
              <w:rPr>
                <w:rFonts w:hint="eastAsia" w:ascii="仿宋_GB2312" w:hAnsi="仿宋_GB2312" w:eastAsia="仿宋_GB2312" w:cs="仿宋_GB2312"/>
                <w:color w:val="000000"/>
                <w:sz w:val="24"/>
              </w:rPr>
              <w:t>优化支出结构，着力保障改善民生。推进各项财政改革，加强预算绩效管理，提高财政资金使用效益。</w:t>
            </w:r>
          </w:p>
        </w:tc>
      </w:tr>
      <w:tr>
        <w:tblPrEx>
          <w:tblCellMar>
            <w:top w:w="0" w:type="dxa"/>
            <w:left w:w="15" w:type="dxa"/>
            <w:bottom w:w="0" w:type="dxa"/>
            <w:right w:w="15" w:type="dxa"/>
          </w:tblCellMar>
        </w:tblPrEx>
        <w:trPr>
          <w:trHeight w:val="454" w:hRule="atLeast"/>
          <w:jc w:val="center"/>
        </w:trPr>
        <w:tc>
          <w:tcPr>
            <w:tcW w:w="1441" w:type="dxa"/>
            <w:vMerge w:val="continue"/>
            <w:tcBorders>
              <w:top w:val="nil"/>
              <w:left w:val="single" w:color="000000" w:sz="4" w:space="0"/>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1549" w:type="dxa"/>
            <w:gridSpan w:val="4"/>
            <w:vMerge w:val="continue"/>
            <w:tcBorders>
              <w:top w:val="nil"/>
              <w:left w:val="nil"/>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1417" w:type="dxa"/>
            <w:gridSpan w:val="2"/>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生态效益</w:t>
            </w:r>
          </w:p>
        </w:tc>
        <w:tc>
          <w:tcPr>
            <w:tcW w:w="2709" w:type="dxa"/>
            <w:gridSpan w:val="4"/>
            <w:tcBorders>
              <w:top w:val="single" w:color="000000" w:sz="4" w:space="0"/>
              <w:left w:val="nil"/>
              <w:bottom w:val="single" w:color="000000" w:sz="4" w:space="0"/>
              <w:right w:val="single" w:color="000000" w:sz="4" w:space="0"/>
            </w:tcBorders>
            <w:vAlign w:val="center"/>
          </w:tcPr>
          <w:p>
            <w:pPr>
              <w:autoSpaceDN w:val="0"/>
              <w:spacing w:line="34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指标1：社会事业全面进步</w:t>
            </w:r>
          </w:p>
          <w:p>
            <w:pPr>
              <w:autoSpaceDN w:val="0"/>
              <w:spacing w:line="340" w:lineRule="exact"/>
              <w:jc w:val="left"/>
              <w:textAlignment w:val="center"/>
              <w:rPr>
                <w:rFonts w:ascii="仿宋_GB2312" w:hAnsi="仿宋_GB2312"/>
                <w:color w:val="000000"/>
                <w:sz w:val="24"/>
                <w:szCs w:val="24"/>
              </w:rPr>
            </w:pPr>
            <w:r>
              <w:rPr>
                <w:rFonts w:hint="eastAsia" w:ascii="仿宋_GB2312" w:hAnsi="仿宋_GB2312" w:eastAsia="仿宋_GB2312" w:cs="仿宋_GB2312"/>
                <w:color w:val="000000"/>
                <w:sz w:val="24"/>
              </w:rPr>
              <w:t>指标2：</w:t>
            </w:r>
          </w:p>
        </w:tc>
        <w:tc>
          <w:tcPr>
            <w:tcW w:w="2684" w:type="dxa"/>
            <w:gridSpan w:val="6"/>
            <w:tcBorders>
              <w:top w:val="single" w:color="000000" w:sz="4" w:space="0"/>
              <w:left w:val="nil"/>
              <w:bottom w:val="single" w:color="000000" w:sz="4" w:space="0"/>
              <w:right w:val="single" w:color="000000" w:sz="4" w:space="0"/>
            </w:tcBorders>
            <w:vAlign w:val="center"/>
          </w:tcPr>
          <w:p>
            <w:pPr>
              <w:autoSpaceDN w:val="0"/>
              <w:spacing w:line="400" w:lineRule="exact"/>
              <w:jc w:val="left"/>
              <w:textAlignment w:val="center"/>
              <w:rPr>
                <w:rFonts w:ascii="仿宋_GB2312" w:hAnsi="仿宋_GB2312"/>
                <w:b/>
                <w:bCs/>
                <w:color w:val="000000"/>
                <w:sz w:val="24"/>
                <w:szCs w:val="24"/>
              </w:rPr>
            </w:pPr>
            <w:r>
              <w:rPr>
                <w:rFonts w:hint="eastAsia" w:ascii="仿宋_GB2312" w:hAnsi="仿宋_GB2312" w:eastAsia="仿宋_GB2312" w:cs="仿宋_GB2312"/>
                <w:color w:val="000000"/>
                <w:sz w:val="24"/>
              </w:rPr>
              <w:t>保障文明县城、城乡绿化行动、水利攻坚行动、农村环境整治等重点民生项目建设</w:t>
            </w:r>
          </w:p>
        </w:tc>
      </w:tr>
      <w:tr>
        <w:tblPrEx>
          <w:tblCellMar>
            <w:top w:w="0" w:type="dxa"/>
            <w:left w:w="15" w:type="dxa"/>
            <w:bottom w:w="0" w:type="dxa"/>
            <w:right w:w="15" w:type="dxa"/>
          </w:tblCellMar>
        </w:tblPrEx>
        <w:trPr>
          <w:trHeight w:val="454" w:hRule="atLeast"/>
          <w:jc w:val="center"/>
        </w:trPr>
        <w:tc>
          <w:tcPr>
            <w:tcW w:w="1441" w:type="dxa"/>
            <w:vMerge w:val="continue"/>
            <w:tcBorders>
              <w:top w:val="nil"/>
              <w:left w:val="single" w:color="000000" w:sz="4" w:space="0"/>
              <w:bottom w:val="single" w:color="000000" w:sz="4" w:space="0"/>
              <w:right w:val="single" w:color="000000" w:sz="4" w:space="0"/>
            </w:tcBorders>
            <w:vAlign w:val="center"/>
          </w:tcPr>
          <w:p>
            <w:pPr>
              <w:widowControl/>
              <w:jc w:val="left"/>
              <w:rPr>
                <w:rFonts w:ascii="仿宋_GB2312" w:hAnsi="仿宋_GB2312"/>
                <w:color w:val="000000"/>
                <w:sz w:val="24"/>
                <w:szCs w:val="24"/>
              </w:rPr>
            </w:pPr>
            <w:bookmarkStart w:id="0" w:name="_GoBack" w:colFirst="3" w:colLast="7"/>
          </w:p>
        </w:tc>
        <w:tc>
          <w:tcPr>
            <w:tcW w:w="1549" w:type="dxa"/>
            <w:gridSpan w:val="4"/>
            <w:vMerge w:val="continue"/>
            <w:tcBorders>
              <w:top w:val="nil"/>
              <w:left w:val="nil"/>
              <w:bottom w:val="single" w:color="000000" w:sz="4" w:space="0"/>
              <w:right w:val="single" w:color="000000" w:sz="4" w:space="0"/>
            </w:tcBorders>
            <w:vAlign w:val="center"/>
          </w:tcPr>
          <w:p>
            <w:pPr>
              <w:widowControl/>
              <w:jc w:val="left"/>
              <w:rPr>
                <w:rFonts w:ascii="仿宋_GB2312" w:hAnsi="仿宋_GB2312"/>
                <w:color w:val="000000"/>
                <w:sz w:val="24"/>
                <w:szCs w:val="24"/>
              </w:rPr>
            </w:pPr>
          </w:p>
        </w:tc>
        <w:tc>
          <w:tcPr>
            <w:tcW w:w="1417" w:type="dxa"/>
            <w:gridSpan w:val="2"/>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社会公众或服务对象满意度</w:t>
            </w:r>
          </w:p>
        </w:tc>
        <w:tc>
          <w:tcPr>
            <w:tcW w:w="2709" w:type="dxa"/>
            <w:gridSpan w:val="4"/>
            <w:tcBorders>
              <w:top w:val="single" w:color="000000" w:sz="4" w:space="0"/>
              <w:left w:val="nil"/>
              <w:bottom w:val="single" w:color="000000" w:sz="4" w:space="0"/>
              <w:right w:val="single" w:color="000000" w:sz="4" w:space="0"/>
            </w:tcBorders>
            <w:vAlign w:val="center"/>
          </w:tcPr>
          <w:p>
            <w:pPr>
              <w:autoSpaceDN w:val="0"/>
              <w:spacing w:line="34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指标1：提高社会服务能力，促进县域经济社会和谐发展。</w:t>
            </w:r>
          </w:p>
          <w:p>
            <w:pPr>
              <w:autoSpaceDN w:val="0"/>
              <w:spacing w:line="340" w:lineRule="exact"/>
              <w:jc w:val="left"/>
              <w:textAlignment w:val="center"/>
              <w:rPr>
                <w:rFonts w:ascii="仿宋_GB2312" w:hAnsi="仿宋_GB2312"/>
                <w:color w:val="000000"/>
                <w:sz w:val="24"/>
                <w:szCs w:val="24"/>
              </w:rPr>
            </w:pPr>
            <w:r>
              <w:rPr>
                <w:rFonts w:hint="eastAsia" w:ascii="仿宋_GB2312" w:hAnsi="仿宋_GB2312" w:eastAsia="仿宋_GB2312" w:cs="仿宋_GB2312"/>
                <w:color w:val="000000"/>
                <w:sz w:val="24"/>
              </w:rPr>
              <w:t>指标2：</w:t>
            </w:r>
          </w:p>
        </w:tc>
        <w:tc>
          <w:tcPr>
            <w:tcW w:w="2684" w:type="dxa"/>
            <w:gridSpan w:val="6"/>
            <w:tcBorders>
              <w:top w:val="single" w:color="000000" w:sz="4" w:space="0"/>
              <w:left w:val="nil"/>
              <w:bottom w:val="single" w:color="000000" w:sz="4" w:space="0"/>
              <w:right w:val="single" w:color="000000" w:sz="4" w:space="0"/>
            </w:tcBorders>
            <w:vAlign w:val="center"/>
          </w:tcPr>
          <w:p>
            <w:pPr>
              <w:autoSpaceDN w:val="0"/>
              <w:spacing w:line="400" w:lineRule="exact"/>
              <w:jc w:val="left"/>
              <w:textAlignment w:val="center"/>
              <w:rPr>
                <w:rFonts w:ascii="仿宋_GB2312" w:hAnsi="仿宋_GB2312"/>
                <w:b/>
                <w:bCs/>
                <w:color w:val="000000"/>
                <w:sz w:val="24"/>
                <w:szCs w:val="24"/>
              </w:rPr>
            </w:pPr>
            <w:r>
              <w:rPr>
                <w:rFonts w:hint="eastAsia" w:ascii="仿宋_GB2312" w:hAnsi="仿宋_GB2312" w:eastAsia="仿宋_GB2312" w:cs="仿宋_GB2312"/>
                <w:color w:val="000000"/>
                <w:sz w:val="24"/>
              </w:rPr>
              <w:t>保障企业生产安全运营、居民日常生活需求，提高社会服务能力，争取服务对象满意度达100%。</w:t>
            </w:r>
          </w:p>
        </w:tc>
      </w:tr>
      <w:bookmarkEnd w:id="0"/>
      <w:tr>
        <w:tblPrEx>
          <w:tblCellMar>
            <w:top w:w="0" w:type="dxa"/>
            <w:left w:w="15" w:type="dxa"/>
            <w:bottom w:w="0" w:type="dxa"/>
            <w:right w:w="15" w:type="dxa"/>
          </w:tblCellMar>
        </w:tblPrEx>
        <w:trPr>
          <w:trHeight w:val="567" w:hRule="atLeast"/>
          <w:jc w:val="center"/>
        </w:trPr>
        <w:tc>
          <w:tcPr>
            <w:tcW w:w="2990" w:type="dxa"/>
            <w:gridSpan w:val="5"/>
            <w:tcBorders>
              <w:top w:val="single" w:color="000000" w:sz="4" w:space="0"/>
              <w:left w:val="single" w:color="000000" w:sz="4" w:space="0"/>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绩效自评综合得分</w:t>
            </w:r>
          </w:p>
        </w:tc>
        <w:tc>
          <w:tcPr>
            <w:tcW w:w="6810" w:type="dxa"/>
            <w:gridSpan w:val="12"/>
            <w:tcBorders>
              <w:top w:val="single" w:color="000000" w:sz="4" w:space="0"/>
              <w:left w:val="nil"/>
              <w:bottom w:val="single" w:color="000000" w:sz="4" w:space="0"/>
              <w:right w:val="single" w:color="000000" w:sz="4" w:space="0"/>
            </w:tcBorders>
            <w:vAlign w:val="center"/>
          </w:tcPr>
          <w:p>
            <w:pPr>
              <w:autoSpaceDN w:val="0"/>
              <w:spacing w:line="400" w:lineRule="exact"/>
              <w:jc w:val="center"/>
              <w:textAlignment w:val="center"/>
              <w:rPr>
                <w:rFonts w:ascii="仿宋_GB2312" w:hAnsi="仿宋_GB2312"/>
                <w:color w:val="000000"/>
                <w:sz w:val="24"/>
                <w:szCs w:val="24"/>
              </w:rPr>
            </w:pPr>
            <w:r>
              <w:rPr>
                <w:rFonts w:hint="eastAsia" w:ascii="仿宋_GB2312" w:hAnsi="仿宋_GB2312" w:eastAsia="仿宋_GB2312" w:cs="仿宋_GB2312"/>
                <w:color w:val="000000"/>
                <w:sz w:val="24"/>
              </w:rPr>
              <w:t>95</w:t>
            </w:r>
          </w:p>
        </w:tc>
      </w:tr>
      <w:tr>
        <w:tblPrEx>
          <w:tblCellMar>
            <w:top w:w="0" w:type="dxa"/>
            <w:left w:w="15" w:type="dxa"/>
            <w:bottom w:w="0" w:type="dxa"/>
            <w:right w:w="15" w:type="dxa"/>
          </w:tblCellMar>
        </w:tblPrEx>
        <w:trPr>
          <w:trHeight w:val="567" w:hRule="atLeast"/>
          <w:jc w:val="center"/>
        </w:trPr>
        <w:tc>
          <w:tcPr>
            <w:tcW w:w="2990" w:type="dxa"/>
            <w:gridSpan w:val="5"/>
            <w:tcBorders>
              <w:top w:val="single" w:color="000000" w:sz="4" w:space="0"/>
              <w:left w:val="single" w:color="000000" w:sz="4" w:space="0"/>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评价等次</w:t>
            </w:r>
          </w:p>
        </w:tc>
        <w:tc>
          <w:tcPr>
            <w:tcW w:w="6810" w:type="dxa"/>
            <w:gridSpan w:val="12"/>
            <w:tcBorders>
              <w:top w:val="single" w:color="000000" w:sz="4" w:space="0"/>
              <w:left w:val="nil"/>
              <w:bottom w:val="single" w:color="000000" w:sz="4" w:space="0"/>
              <w:right w:val="single" w:color="000000" w:sz="4" w:space="0"/>
            </w:tcBorders>
            <w:vAlign w:val="center"/>
          </w:tcPr>
          <w:p>
            <w:pPr>
              <w:autoSpaceDN w:val="0"/>
              <w:spacing w:line="400" w:lineRule="exact"/>
              <w:jc w:val="center"/>
              <w:textAlignment w:val="center"/>
              <w:rPr>
                <w:rFonts w:ascii="仿宋_GB2312" w:hAnsi="仿宋_GB2312"/>
                <w:color w:val="000000"/>
                <w:sz w:val="24"/>
                <w:szCs w:val="24"/>
              </w:rPr>
            </w:pPr>
            <w:r>
              <w:rPr>
                <w:rFonts w:hint="eastAsia" w:ascii="仿宋_GB2312" w:hAnsi="仿宋_GB2312" w:eastAsia="仿宋_GB2312" w:cs="仿宋_GB2312"/>
                <w:color w:val="000000"/>
                <w:sz w:val="24"/>
              </w:rPr>
              <w:t>优秀</w:t>
            </w:r>
          </w:p>
        </w:tc>
      </w:tr>
      <w:tr>
        <w:tblPrEx>
          <w:tblCellMar>
            <w:top w:w="0" w:type="dxa"/>
            <w:left w:w="15" w:type="dxa"/>
            <w:bottom w:w="0" w:type="dxa"/>
            <w:right w:w="15" w:type="dxa"/>
          </w:tblCellMar>
        </w:tblPrEx>
        <w:trPr>
          <w:trHeight w:val="680" w:hRule="atLeast"/>
          <w:jc w:val="center"/>
        </w:trPr>
        <w:tc>
          <w:tcPr>
            <w:tcW w:w="9800" w:type="dxa"/>
            <w:gridSpan w:val="17"/>
            <w:tcBorders>
              <w:top w:val="single" w:color="000000" w:sz="4" w:space="0"/>
              <w:left w:val="single" w:color="000000" w:sz="4" w:space="0"/>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hint="eastAsia" w:ascii="黑体" w:hAnsi="黑体" w:eastAsia="黑体"/>
                <w:color w:val="000000"/>
                <w:sz w:val="28"/>
                <w:szCs w:val="28"/>
              </w:rPr>
              <w:t>四、评价人员</w:t>
            </w:r>
          </w:p>
        </w:tc>
      </w:tr>
      <w:tr>
        <w:tblPrEx>
          <w:tblCellMar>
            <w:top w:w="0" w:type="dxa"/>
            <w:left w:w="15" w:type="dxa"/>
            <w:bottom w:w="0" w:type="dxa"/>
            <w:right w:w="15" w:type="dxa"/>
          </w:tblCellMar>
        </w:tblPrEx>
        <w:trPr>
          <w:trHeight w:val="567" w:hRule="atLeast"/>
          <w:jc w:val="center"/>
        </w:trPr>
        <w:tc>
          <w:tcPr>
            <w:tcW w:w="1654" w:type="dxa"/>
            <w:gridSpan w:val="2"/>
            <w:tcBorders>
              <w:top w:val="single" w:color="000000" w:sz="4" w:space="0"/>
              <w:left w:val="single" w:color="000000" w:sz="4" w:space="0"/>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姓  名</w:t>
            </w:r>
          </w:p>
        </w:tc>
        <w:tc>
          <w:tcPr>
            <w:tcW w:w="3561" w:type="dxa"/>
            <w:gridSpan w:val="6"/>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职务/职称</w:t>
            </w:r>
          </w:p>
        </w:tc>
        <w:tc>
          <w:tcPr>
            <w:tcW w:w="1479" w:type="dxa"/>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单  位</w:t>
            </w:r>
          </w:p>
        </w:tc>
        <w:tc>
          <w:tcPr>
            <w:tcW w:w="3106" w:type="dxa"/>
            <w:gridSpan w:val="8"/>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r>
              <w:rPr>
                <w:rFonts w:ascii="仿宋_GB2312" w:hAnsi="仿宋_GB2312"/>
                <w:color w:val="000000"/>
                <w:sz w:val="24"/>
                <w:szCs w:val="24"/>
              </w:rPr>
              <w:t>签  字</w:t>
            </w:r>
          </w:p>
        </w:tc>
      </w:tr>
      <w:tr>
        <w:tblPrEx>
          <w:tblCellMar>
            <w:top w:w="0" w:type="dxa"/>
            <w:left w:w="15" w:type="dxa"/>
            <w:bottom w:w="0" w:type="dxa"/>
            <w:right w:w="15" w:type="dxa"/>
          </w:tblCellMar>
        </w:tblPrEx>
        <w:trPr>
          <w:trHeight w:val="680" w:hRule="atLeast"/>
          <w:jc w:val="center"/>
        </w:trPr>
        <w:tc>
          <w:tcPr>
            <w:tcW w:w="1654" w:type="dxa"/>
            <w:gridSpan w:val="2"/>
            <w:tcBorders>
              <w:top w:val="single" w:color="000000" w:sz="4" w:space="0"/>
              <w:left w:val="single" w:color="000000" w:sz="4" w:space="0"/>
              <w:bottom w:val="single" w:color="000000" w:sz="4" w:space="0"/>
              <w:right w:val="single" w:color="000000" w:sz="4" w:space="0"/>
            </w:tcBorders>
            <w:vAlign w:val="center"/>
          </w:tcPr>
          <w:p>
            <w:pPr>
              <w:rPr>
                <w:rFonts w:hint="eastAsia" w:ascii="仿宋_GB2312" w:hAnsi="仿宋_GB2312" w:eastAsia="宋体"/>
                <w:color w:val="000000"/>
                <w:sz w:val="24"/>
                <w:szCs w:val="24"/>
                <w:lang w:val="en-US" w:eastAsia="zh-CN"/>
              </w:rPr>
            </w:pPr>
            <w:r>
              <w:rPr>
                <w:rFonts w:hint="eastAsia" w:ascii="仿宋_GB2312" w:hAnsi="仿宋_GB2312"/>
                <w:color w:val="000000"/>
                <w:sz w:val="24"/>
                <w:szCs w:val="24"/>
                <w:lang w:val="en-US" w:eastAsia="zh-CN"/>
              </w:rPr>
              <w:t>陈 斌</w:t>
            </w:r>
          </w:p>
        </w:tc>
        <w:tc>
          <w:tcPr>
            <w:tcW w:w="3561" w:type="dxa"/>
            <w:gridSpan w:val="6"/>
            <w:tcBorders>
              <w:top w:val="single" w:color="000000" w:sz="4" w:space="0"/>
              <w:left w:val="nil"/>
              <w:bottom w:val="single" w:color="000000" w:sz="4" w:space="0"/>
              <w:right w:val="single" w:color="000000" w:sz="4" w:space="0"/>
            </w:tcBorders>
            <w:vAlign w:val="center"/>
          </w:tcPr>
          <w:p>
            <w:pPr>
              <w:rPr>
                <w:rFonts w:ascii="仿宋_GB2312" w:hAnsi="仿宋_GB2312"/>
                <w:color w:val="000000"/>
                <w:sz w:val="24"/>
                <w:szCs w:val="24"/>
              </w:rPr>
            </w:pPr>
            <w:r>
              <w:rPr>
                <w:rFonts w:hint="eastAsia" w:ascii="仿宋_GB2312" w:eastAsia="仿宋_GB2312"/>
                <w:szCs w:val="21"/>
              </w:rPr>
              <w:t>副局长</w:t>
            </w:r>
          </w:p>
        </w:tc>
        <w:tc>
          <w:tcPr>
            <w:tcW w:w="1479" w:type="dxa"/>
            <w:tcBorders>
              <w:top w:val="single" w:color="000000" w:sz="4" w:space="0"/>
              <w:left w:val="nil"/>
              <w:bottom w:val="single" w:color="000000" w:sz="4" w:space="0"/>
              <w:right w:val="single" w:color="000000" w:sz="4" w:space="0"/>
            </w:tcBorders>
            <w:vAlign w:val="center"/>
          </w:tcPr>
          <w:p>
            <w:pPr>
              <w:rPr>
                <w:rFonts w:ascii="仿宋_GB2312" w:hAnsi="仿宋_GB2312"/>
                <w:color w:val="000000"/>
                <w:sz w:val="24"/>
                <w:szCs w:val="24"/>
              </w:rPr>
            </w:pPr>
            <w:r>
              <w:rPr>
                <w:rFonts w:hint="eastAsia" w:ascii="仿宋_GB2312" w:eastAsia="仿宋_GB2312"/>
                <w:szCs w:val="21"/>
              </w:rPr>
              <w:t>财政局</w:t>
            </w:r>
          </w:p>
        </w:tc>
        <w:tc>
          <w:tcPr>
            <w:tcW w:w="3106" w:type="dxa"/>
            <w:gridSpan w:val="8"/>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r>
      <w:tr>
        <w:tblPrEx>
          <w:tblCellMar>
            <w:top w:w="0" w:type="dxa"/>
            <w:left w:w="15" w:type="dxa"/>
            <w:bottom w:w="0" w:type="dxa"/>
            <w:right w:w="15" w:type="dxa"/>
          </w:tblCellMar>
        </w:tblPrEx>
        <w:trPr>
          <w:trHeight w:val="680" w:hRule="atLeast"/>
          <w:jc w:val="center"/>
        </w:trPr>
        <w:tc>
          <w:tcPr>
            <w:tcW w:w="1654" w:type="dxa"/>
            <w:gridSpan w:val="2"/>
            <w:tcBorders>
              <w:top w:val="single" w:color="000000" w:sz="4" w:space="0"/>
              <w:left w:val="single" w:color="000000" w:sz="4" w:space="0"/>
              <w:bottom w:val="single" w:color="000000" w:sz="4" w:space="0"/>
              <w:right w:val="single" w:color="000000" w:sz="4" w:space="0"/>
            </w:tcBorders>
            <w:vAlign w:val="center"/>
          </w:tcPr>
          <w:p>
            <w:pPr>
              <w:rPr>
                <w:rFonts w:ascii="仿宋_GB2312" w:hAnsi="仿宋_GB2312"/>
                <w:color w:val="000000"/>
                <w:sz w:val="24"/>
                <w:szCs w:val="24"/>
              </w:rPr>
            </w:pPr>
            <w:r>
              <w:rPr>
                <w:rFonts w:hint="eastAsia" w:ascii="仿宋_GB2312" w:eastAsia="仿宋_GB2312"/>
                <w:szCs w:val="21"/>
                <w:lang w:eastAsia="zh-CN"/>
              </w:rPr>
              <w:t>杜</w:t>
            </w:r>
            <w:r>
              <w:rPr>
                <w:rFonts w:hint="eastAsia" w:ascii="仿宋_GB2312" w:eastAsia="仿宋_GB2312"/>
                <w:szCs w:val="21"/>
                <w:lang w:val="en-US" w:eastAsia="zh-CN"/>
              </w:rPr>
              <w:t xml:space="preserve"> </w:t>
            </w:r>
            <w:r>
              <w:rPr>
                <w:rFonts w:hint="eastAsia" w:ascii="仿宋_GB2312" w:eastAsia="仿宋_GB2312"/>
                <w:szCs w:val="21"/>
                <w:lang w:eastAsia="zh-CN"/>
              </w:rPr>
              <w:t>云</w:t>
            </w:r>
          </w:p>
        </w:tc>
        <w:tc>
          <w:tcPr>
            <w:tcW w:w="3561" w:type="dxa"/>
            <w:gridSpan w:val="6"/>
            <w:tcBorders>
              <w:top w:val="single" w:color="000000" w:sz="4" w:space="0"/>
              <w:left w:val="nil"/>
              <w:bottom w:val="single" w:color="000000" w:sz="4" w:space="0"/>
              <w:right w:val="single" w:color="000000" w:sz="4" w:space="0"/>
            </w:tcBorders>
            <w:vAlign w:val="center"/>
          </w:tcPr>
          <w:p>
            <w:pPr>
              <w:rPr>
                <w:rFonts w:ascii="仿宋_GB2312" w:hAnsi="仿宋_GB2312"/>
                <w:color w:val="000000"/>
                <w:sz w:val="24"/>
                <w:szCs w:val="24"/>
              </w:rPr>
            </w:pPr>
            <w:r>
              <w:rPr>
                <w:rFonts w:hint="eastAsia" w:ascii="仿宋_GB2312" w:eastAsia="仿宋_GB2312"/>
                <w:szCs w:val="21"/>
              </w:rPr>
              <w:t>办公室主任</w:t>
            </w:r>
          </w:p>
        </w:tc>
        <w:tc>
          <w:tcPr>
            <w:tcW w:w="1479" w:type="dxa"/>
            <w:tcBorders>
              <w:top w:val="single" w:color="000000" w:sz="4" w:space="0"/>
              <w:left w:val="nil"/>
              <w:bottom w:val="single" w:color="000000" w:sz="4" w:space="0"/>
              <w:right w:val="single" w:color="000000" w:sz="4" w:space="0"/>
            </w:tcBorders>
            <w:vAlign w:val="center"/>
          </w:tcPr>
          <w:p>
            <w:pPr>
              <w:rPr>
                <w:rFonts w:ascii="仿宋_GB2312" w:hAnsi="仿宋_GB2312"/>
                <w:color w:val="000000"/>
                <w:sz w:val="24"/>
                <w:szCs w:val="24"/>
              </w:rPr>
            </w:pPr>
            <w:r>
              <w:rPr>
                <w:rFonts w:hint="eastAsia" w:ascii="仿宋_GB2312" w:eastAsia="仿宋_GB2312"/>
                <w:szCs w:val="21"/>
              </w:rPr>
              <w:t>财政局</w:t>
            </w:r>
          </w:p>
        </w:tc>
        <w:tc>
          <w:tcPr>
            <w:tcW w:w="3106" w:type="dxa"/>
            <w:gridSpan w:val="8"/>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r>
      <w:tr>
        <w:tblPrEx>
          <w:tblCellMar>
            <w:top w:w="0" w:type="dxa"/>
            <w:left w:w="15" w:type="dxa"/>
            <w:bottom w:w="0" w:type="dxa"/>
            <w:right w:w="15" w:type="dxa"/>
          </w:tblCellMar>
        </w:tblPrEx>
        <w:trPr>
          <w:trHeight w:val="680" w:hRule="atLeast"/>
          <w:jc w:val="center"/>
        </w:trPr>
        <w:tc>
          <w:tcPr>
            <w:tcW w:w="1654" w:type="dxa"/>
            <w:gridSpan w:val="2"/>
            <w:tcBorders>
              <w:top w:val="single" w:color="000000" w:sz="4" w:space="0"/>
              <w:left w:val="single" w:color="000000" w:sz="4" w:space="0"/>
              <w:bottom w:val="single" w:color="000000" w:sz="4" w:space="0"/>
              <w:right w:val="single" w:color="000000" w:sz="4" w:space="0"/>
            </w:tcBorders>
            <w:vAlign w:val="center"/>
          </w:tcPr>
          <w:p>
            <w:pPr>
              <w:spacing w:line="320" w:lineRule="exact"/>
              <w:jc w:val="center"/>
              <w:textAlignment w:val="center"/>
              <w:rPr>
                <w:rFonts w:hint="eastAsia" w:ascii="仿宋_GB2312" w:hAnsi="仿宋_GB2312" w:eastAsia="宋体"/>
                <w:color w:val="000000"/>
                <w:sz w:val="24"/>
                <w:szCs w:val="24"/>
                <w:lang w:eastAsia="zh-CN"/>
              </w:rPr>
            </w:pPr>
          </w:p>
        </w:tc>
        <w:tc>
          <w:tcPr>
            <w:tcW w:w="3561" w:type="dxa"/>
            <w:gridSpan w:val="6"/>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c>
          <w:tcPr>
            <w:tcW w:w="1479" w:type="dxa"/>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c>
          <w:tcPr>
            <w:tcW w:w="3106" w:type="dxa"/>
            <w:gridSpan w:val="8"/>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r>
      <w:tr>
        <w:tblPrEx>
          <w:tblCellMar>
            <w:top w:w="0" w:type="dxa"/>
            <w:left w:w="15" w:type="dxa"/>
            <w:bottom w:w="0" w:type="dxa"/>
            <w:right w:w="15" w:type="dxa"/>
          </w:tblCellMar>
        </w:tblPrEx>
        <w:trPr>
          <w:trHeight w:val="680" w:hRule="atLeast"/>
          <w:jc w:val="center"/>
        </w:trPr>
        <w:tc>
          <w:tcPr>
            <w:tcW w:w="1654" w:type="dxa"/>
            <w:gridSpan w:val="2"/>
            <w:tcBorders>
              <w:top w:val="single" w:color="000000" w:sz="4" w:space="0"/>
              <w:left w:val="single" w:color="000000" w:sz="4" w:space="0"/>
              <w:bottom w:val="single" w:color="000000" w:sz="4" w:space="0"/>
              <w:right w:val="single" w:color="000000" w:sz="4" w:space="0"/>
            </w:tcBorders>
            <w:vAlign w:val="center"/>
          </w:tcPr>
          <w:p>
            <w:pPr>
              <w:spacing w:line="320" w:lineRule="exact"/>
              <w:jc w:val="left"/>
              <w:textAlignment w:val="center"/>
              <w:rPr>
                <w:rFonts w:ascii="仿宋_GB2312" w:hAnsi="仿宋_GB2312"/>
                <w:color w:val="000000"/>
                <w:sz w:val="24"/>
                <w:szCs w:val="24"/>
              </w:rPr>
            </w:pPr>
            <w:r>
              <w:rPr>
                <w:rFonts w:ascii="仿宋_GB2312" w:hAnsi="仿宋_GB2312"/>
                <w:color w:val="000000"/>
                <w:sz w:val="24"/>
                <w:szCs w:val="24"/>
              </w:rPr>
              <w:t>评价组组长（签字）：</w:t>
            </w:r>
          </w:p>
          <w:p>
            <w:pPr>
              <w:spacing w:line="320" w:lineRule="exact"/>
              <w:jc w:val="left"/>
              <w:textAlignment w:val="center"/>
              <w:rPr>
                <w:rFonts w:ascii="仿宋_GB2312" w:hAnsi="仿宋_GB2312"/>
                <w:color w:val="000000"/>
                <w:sz w:val="24"/>
                <w:szCs w:val="24"/>
              </w:rPr>
            </w:pPr>
          </w:p>
          <w:p>
            <w:pPr>
              <w:spacing w:line="320" w:lineRule="exact"/>
              <w:jc w:val="left"/>
              <w:textAlignment w:val="center"/>
              <w:rPr>
                <w:rFonts w:ascii="仿宋_GB2312" w:hAnsi="仿宋_GB2312"/>
                <w:color w:val="000000"/>
                <w:sz w:val="24"/>
                <w:szCs w:val="24"/>
              </w:rPr>
            </w:pPr>
          </w:p>
          <w:p>
            <w:pPr>
              <w:spacing w:line="320" w:lineRule="exact"/>
              <w:jc w:val="left"/>
              <w:textAlignment w:val="center"/>
              <w:rPr>
                <w:rFonts w:ascii="仿宋_GB2312" w:hAnsi="仿宋_GB2312"/>
                <w:color w:val="000000"/>
                <w:sz w:val="24"/>
                <w:szCs w:val="24"/>
              </w:rPr>
            </w:pPr>
          </w:p>
          <w:p>
            <w:pPr>
              <w:spacing w:line="320" w:lineRule="exact"/>
              <w:jc w:val="left"/>
              <w:textAlignment w:val="center"/>
              <w:rPr>
                <w:rFonts w:ascii="仿宋_GB2312" w:hAnsi="仿宋_GB2312"/>
                <w:color w:val="000000"/>
                <w:sz w:val="24"/>
                <w:szCs w:val="24"/>
              </w:rPr>
            </w:pPr>
          </w:p>
          <w:p>
            <w:pPr>
              <w:spacing w:line="320" w:lineRule="exact"/>
              <w:jc w:val="left"/>
              <w:textAlignment w:val="center"/>
              <w:rPr>
                <w:rFonts w:ascii="仿宋_GB2312" w:hAnsi="仿宋_GB2312"/>
                <w:color w:val="000000"/>
                <w:sz w:val="24"/>
                <w:szCs w:val="24"/>
              </w:rPr>
            </w:pPr>
          </w:p>
          <w:p>
            <w:pPr>
              <w:spacing w:line="320" w:lineRule="exact"/>
              <w:jc w:val="left"/>
              <w:textAlignment w:val="center"/>
              <w:rPr>
                <w:rFonts w:ascii="仿宋_GB2312" w:hAnsi="仿宋_GB2312"/>
                <w:color w:val="000000"/>
                <w:sz w:val="24"/>
                <w:szCs w:val="24"/>
              </w:rPr>
            </w:pPr>
            <w:r>
              <w:rPr>
                <w:rFonts w:ascii="仿宋_GB2312" w:hAnsi="仿宋_GB2312"/>
                <w:color w:val="000000"/>
                <w:sz w:val="24"/>
                <w:szCs w:val="24"/>
              </w:rPr>
              <w:t xml:space="preserve">                                                               年    月    日</w:t>
            </w:r>
          </w:p>
        </w:tc>
        <w:tc>
          <w:tcPr>
            <w:tcW w:w="3561" w:type="dxa"/>
            <w:gridSpan w:val="6"/>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c>
          <w:tcPr>
            <w:tcW w:w="1479" w:type="dxa"/>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c>
          <w:tcPr>
            <w:tcW w:w="3106" w:type="dxa"/>
            <w:gridSpan w:val="8"/>
            <w:tcBorders>
              <w:top w:val="single" w:color="000000" w:sz="4" w:space="0"/>
              <w:left w:val="nil"/>
              <w:bottom w:val="single" w:color="000000" w:sz="4" w:space="0"/>
              <w:right w:val="single" w:color="000000" w:sz="4" w:space="0"/>
            </w:tcBorders>
            <w:vAlign w:val="center"/>
          </w:tcPr>
          <w:p>
            <w:pPr>
              <w:spacing w:line="320" w:lineRule="exact"/>
              <w:jc w:val="center"/>
              <w:textAlignment w:val="center"/>
              <w:rPr>
                <w:rFonts w:ascii="仿宋_GB2312" w:hAnsi="仿宋_GB2312"/>
                <w:color w:val="000000"/>
                <w:sz w:val="24"/>
                <w:szCs w:val="24"/>
              </w:rPr>
            </w:pPr>
          </w:p>
        </w:tc>
      </w:tr>
      <w:tr>
        <w:tblPrEx>
          <w:tblCellMar>
            <w:top w:w="0" w:type="dxa"/>
            <w:left w:w="15" w:type="dxa"/>
            <w:bottom w:w="0" w:type="dxa"/>
            <w:right w:w="15" w:type="dxa"/>
          </w:tblCellMar>
        </w:tblPrEx>
        <w:trPr>
          <w:trHeight w:val="2722" w:hRule="atLeast"/>
          <w:jc w:val="center"/>
        </w:trPr>
        <w:tc>
          <w:tcPr>
            <w:tcW w:w="9800" w:type="dxa"/>
            <w:gridSpan w:val="17"/>
            <w:tcBorders>
              <w:top w:val="single" w:color="000000" w:sz="4" w:space="0"/>
              <w:left w:val="single" w:color="000000" w:sz="4" w:space="0"/>
              <w:bottom w:val="single" w:color="000000" w:sz="4" w:space="0"/>
              <w:right w:val="single" w:color="000000" w:sz="4" w:space="0"/>
            </w:tcBorders>
            <w:vAlign w:val="center"/>
          </w:tcPr>
          <w:p>
            <w:pPr>
              <w:spacing w:line="320" w:lineRule="exact"/>
              <w:jc w:val="left"/>
              <w:textAlignment w:val="center"/>
              <w:rPr>
                <w:rFonts w:ascii="仿宋_GB2312" w:hAnsi="仿宋_GB2312"/>
                <w:color w:val="000000"/>
                <w:sz w:val="24"/>
                <w:szCs w:val="24"/>
              </w:rPr>
            </w:pPr>
            <w:r>
              <w:rPr>
                <w:rFonts w:ascii="仿宋_GB2312" w:hAnsi="仿宋_GB2312"/>
                <w:color w:val="000000"/>
                <w:sz w:val="24"/>
                <w:szCs w:val="24"/>
              </w:rPr>
              <w:t>部门（单位）意见：</w:t>
            </w:r>
          </w:p>
          <w:p>
            <w:pPr>
              <w:spacing w:line="320" w:lineRule="exact"/>
              <w:jc w:val="left"/>
              <w:textAlignment w:val="center"/>
              <w:rPr>
                <w:rFonts w:ascii="仿宋_GB2312" w:hAnsi="仿宋_GB2312"/>
                <w:color w:val="000000"/>
                <w:sz w:val="24"/>
                <w:szCs w:val="24"/>
              </w:rPr>
            </w:pPr>
          </w:p>
          <w:p>
            <w:pPr>
              <w:spacing w:line="320" w:lineRule="exact"/>
              <w:jc w:val="left"/>
              <w:textAlignment w:val="center"/>
              <w:rPr>
                <w:rFonts w:ascii="仿宋_GB2312" w:hAnsi="仿宋_GB2312"/>
                <w:color w:val="000000"/>
                <w:sz w:val="24"/>
                <w:szCs w:val="24"/>
              </w:rPr>
            </w:pPr>
          </w:p>
          <w:p>
            <w:pPr>
              <w:spacing w:line="320" w:lineRule="exact"/>
              <w:jc w:val="left"/>
              <w:textAlignment w:val="center"/>
              <w:rPr>
                <w:rFonts w:ascii="仿宋_GB2312" w:hAnsi="仿宋_GB2312"/>
                <w:color w:val="000000"/>
                <w:sz w:val="24"/>
                <w:szCs w:val="24"/>
              </w:rPr>
            </w:pPr>
          </w:p>
          <w:p>
            <w:pPr>
              <w:spacing w:line="320" w:lineRule="exact"/>
              <w:jc w:val="left"/>
              <w:textAlignment w:val="center"/>
              <w:rPr>
                <w:rFonts w:ascii="仿宋_GB2312" w:hAnsi="仿宋_GB2312"/>
                <w:color w:val="000000"/>
                <w:sz w:val="24"/>
                <w:szCs w:val="24"/>
              </w:rPr>
            </w:pPr>
          </w:p>
          <w:p>
            <w:pPr>
              <w:spacing w:line="320" w:lineRule="exact"/>
              <w:jc w:val="left"/>
              <w:textAlignment w:val="center"/>
              <w:rPr>
                <w:rFonts w:ascii="仿宋_GB2312" w:hAnsi="仿宋_GB2312"/>
                <w:color w:val="000000"/>
                <w:sz w:val="24"/>
                <w:szCs w:val="24"/>
              </w:rPr>
            </w:pPr>
            <w:r>
              <w:rPr>
                <w:rFonts w:ascii="仿宋_GB2312" w:hAnsi="仿宋_GB2312"/>
                <w:color w:val="000000"/>
                <w:sz w:val="24"/>
                <w:szCs w:val="24"/>
              </w:rPr>
              <w:t xml:space="preserve">                                         部门（单位）负责人（签章）：</w:t>
            </w:r>
          </w:p>
          <w:p>
            <w:pPr>
              <w:spacing w:line="320" w:lineRule="exact"/>
              <w:jc w:val="left"/>
              <w:textAlignment w:val="center"/>
              <w:rPr>
                <w:rFonts w:ascii="仿宋_GB2312" w:hAnsi="仿宋_GB2312"/>
                <w:color w:val="000000"/>
                <w:sz w:val="24"/>
                <w:szCs w:val="24"/>
              </w:rPr>
            </w:pPr>
            <w:r>
              <w:rPr>
                <w:rFonts w:ascii="仿宋_GB2312" w:hAnsi="仿宋_GB2312"/>
                <w:color w:val="000000"/>
                <w:sz w:val="24"/>
                <w:szCs w:val="24"/>
              </w:rPr>
              <w:t xml:space="preserve">                                                               年    月    日</w:t>
            </w:r>
          </w:p>
        </w:tc>
      </w:tr>
      <w:tr>
        <w:tblPrEx>
          <w:tblCellMar>
            <w:top w:w="0" w:type="dxa"/>
            <w:left w:w="15" w:type="dxa"/>
            <w:bottom w:w="0" w:type="dxa"/>
            <w:right w:w="15" w:type="dxa"/>
          </w:tblCellMar>
        </w:tblPrEx>
        <w:trPr>
          <w:trHeight w:val="2722" w:hRule="atLeast"/>
          <w:jc w:val="center"/>
        </w:trPr>
        <w:tc>
          <w:tcPr>
            <w:tcW w:w="9800" w:type="dxa"/>
            <w:gridSpan w:val="17"/>
            <w:tcBorders>
              <w:top w:val="single" w:color="000000" w:sz="4" w:space="0"/>
              <w:left w:val="single" w:color="000000" w:sz="4" w:space="0"/>
              <w:bottom w:val="single" w:color="000000" w:sz="4" w:space="0"/>
              <w:right w:val="single" w:color="000000" w:sz="4" w:space="0"/>
            </w:tcBorders>
            <w:vAlign w:val="center"/>
          </w:tcPr>
          <w:p>
            <w:pPr>
              <w:spacing w:line="320" w:lineRule="exact"/>
              <w:rPr>
                <w:sz w:val="24"/>
                <w:szCs w:val="24"/>
              </w:rPr>
            </w:pPr>
            <w:r>
              <w:rPr>
                <w:sz w:val="24"/>
                <w:szCs w:val="24"/>
              </w:rPr>
              <w:t>财政部门归口业务</w:t>
            </w:r>
            <w:r>
              <w:rPr>
                <w:rFonts w:hint="eastAsia"/>
                <w:sz w:val="24"/>
                <w:szCs w:val="24"/>
                <w:lang w:eastAsia="zh-CN"/>
              </w:rPr>
              <w:t>股</w:t>
            </w:r>
            <w:r>
              <w:rPr>
                <w:sz w:val="24"/>
                <w:szCs w:val="24"/>
              </w:rPr>
              <w:t>室意见：</w:t>
            </w:r>
          </w:p>
          <w:p>
            <w:pPr>
              <w:spacing w:line="320" w:lineRule="exact"/>
              <w:rPr>
                <w:sz w:val="24"/>
                <w:szCs w:val="24"/>
              </w:rPr>
            </w:pPr>
          </w:p>
          <w:p>
            <w:pPr>
              <w:spacing w:line="320" w:lineRule="exact"/>
              <w:rPr>
                <w:sz w:val="24"/>
                <w:szCs w:val="24"/>
              </w:rPr>
            </w:pPr>
          </w:p>
          <w:p>
            <w:pPr>
              <w:spacing w:line="320" w:lineRule="exact"/>
              <w:rPr>
                <w:sz w:val="24"/>
                <w:szCs w:val="24"/>
              </w:rPr>
            </w:pPr>
          </w:p>
          <w:p>
            <w:pPr>
              <w:spacing w:line="320" w:lineRule="exact"/>
              <w:rPr>
                <w:sz w:val="24"/>
                <w:szCs w:val="24"/>
              </w:rPr>
            </w:pPr>
          </w:p>
          <w:p>
            <w:pPr>
              <w:spacing w:line="320" w:lineRule="exact"/>
              <w:rPr>
                <w:sz w:val="24"/>
                <w:szCs w:val="24"/>
              </w:rPr>
            </w:pPr>
            <w:r>
              <w:rPr>
                <w:sz w:val="24"/>
                <w:szCs w:val="24"/>
              </w:rPr>
              <w:t xml:space="preserve">                                  财政部门归口业务</w:t>
            </w:r>
            <w:r>
              <w:rPr>
                <w:rFonts w:hint="eastAsia"/>
                <w:sz w:val="24"/>
                <w:szCs w:val="24"/>
                <w:lang w:eastAsia="zh-CN"/>
              </w:rPr>
              <w:t>股</w:t>
            </w:r>
            <w:r>
              <w:rPr>
                <w:sz w:val="24"/>
                <w:szCs w:val="24"/>
              </w:rPr>
              <w:t>室（签章）：</w:t>
            </w:r>
          </w:p>
          <w:p>
            <w:pPr>
              <w:spacing w:line="320" w:lineRule="exact"/>
              <w:jc w:val="left"/>
              <w:textAlignment w:val="center"/>
              <w:rPr>
                <w:rFonts w:ascii="仿宋_GB2312" w:hAnsi="仿宋_GB2312"/>
                <w:color w:val="000000"/>
                <w:sz w:val="24"/>
                <w:szCs w:val="24"/>
              </w:rPr>
            </w:pPr>
            <w:r>
              <w:rPr>
                <w:sz w:val="24"/>
                <w:szCs w:val="24"/>
              </w:rPr>
              <w:t xml:space="preserve">                                                                 年    月   日</w:t>
            </w:r>
          </w:p>
        </w:tc>
      </w:tr>
      <w:tr>
        <w:tblPrEx>
          <w:tblCellMar>
            <w:top w:w="0" w:type="dxa"/>
            <w:left w:w="15" w:type="dxa"/>
            <w:bottom w:w="0" w:type="dxa"/>
            <w:right w:w="15" w:type="dxa"/>
          </w:tblCellMar>
        </w:tblPrEx>
        <w:trPr>
          <w:trHeight w:val="2794" w:hRule="atLeast"/>
          <w:jc w:val="center"/>
        </w:trPr>
        <w:tc>
          <w:tcPr>
            <w:tcW w:w="9800" w:type="dxa"/>
            <w:gridSpan w:val="17"/>
            <w:tcBorders>
              <w:top w:val="single" w:color="000000" w:sz="4" w:space="0"/>
              <w:left w:val="single" w:color="000000" w:sz="4" w:space="0"/>
              <w:bottom w:val="single" w:color="000000" w:sz="4" w:space="0"/>
              <w:right w:val="single" w:color="000000" w:sz="4" w:space="0"/>
            </w:tcBorders>
            <w:vAlign w:val="center"/>
          </w:tcPr>
          <w:p>
            <w:pPr>
              <w:spacing w:line="320" w:lineRule="exact"/>
              <w:jc w:val="left"/>
              <w:textAlignment w:val="center"/>
              <w:rPr>
                <w:rFonts w:ascii="仿宋_GB2312" w:hAnsi="仿宋_GB2312"/>
                <w:color w:val="000000"/>
                <w:sz w:val="24"/>
                <w:szCs w:val="24"/>
              </w:rPr>
            </w:pPr>
          </w:p>
        </w:tc>
      </w:tr>
    </w:tbl>
    <w:p>
      <w:pPr>
        <w:rPr>
          <w:rFonts w:hint="eastAsia" w:eastAsia="宋体"/>
          <w:sz w:val="28"/>
          <w:szCs w:val="28"/>
          <w:lang w:val="en-US" w:eastAsia="zh-CN"/>
        </w:rPr>
      </w:pPr>
      <w:r>
        <w:rPr>
          <w:rFonts w:ascii="仿宋_GB2312" w:hAnsi="仿宋_GB2312"/>
          <w:sz w:val="28"/>
          <w:szCs w:val="28"/>
        </w:rPr>
        <w:t>填报人（签名）：</w:t>
      </w:r>
      <w:r>
        <w:rPr>
          <w:sz w:val="28"/>
          <w:szCs w:val="28"/>
        </w:rPr>
        <w:t xml:space="preserve">    </w:t>
      </w:r>
      <w:r>
        <w:rPr>
          <w:rFonts w:hint="eastAsia"/>
          <w:sz w:val="28"/>
          <w:szCs w:val="28"/>
          <w:lang w:eastAsia="zh-CN"/>
        </w:rPr>
        <w:t>鲁蓉</w:t>
      </w:r>
      <w:r>
        <w:rPr>
          <w:sz w:val="28"/>
          <w:szCs w:val="28"/>
        </w:rPr>
        <w:t xml:space="preserve">                      </w:t>
      </w:r>
      <w:r>
        <w:rPr>
          <w:rFonts w:ascii="仿宋_GB2312" w:hAnsi="仿宋_GB2312"/>
          <w:sz w:val="28"/>
          <w:szCs w:val="28"/>
        </w:rPr>
        <w:t>联系电话：</w:t>
      </w:r>
      <w:r>
        <w:rPr>
          <w:rFonts w:hint="eastAsia" w:ascii="仿宋_GB2312" w:hAnsi="仿宋_GB2312"/>
          <w:sz w:val="28"/>
          <w:szCs w:val="28"/>
          <w:lang w:val="en-US" w:eastAsia="zh-CN"/>
        </w:rPr>
        <w:t>4211636</w:t>
      </w:r>
    </w:p>
    <w:tbl>
      <w:tblPr>
        <w:tblStyle w:val="2"/>
        <w:tblW w:w="9558" w:type="dxa"/>
        <w:jc w:val="center"/>
        <w:tblLayout w:type="fixed"/>
        <w:tblCellMar>
          <w:top w:w="0" w:type="dxa"/>
          <w:left w:w="108" w:type="dxa"/>
          <w:bottom w:w="0" w:type="dxa"/>
          <w:right w:w="108" w:type="dxa"/>
        </w:tblCellMar>
      </w:tblPr>
      <w:tblGrid>
        <w:gridCol w:w="9558"/>
      </w:tblGrid>
      <w:tr>
        <w:tblPrEx>
          <w:tblCellMar>
            <w:top w:w="0" w:type="dxa"/>
            <w:left w:w="108" w:type="dxa"/>
            <w:bottom w:w="0" w:type="dxa"/>
            <w:right w:w="108" w:type="dxa"/>
          </w:tblCellMar>
        </w:tblPrEx>
        <w:trPr>
          <w:trHeight w:val="12998" w:hRule="atLeast"/>
          <w:jc w:val="center"/>
        </w:trPr>
        <w:tc>
          <w:tcPr>
            <w:tcW w:w="9558" w:type="dxa"/>
            <w:tcBorders>
              <w:top w:val="single" w:color="auto" w:sz="4" w:space="0"/>
              <w:left w:val="single" w:color="auto" w:sz="4" w:space="0"/>
              <w:bottom w:val="single" w:color="auto" w:sz="4" w:space="0"/>
              <w:right w:val="single" w:color="auto" w:sz="4" w:space="0"/>
            </w:tcBorders>
          </w:tcPr>
          <w:p>
            <w:pPr>
              <w:spacing w:line="640" w:lineRule="exact"/>
              <w:ind w:left="325" w:leftChars="155" w:firstLine="33" w:firstLineChars="12"/>
              <w:rPr>
                <w:rFonts w:hint="eastAsia" w:ascii="仿宋_GB2312" w:eastAsia="仿宋_GB2312"/>
                <w:sz w:val="28"/>
                <w:szCs w:val="28"/>
              </w:rPr>
            </w:pPr>
            <w:r>
              <w:rPr>
                <w:rFonts w:hint="eastAsia" w:ascii="仿宋_GB2312" w:eastAsia="仿宋_GB2312"/>
                <w:sz w:val="28"/>
                <w:szCs w:val="28"/>
              </w:rPr>
              <w:t>一、基本情况</w:t>
            </w:r>
          </w:p>
          <w:p>
            <w:pPr>
              <w:spacing w:line="640" w:lineRule="exact"/>
              <w:ind w:left="325" w:leftChars="155" w:firstLine="579" w:firstLineChars="207"/>
              <w:rPr>
                <w:rFonts w:hint="eastAsia" w:ascii="仿宋_GB2312" w:eastAsia="仿宋_GB2312"/>
                <w:sz w:val="28"/>
                <w:szCs w:val="28"/>
              </w:rPr>
            </w:pPr>
            <w:r>
              <w:rPr>
                <w:rFonts w:hint="eastAsia" w:ascii="仿宋_GB2312" w:eastAsia="仿宋_GB2312"/>
                <w:sz w:val="28"/>
                <w:szCs w:val="28"/>
              </w:rPr>
              <w:t>财政局共有内设股室21个。人员编制83名，实有在职干部97人（其中：全额人员97人）。</w:t>
            </w:r>
          </w:p>
          <w:p>
            <w:pPr>
              <w:spacing w:line="640" w:lineRule="exact"/>
              <w:ind w:left="325" w:leftChars="155" w:firstLine="33" w:firstLineChars="12"/>
              <w:rPr>
                <w:rFonts w:hint="eastAsia" w:ascii="仿宋_GB2312" w:eastAsia="仿宋_GB2312"/>
                <w:sz w:val="28"/>
                <w:szCs w:val="28"/>
              </w:rPr>
            </w:pPr>
            <w:r>
              <w:rPr>
                <w:rFonts w:hint="eastAsia" w:ascii="仿宋_GB2312" w:eastAsia="仿宋_GB2312"/>
                <w:sz w:val="28"/>
                <w:szCs w:val="28"/>
              </w:rPr>
              <w:t xml:space="preserve">      </w:t>
            </w:r>
          </w:p>
          <w:p>
            <w:pPr>
              <w:spacing w:line="640" w:lineRule="exact"/>
              <w:ind w:left="325" w:leftChars="155" w:firstLine="33" w:firstLineChars="12"/>
              <w:rPr>
                <w:rFonts w:hint="eastAsia" w:ascii="仿宋_GB2312" w:eastAsia="仿宋_GB2312"/>
                <w:sz w:val="28"/>
                <w:szCs w:val="28"/>
              </w:rPr>
            </w:pPr>
            <w:r>
              <w:rPr>
                <w:rFonts w:hint="eastAsia" w:ascii="仿宋_GB2312" w:eastAsia="仿宋_GB2312"/>
                <w:sz w:val="28"/>
                <w:szCs w:val="28"/>
              </w:rPr>
              <w:t>二、资金管理及使用情况</w:t>
            </w:r>
          </w:p>
          <w:p>
            <w:pPr>
              <w:spacing w:line="640" w:lineRule="exact"/>
              <w:ind w:left="325" w:leftChars="155" w:firstLine="579" w:firstLineChars="207"/>
              <w:rPr>
                <w:rFonts w:hint="eastAsia" w:ascii="仿宋_GB2312" w:eastAsia="仿宋_GB2312"/>
                <w:sz w:val="28"/>
                <w:szCs w:val="28"/>
              </w:rPr>
            </w:pPr>
            <w:r>
              <w:rPr>
                <w:rFonts w:hint="eastAsia" w:ascii="仿宋_GB2312" w:eastAsia="仿宋_GB2312"/>
                <w:sz w:val="28"/>
                <w:szCs w:val="28"/>
                <w:lang w:val="en-US" w:eastAsia="zh-CN"/>
              </w:rPr>
              <w:t>2018</w:t>
            </w:r>
            <w:r>
              <w:rPr>
                <w:rFonts w:hint="eastAsia" w:ascii="仿宋_GB2312" w:eastAsia="仿宋_GB2312"/>
                <w:sz w:val="28"/>
                <w:szCs w:val="28"/>
              </w:rPr>
              <w:t>年财政全年实现财政拨款收入</w:t>
            </w:r>
            <w:r>
              <w:rPr>
                <w:rFonts w:hint="eastAsia" w:ascii="仿宋_GB2312" w:eastAsia="仿宋_GB2312"/>
                <w:sz w:val="28"/>
                <w:szCs w:val="28"/>
                <w:lang w:val="en-US" w:eastAsia="zh-CN"/>
              </w:rPr>
              <w:t>1360.3</w:t>
            </w:r>
            <w:r>
              <w:rPr>
                <w:rFonts w:hint="eastAsia" w:ascii="仿宋_GB2312" w:eastAsia="仿宋_GB2312"/>
                <w:sz w:val="28"/>
                <w:szCs w:val="28"/>
              </w:rPr>
              <w:t>万，其他收入</w:t>
            </w:r>
            <w:r>
              <w:rPr>
                <w:rFonts w:hint="eastAsia" w:ascii="仿宋_GB2312" w:eastAsia="仿宋_GB2312"/>
                <w:sz w:val="28"/>
                <w:szCs w:val="28"/>
                <w:lang w:val="en-US" w:eastAsia="zh-CN"/>
              </w:rPr>
              <w:t>0.6</w:t>
            </w:r>
            <w:r>
              <w:rPr>
                <w:rFonts w:hint="eastAsia" w:ascii="仿宋_GB2312" w:eastAsia="仿宋_GB2312"/>
                <w:sz w:val="28"/>
                <w:szCs w:val="28"/>
              </w:rPr>
              <w:t>万，收入合计</w:t>
            </w:r>
            <w:r>
              <w:rPr>
                <w:rFonts w:hint="eastAsia" w:ascii="仿宋_GB2312" w:eastAsia="仿宋_GB2312"/>
                <w:sz w:val="28"/>
                <w:szCs w:val="28"/>
                <w:lang w:val="en-US" w:eastAsia="zh-CN"/>
              </w:rPr>
              <w:t>1360.9</w:t>
            </w:r>
            <w:r>
              <w:rPr>
                <w:rFonts w:hint="eastAsia" w:ascii="仿宋_GB2312" w:eastAsia="仿宋_GB2312"/>
                <w:sz w:val="28"/>
                <w:szCs w:val="28"/>
              </w:rPr>
              <w:t>万元；全年实际支出</w:t>
            </w:r>
            <w:r>
              <w:rPr>
                <w:rFonts w:hint="eastAsia" w:ascii="仿宋_GB2312" w:eastAsia="仿宋_GB2312"/>
                <w:sz w:val="28"/>
                <w:szCs w:val="28"/>
                <w:lang w:val="en-US" w:eastAsia="zh-CN"/>
              </w:rPr>
              <w:t>1360.9</w:t>
            </w:r>
            <w:r>
              <w:rPr>
                <w:rFonts w:hint="eastAsia" w:ascii="仿宋_GB2312" w:eastAsia="仿宋_GB2312"/>
                <w:sz w:val="28"/>
                <w:szCs w:val="28"/>
              </w:rPr>
              <w:t>万元，其中：人员支出</w:t>
            </w:r>
            <w:r>
              <w:rPr>
                <w:rFonts w:hint="eastAsia" w:ascii="仿宋_GB2312" w:eastAsia="仿宋_GB2312"/>
                <w:sz w:val="28"/>
                <w:szCs w:val="28"/>
                <w:lang w:val="en-US" w:eastAsia="zh-CN"/>
              </w:rPr>
              <w:t>848</w:t>
            </w:r>
            <w:r>
              <w:rPr>
                <w:rFonts w:hint="eastAsia" w:ascii="仿宋_GB2312" w:eastAsia="仿宋_GB2312"/>
                <w:sz w:val="28"/>
                <w:szCs w:val="28"/>
              </w:rPr>
              <w:t>万元，公用支出</w:t>
            </w:r>
            <w:r>
              <w:rPr>
                <w:rFonts w:hint="eastAsia" w:ascii="仿宋_GB2312" w:eastAsia="仿宋_GB2312"/>
                <w:sz w:val="28"/>
                <w:szCs w:val="28"/>
                <w:lang w:val="en-US" w:eastAsia="zh-CN"/>
              </w:rPr>
              <w:t>620</w:t>
            </w:r>
            <w:r>
              <w:rPr>
                <w:rFonts w:hint="eastAsia" w:ascii="仿宋_GB2312" w:eastAsia="仿宋_GB2312"/>
                <w:sz w:val="28"/>
                <w:szCs w:val="28"/>
              </w:rPr>
              <w:t>万元（其中三公经费接待费用</w:t>
            </w:r>
            <w:r>
              <w:rPr>
                <w:rFonts w:hint="eastAsia" w:ascii="仿宋_GB2312" w:eastAsia="仿宋_GB2312"/>
                <w:sz w:val="28"/>
                <w:szCs w:val="28"/>
                <w:lang w:val="en-US" w:eastAsia="zh-CN"/>
              </w:rPr>
              <w:t>23</w:t>
            </w:r>
            <w:r>
              <w:rPr>
                <w:rFonts w:hint="eastAsia" w:ascii="仿宋_GB2312" w:eastAsia="仿宋_GB2312"/>
                <w:sz w:val="28"/>
                <w:szCs w:val="28"/>
              </w:rPr>
              <w:t>万元）。当年收支持平。</w:t>
            </w:r>
          </w:p>
          <w:p>
            <w:pPr>
              <w:spacing w:line="640" w:lineRule="exact"/>
              <w:ind w:left="325" w:leftChars="155" w:firstLine="33" w:firstLineChars="12"/>
              <w:rPr>
                <w:rFonts w:hint="eastAsia" w:ascii="仿宋_GB2312" w:eastAsia="仿宋_GB2312"/>
                <w:sz w:val="28"/>
                <w:szCs w:val="28"/>
              </w:rPr>
            </w:pPr>
          </w:p>
          <w:p>
            <w:pPr>
              <w:spacing w:line="640" w:lineRule="exact"/>
              <w:ind w:left="325" w:leftChars="155" w:firstLine="33" w:firstLineChars="12"/>
              <w:rPr>
                <w:rFonts w:hint="eastAsia" w:ascii="仿宋_GB2312" w:eastAsia="仿宋_GB2312"/>
                <w:sz w:val="28"/>
                <w:szCs w:val="28"/>
              </w:rPr>
            </w:pPr>
            <w:r>
              <w:rPr>
                <w:rFonts w:hint="eastAsia" w:ascii="仿宋_GB2312" w:eastAsia="仿宋_GB2312"/>
                <w:sz w:val="28"/>
                <w:szCs w:val="28"/>
              </w:rPr>
              <w:t>三、组织实施情况</w:t>
            </w:r>
          </w:p>
          <w:p>
            <w:pPr>
              <w:spacing w:line="640" w:lineRule="exact"/>
              <w:ind w:left="328" w:leftChars="156" w:firstLine="576" w:firstLineChars="206"/>
              <w:rPr>
                <w:rFonts w:hint="eastAsia" w:ascii="仿宋_GB2312" w:eastAsia="仿宋_GB2312"/>
                <w:sz w:val="28"/>
                <w:szCs w:val="28"/>
              </w:rPr>
            </w:pPr>
            <w:r>
              <w:rPr>
                <w:rFonts w:hint="eastAsia" w:ascii="仿宋_GB2312" w:eastAsia="仿宋_GB2312"/>
                <w:sz w:val="28"/>
                <w:szCs w:val="28"/>
              </w:rPr>
              <w:t>按照财政支出项目绩效评价工作要求，我局高度重视，坚持公平、公正、公开和综合分析，统筹安排的原则，成立了由分管局长为组长、纪检书记、财务股长为成员的绩效自评小组，对</w:t>
            </w:r>
            <w:r>
              <w:rPr>
                <w:rFonts w:hint="eastAsia" w:ascii="仿宋_GB2312" w:eastAsia="仿宋_GB2312"/>
                <w:sz w:val="28"/>
                <w:szCs w:val="28"/>
                <w:lang w:val="en-US" w:eastAsia="zh-CN"/>
              </w:rPr>
              <w:t>2018</w:t>
            </w:r>
            <w:r>
              <w:rPr>
                <w:rFonts w:hint="eastAsia" w:ascii="仿宋_GB2312" w:eastAsia="仿宋_GB2312"/>
                <w:sz w:val="28"/>
                <w:szCs w:val="28"/>
              </w:rPr>
              <w:t>年度部门整体支出进行了绩效评价。</w:t>
            </w:r>
          </w:p>
          <w:p>
            <w:pPr>
              <w:spacing w:line="640" w:lineRule="exact"/>
              <w:ind w:left="325" w:leftChars="155" w:firstLine="33" w:firstLineChars="12"/>
              <w:rPr>
                <w:rFonts w:hint="eastAsia" w:ascii="仿宋_GB2312" w:eastAsia="仿宋_GB2312"/>
                <w:sz w:val="28"/>
                <w:szCs w:val="28"/>
              </w:rPr>
            </w:pPr>
          </w:p>
          <w:p>
            <w:pPr>
              <w:spacing w:line="640" w:lineRule="exact"/>
              <w:ind w:left="325" w:leftChars="155" w:firstLine="33" w:firstLineChars="12"/>
              <w:rPr>
                <w:rFonts w:hint="eastAsia" w:ascii="仿宋_GB2312" w:eastAsia="仿宋_GB2312"/>
                <w:sz w:val="28"/>
                <w:szCs w:val="28"/>
              </w:rPr>
            </w:pPr>
            <w:r>
              <w:rPr>
                <w:rFonts w:hint="eastAsia" w:ascii="仿宋_GB2312" w:eastAsia="仿宋_GB2312"/>
                <w:sz w:val="28"/>
                <w:szCs w:val="28"/>
              </w:rPr>
              <w:t>四、部门（单位）整体支出绩效情况</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560" w:firstLineChars="200"/>
              <w:jc w:val="both"/>
              <w:textAlignment w:val="auto"/>
              <w:outlineLvl w:val="9"/>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2018年，全县各级各部门，特别是财税系统，按照“四大会战”“六大工程”统一部署，顶住压力，主动作为，奋力攻坚，较好地完成了全年目标任务，值得肯定。</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562" w:firstLineChars="200"/>
              <w:jc w:val="both"/>
              <w:textAlignment w:val="auto"/>
              <w:outlineLvl w:val="9"/>
              <w:rPr>
                <w:rFonts w:hint="eastAsia" w:ascii="仿宋_GB2312" w:hAnsi="仿宋_GB2312" w:eastAsia="仿宋_GB2312" w:cs="仿宋_GB2312"/>
                <w:sz w:val="28"/>
                <w:szCs w:val="28"/>
                <w:lang w:val="en-US" w:eastAsia="zh-CN"/>
              </w:rPr>
            </w:pPr>
            <w:r>
              <w:rPr>
                <w:rFonts w:hint="eastAsia" w:ascii="楷体_GB2312" w:hAnsi="楷体_GB2312" w:eastAsia="楷体_GB2312" w:cs="楷体_GB2312"/>
                <w:b/>
                <w:bCs/>
                <w:sz w:val="28"/>
                <w:szCs w:val="28"/>
                <w:lang w:val="en-US" w:eastAsia="zh-CN"/>
              </w:rPr>
              <w:t>1、收入质量实现新提升。</w:t>
            </w:r>
            <w:r>
              <w:rPr>
                <w:rFonts w:hint="eastAsia" w:ascii="仿宋_GB2312" w:hAnsi="仿宋_GB2312" w:eastAsia="仿宋_GB2312" w:cs="仿宋_GB2312"/>
                <w:sz w:val="28"/>
                <w:szCs w:val="28"/>
                <w:lang w:val="en-US" w:eastAsia="zh-CN"/>
              </w:rPr>
              <w:t>2018年，全县财政一般预算收入完成91505万元，增长10.72%，其中：国税完成43826万元，增长43%；地税完成24818万元，增长17.3%；财政完成22861万元，增长3.08%。完成非税收入24573万元，地方财政收入56415万元，非税比为43.56%，同比降低0.83个百分点。完成税收收入66932万元，税收收入占一般预算收入的比重达到73.15%，同比提高2.1个百分点，财政收入的质和量同步提升。</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562" w:firstLineChars="200"/>
              <w:jc w:val="both"/>
              <w:textAlignment w:val="auto"/>
              <w:outlineLvl w:val="9"/>
              <w:rPr>
                <w:rFonts w:hint="eastAsia" w:ascii="仿宋_GB2312" w:hAnsi="仿宋_GB2312" w:eastAsia="仿宋_GB2312" w:cs="仿宋_GB2312"/>
                <w:sz w:val="28"/>
                <w:szCs w:val="28"/>
              </w:rPr>
            </w:pPr>
            <w:r>
              <w:rPr>
                <w:rFonts w:hint="eastAsia" w:ascii="楷体_GB2312" w:hAnsi="楷体_GB2312" w:eastAsia="楷体_GB2312" w:cs="楷体_GB2312"/>
                <w:b/>
                <w:bCs/>
                <w:sz w:val="28"/>
                <w:szCs w:val="28"/>
                <w:lang w:val="en-US" w:eastAsia="zh-CN"/>
              </w:rPr>
              <w:t>2、服务保障达到新水平。</w:t>
            </w:r>
            <w:r>
              <w:rPr>
                <w:rFonts w:hint="eastAsia" w:ascii="仿宋_GB2312" w:hAnsi="仿宋_GB2312" w:eastAsia="仿宋_GB2312" w:cs="仿宋_GB2312"/>
                <w:sz w:val="28"/>
                <w:szCs w:val="28"/>
                <w:lang w:val="en-US" w:eastAsia="zh-CN"/>
              </w:rPr>
              <w:t>2018</w:t>
            </w:r>
            <w:r>
              <w:rPr>
                <w:rFonts w:hint="eastAsia" w:ascii="仿宋_GB2312" w:hAnsi="仿宋_GB2312" w:eastAsia="仿宋_GB2312" w:cs="仿宋_GB2312"/>
                <w:sz w:val="28"/>
                <w:szCs w:val="28"/>
              </w:rPr>
              <w:t>年</w:t>
            </w:r>
            <w:r>
              <w:rPr>
                <w:rFonts w:hint="eastAsia" w:ascii="仿宋_GB2312" w:hAnsi="仿宋_GB2312" w:eastAsia="仿宋_GB2312" w:cs="仿宋_GB2312"/>
                <w:sz w:val="28"/>
                <w:szCs w:val="28"/>
                <w:lang w:eastAsia="zh-CN"/>
              </w:rPr>
              <w:t>，全</w:t>
            </w:r>
            <w:r>
              <w:rPr>
                <w:rFonts w:hint="eastAsia" w:ascii="仿宋_GB2312" w:hAnsi="仿宋_GB2312" w:eastAsia="仿宋_GB2312" w:cs="仿宋_GB2312"/>
                <w:sz w:val="28"/>
                <w:szCs w:val="28"/>
              </w:rPr>
              <w:t>县一般公共预算支出40亿元，其中民生支出30.17亿元，占财政公共预算支出的75.43%，支出结构更加优化，公共财政职能更加明确。</w:t>
            </w:r>
            <w:r>
              <w:rPr>
                <w:rFonts w:hint="eastAsia" w:ascii="仿宋_GB2312" w:hAnsi="仿宋_GB2312" w:eastAsia="仿宋_GB2312" w:cs="仿宋_GB2312"/>
                <w:b/>
                <w:bCs/>
                <w:sz w:val="28"/>
                <w:szCs w:val="28"/>
                <w:lang w:eastAsia="zh-CN"/>
              </w:rPr>
              <w:t>服务发展方面，</w:t>
            </w:r>
            <w:r>
              <w:rPr>
                <w:rFonts w:hint="eastAsia" w:ascii="仿宋_GB2312" w:hAnsi="仿宋_GB2312" w:eastAsia="仿宋_GB2312" w:cs="仿宋_GB2312"/>
                <w:sz w:val="28"/>
                <w:szCs w:val="28"/>
                <w:lang w:eastAsia="zh-CN"/>
              </w:rPr>
              <w:t>成立全省首家县级产业引导基金，首期基金规模</w:t>
            </w:r>
            <w:r>
              <w:rPr>
                <w:rFonts w:hint="eastAsia" w:ascii="仿宋_GB2312" w:hAnsi="仿宋_GB2312" w:eastAsia="仿宋_GB2312" w:cs="仿宋_GB2312"/>
                <w:sz w:val="28"/>
                <w:szCs w:val="28"/>
                <w:lang w:val="en-US" w:eastAsia="zh-CN"/>
              </w:rPr>
              <w:t>2亿元，已通过直投、间投方式，对一批优质骨干企业股权投资1.5亿元。同时，调度资金近10亿元，用于支持环境整治、污水处理、道路升级、供水供电等项目建设。</w:t>
            </w:r>
            <w:r>
              <w:rPr>
                <w:rFonts w:hint="eastAsia" w:ascii="仿宋_GB2312" w:hAnsi="仿宋_GB2312" w:eastAsia="仿宋_GB2312" w:cs="仿宋_GB2312"/>
                <w:b/>
                <w:bCs/>
                <w:sz w:val="28"/>
                <w:szCs w:val="28"/>
                <w:lang w:val="en-US" w:eastAsia="zh-CN"/>
              </w:rPr>
              <w:t>保障民生方面，</w:t>
            </w:r>
            <w:r>
              <w:rPr>
                <w:rFonts w:hint="eastAsia" w:ascii="仿宋_GB2312" w:hAnsi="仿宋_GB2312" w:eastAsia="仿宋_GB2312" w:cs="仿宋_GB2312"/>
                <w:sz w:val="28"/>
                <w:szCs w:val="28"/>
              </w:rPr>
              <w:t>教育支出70300万元，增长29.1%</w:t>
            </w:r>
            <w:r>
              <w:rPr>
                <w:rFonts w:hint="eastAsia" w:ascii="仿宋_GB2312" w:hAnsi="仿宋_GB2312" w:eastAsia="仿宋_GB2312" w:cs="仿宋_GB2312"/>
                <w:sz w:val="28"/>
                <w:szCs w:val="28"/>
                <w:lang w:eastAsia="zh-CN"/>
              </w:rPr>
              <w:t>，进一步改善了</w:t>
            </w:r>
            <w:r>
              <w:rPr>
                <w:rFonts w:hint="eastAsia" w:ascii="仿宋_GB2312" w:hAnsi="仿宋_GB2312" w:eastAsia="仿宋_GB2312" w:cs="仿宋_GB2312"/>
                <w:sz w:val="28"/>
                <w:szCs w:val="28"/>
              </w:rPr>
              <w:t>办学条件；社保基金总支出达到15亿元，</w:t>
            </w:r>
            <w:r>
              <w:rPr>
                <w:rFonts w:hint="eastAsia" w:ascii="仿宋_GB2312" w:hAnsi="仿宋_GB2312" w:eastAsia="仿宋_GB2312" w:cs="仿宋_GB2312"/>
                <w:sz w:val="28"/>
                <w:szCs w:val="28"/>
                <w:lang w:eastAsia="zh-CN"/>
              </w:rPr>
              <w:t>全面</w:t>
            </w:r>
            <w:r>
              <w:rPr>
                <w:rFonts w:hint="eastAsia" w:ascii="仿宋_GB2312" w:hAnsi="仿宋_GB2312" w:eastAsia="仿宋_GB2312" w:cs="仿宋_GB2312"/>
                <w:sz w:val="28"/>
                <w:szCs w:val="28"/>
              </w:rPr>
              <w:t>落实</w:t>
            </w:r>
            <w:r>
              <w:rPr>
                <w:rFonts w:hint="eastAsia" w:ascii="仿宋_GB2312" w:hAnsi="仿宋_GB2312" w:eastAsia="仿宋_GB2312" w:cs="仿宋_GB2312"/>
                <w:sz w:val="28"/>
                <w:szCs w:val="28"/>
                <w:lang w:eastAsia="zh-CN"/>
              </w:rPr>
              <w:t>了</w:t>
            </w:r>
            <w:r>
              <w:rPr>
                <w:rFonts w:hint="eastAsia" w:ascii="仿宋_GB2312" w:hAnsi="仿宋_GB2312" w:eastAsia="仿宋_GB2312" w:cs="仿宋_GB2312"/>
                <w:sz w:val="28"/>
                <w:szCs w:val="28"/>
              </w:rPr>
              <w:t>养老、失业、医疗、生育、工伤、五保、救助、救济、优抚等全方位社会保障政策</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整合筹集资金近3亿元，全力支持脱贫攻坚</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发放耕地地力补贴资金8837万元</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适度规模扶持补助1086万元</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其他惠农补贴2465万元，基本实现</w:t>
            </w:r>
            <w:r>
              <w:rPr>
                <w:rFonts w:hint="eastAsia" w:ascii="仿宋_GB2312" w:hAnsi="仿宋_GB2312" w:eastAsia="仿宋_GB2312" w:cs="仿宋_GB2312"/>
                <w:sz w:val="28"/>
                <w:szCs w:val="28"/>
                <w:lang w:eastAsia="zh-CN"/>
              </w:rPr>
              <w:t>了</w:t>
            </w:r>
            <w:r>
              <w:rPr>
                <w:rFonts w:hint="eastAsia" w:ascii="仿宋_GB2312" w:hAnsi="仿宋_GB2312" w:eastAsia="仿宋_GB2312" w:cs="仿宋_GB2312"/>
                <w:sz w:val="28"/>
                <w:szCs w:val="28"/>
              </w:rPr>
              <w:t>各项惠农补贴“一卡通”。</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562" w:firstLineChars="200"/>
              <w:jc w:val="both"/>
              <w:textAlignment w:val="auto"/>
              <w:outlineLvl w:val="9"/>
              <w:rPr>
                <w:rFonts w:hint="eastAsia" w:ascii="仿宋_GB2312" w:hAnsi="仿宋_GB2312" w:eastAsia="仿宋_GB2312" w:cs="仿宋_GB2312"/>
                <w:sz w:val="28"/>
                <w:szCs w:val="28"/>
                <w:lang w:val="en-US" w:eastAsia="zh-CN"/>
              </w:rPr>
            </w:pPr>
            <w:r>
              <w:rPr>
                <w:rFonts w:hint="eastAsia" w:ascii="楷体_GB2312" w:hAnsi="楷体_GB2312" w:eastAsia="楷体_GB2312" w:cs="楷体_GB2312"/>
                <w:b/>
                <w:bCs/>
                <w:sz w:val="28"/>
                <w:szCs w:val="28"/>
                <w:lang w:val="en-US" w:eastAsia="zh-CN"/>
              </w:rPr>
              <w:t>3、财税改革取得新成效。</w:t>
            </w:r>
            <w:r>
              <w:rPr>
                <w:rFonts w:hint="eastAsia" w:ascii="仿宋_GB2312" w:hAnsi="仿宋_GB2312" w:eastAsia="仿宋_GB2312" w:cs="仿宋_GB2312"/>
                <w:b/>
                <w:bCs/>
                <w:sz w:val="28"/>
                <w:szCs w:val="28"/>
                <w:lang w:val="en-US" w:eastAsia="zh-CN"/>
              </w:rPr>
              <w:t>预算制度改革进一步深化。</w:t>
            </w:r>
            <w:r>
              <w:rPr>
                <w:rFonts w:hint="eastAsia" w:ascii="仿宋_GB2312" w:hAnsi="仿宋_GB2312" w:eastAsia="仿宋_GB2312" w:cs="仿宋_GB2312"/>
                <w:sz w:val="28"/>
                <w:szCs w:val="28"/>
                <w:lang w:val="en-US" w:eastAsia="zh-CN"/>
              </w:rPr>
              <w:t>完善政府全口径预算体系，指导乡镇试编财政综合预算，推进预算绩效管理，规范预决算公开，在县政府门户网站设立统一公开平台，实行集中公开、常年公开</w:t>
            </w:r>
            <w:r>
              <w:rPr>
                <w:rFonts w:hint="eastAsia" w:ascii="仿宋_GB2312" w:hAnsi="仿宋_GB2312" w:eastAsia="仿宋_GB2312" w:cs="仿宋_GB2312"/>
                <w:sz w:val="28"/>
                <w:szCs w:val="28"/>
              </w:rPr>
              <w:t>，并首次将部门预算提交县人民代表大会审查。</w:t>
            </w:r>
            <w:r>
              <w:rPr>
                <w:rFonts w:hint="eastAsia" w:ascii="仿宋_GB2312" w:hAnsi="仿宋_GB2312" w:eastAsia="仿宋_GB2312" w:cs="仿宋_GB2312"/>
                <w:b/>
                <w:bCs/>
                <w:sz w:val="28"/>
                <w:szCs w:val="28"/>
              </w:rPr>
              <w:t>财政制度改革</w:t>
            </w:r>
            <w:r>
              <w:rPr>
                <w:rFonts w:hint="eastAsia" w:ascii="仿宋_GB2312" w:hAnsi="仿宋_GB2312" w:eastAsia="仿宋_GB2312" w:cs="仿宋_GB2312"/>
                <w:b/>
                <w:bCs/>
                <w:sz w:val="28"/>
                <w:szCs w:val="28"/>
                <w:lang w:eastAsia="zh-CN"/>
              </w:rPr>
              <w:t>进一步</w:t>
            </w:r>
            <w:r>
              <w:rPr>
                <w:rFonts w:hint="eastAsia" w:ascii="仿宋_GB2312" w:hAnsi="仿宋_GB2312" w:eastAsia="仿宋_GB2312" w:cs="仿宋_GB2312"/>
                <w:b/>
                <w:bCs/>
                <w:sz w:val="28"/>
                <w:szCs w:val="28"/>
              </w:rPr>
              <w:t>深化。</w:t>
            </w:r>
            <w:r>
              <w:rPr>
                <w:rFonts w:hint="eastAsia" w:ascii="仿宋_GB2312" w:hAnsi="仿宋_GB2312" w:eastAsia="仿宋_GB2312" w:cs="仿宋_GB2312"/>
                <w:sz w:val="28"/>
                <w:szCs w:val="28"/>
              </w:rPr>
              <w:t>先后出台了《关于全面推进预算绩效管理的实施意见》</w:t>
            </w:r>
            <w:r>
              <w:rPr>
                <w:rFonts w:hint="eastAsia" w:ascii="仿宋_GB2312" w:hAnsi="仿宋_GB2312" w:eastAsia="仿宋_GB2312" w:cs="仿宋_GB2312"/>
                <w:sz w:val="28"/>
                <w:szCs w:val="28"/>
                <w:lang w:eastAsia="zh-CN"/>
              </w:rPr>
              <w:t>和</w:t>
            </w:r>
            <w:r>
              <w:rPr>
                <w:rFonts w:hint="eastAsia" w:ascii="仿宋_GB2312" w:hAnsi="仿宋_GB2312" w:eastAsia="仿宋_GB2312" w:cs="仿宋_GB2312"/>
                <w:sz w:val="28"/>
                <w:szCs w:val="28"/>
              </w:rPr>
              <w:t>《关于规范财政财务管理</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严肃财经纪律的若干规定》等一系列文件，</w:t>
            </w:r>
            <w:r>
              <w:rPr>
                <w:rFonts w:hint="eastAsia" w:ascii="仿宋_GB2312" w:hAnsi="仿宋_GB2312" w:eastAsia="仿宋_GB2312" w:cs="仿宋_GB2312"/>
                <w:sz w:val="28"/>
                <w:szCs w:val="28"/>
                <w:lang w:eastAsia="zh-CN"/>
              </w:rPr>
              <w:t>明确了</w:t>
            </w:r>
            <w:r>
              <w:rPr>
                <w:rFonts w:hint="eastAsia" w:ascii="仿宋_GB2312" w:hAnsi="仿宋_GB2312" w:eastAsia="仿宋_GB2312" w:cs="仿宋_GB2312"/>
                <w:sz w:val="28"/>
                <w:szCs w:val="28"/>
              </w:rPr>
              <w:t>单位财务管理职责职能，规范</w:t>
            </w:r>
            <w:r>
              <w:rPr>
                <w:rFonts w:hint="eastAsia" w:ascii="仿宋_GB2312" w:hAnsi="仿宋_GB2312" w:eastAsia="仿宋_GB2312" w:cs="仿宋_GB2312"/>
                <w:sz w:val="28"/>
                <w:szCs w:val="28"/>
                <w:lang w:eastAsia="zh-CN"/>
              </w:rPr>
              <w:t>了</w:t>
            </w:r>
            <w:r>
              <w:rPr>
                <w:rFonts w:hint="eastAsia" w:ascii="仿宋_GB2312" w:hAnsi="仿宋_GB2312" w:eastAsia="仿宋_GB2312" w:cs="仿宋_GB2312"/>
                <w:sz w:val="28"/>
                <w:szCs w:val="28"/>
              </w:rPr>
              <w:t>单位</w:t>
            </w:r>
            <w:r>
              <w:rPr>
                <w:rFonts w:hint="eastAsia" w:ascii="仿宋_GB2312" w:hAnsi="仿宋_GB2312" w:eastAsia="仿宋_GB2312" w:cs="仿宋_GB2312"/>
                <w:sz w:val="28"/>
                <w:szCs w:val="28"/>
                <w:lang w:eastAsia="zh-CN"/>
              </w:rPr>
              <w:t>财权</w:t>
            </w:r>
            <w:r>
              <w:rPr>
                <w:rFonts w:hint="eastAsia" w:ascii="仿宋_GB2312" w:hAnsi="仿宋_GB2312" w:eastAsia="仿宋_GB2312" w:cs="仿宋_GB2312"/>
                <w:sz w:val="28"/>
                <w:szCs w:val="28"/>
              </w:rPr>
              <w:t>运行清单，建立</w:t>
            </w:r>
            <w:r>
              <w:rPr>
                <w:rFonts w:hint="eastAsia" w:ascii="仿宋_GB2312" w:hAnsi="仿宋_GB2312" w:eastAsia="仿宋_GB2312" w:cs="仿宋_GB2312"/>
                <w:sz w:val="28"/>
                <w:szCs w:val="28"/>
                <w:lang w:eastAsia="zh-CN"/>
              </w:rPr>
              <w:t>了</w:t>
            </w:r>
            <w:r>
              <w:rPr>
                <w:rFonts w:hint="eastAsia" w:ascii="仿宋_GB2312" w:hAnsi="仿宋_GB2312" w:eastAsia="仿宋_GB2312" w:cs="仿宋_GB2312"/>
                <w:sz w:val="28"/>
                <w:szCs w:val="28"/>
              </w:rPr>
              <w:t>单位内部岗位控制制度。</w:t>
            </w:r>
            <w:r>
              <w:rPr>
                <w:rFonts w:hint="eastAsia" w:ascii="仿宋_GB2312" w:hAnsi="仿宋_GB2312" w:eastAsia="仿宋_GB2312" w:cs="仿宋_GB2312"/>
                <w:b/>
                <w:bCs/>
                <w:sz w:val="28"/>
                <w:szCs w:val="28"/>
              </w:rPr>
              <w:t>税收制度改革</w:t>
            </w:r>
            <w:r>
              <w:rPr>
                <w:rFonts w:hint="eastAsia" w:ascii="仿宋_GB2312" w:hAnsi="仿宋_GB2312" w:eastAsia="仿宋_GB2312" w:cs="仿宋_GB2312"/>
                <w:b/>
                <w:bCs/>
                <w:sz w:val="28"/>
                <w:szCs w:val="28"/>
                <w:lang w:eastAsia="zh-CN"/>
              </w:rPr>
              <w:t>进一步</w:t>
            </w:r>
            <w:r>
              <w:rPr>
                <w:rFonts w:hint="eastAsia" w:ascii="仿宋_GB2312" w:hAnsi="仿宋_GB2312" w:eastAsia="仿宋_GB2312" w:cs="仿宋_GB2312"/>
                <w:b/>
                <w:bCs/>
                <w:sz w:val="28"/>
                <w:szCs w:val="28"/>
              </w:rPr>
              <w:t>深化。</w:t>
            </w:r>
            <w:r>
              <w:rPr>
                <w:rFonts w:hint="eastAsia" w:ascii="仿宋_GB2312" w:hAnsi="仿宋_GB2312" w:eastAsia="仿宋_GB2312" w:cs="仿宋_GB2312"/>
                <w:sz w:val="28"/>
                <w:szCs w:val="28"/>
              </w:rPr>
              <w:t>全面实施“营改增”，实现</w:t>
            </w:r>
            <w:r>
              <w:rPr>
                <w:rFonts w:hint="eastAsia" w:ascii="仿宋_GB2312" w:hAnsi="仿宋_GB2312" w:eastAsia="仿宋_GB2312" w:cs="仿宋_GB2312"/>
                <w:sz w:val="28"/>
                <w:szCs w:val="28"/>
                <w:lang w:eastAsia="zh-CN"/>
              </w:rPr>
              <w:t>了</w:t>
            </w:r>
            <w:r>
              <w:rPr>
                <w:rFonts w:hint="eastAsia" w:ascii="仿宋_GB2312" w:hAnsi="仿宋_GB2312" w:eastAsia="仿宋_GB2312" w:cs="仿宋_GB2312"/>
                <w:sz w:val="28"/>
                <w:szCs w:val="28"/>
              </w:rPr>
              <w:t>税负只减不增；推进</w:t>
            </w:r>
            <w:r>
              <w:rPr>
                <w:rFonts w:hint="eastAsia" w:ascii="仿宋_GB2312" w:hAnsi="仿宋_GB2312" w:eastAsia="仿宋_GB2312" w:cs="仿宋_GB2312"/>
                <w:sz w:val="28"/>
                <w:szCs w:val="28"/>
                <w:lang w:eastAsia="zh-CN"/>
              </w:rPr>
              <w:t>了</w:t>
            </w:r>
            <w:r>
              <w:rPr>
                <w:rFonts w:hint="eastAsia" w:ascii="仿宋_GB2312" w:hAnsi="仿宋_GB2312" w:eastAsia="仿宋_GB2312" w:cs="仿宋_GB2312"/>
                <w:sz w:val="28"/>
                <w:szCs w:val="28"/>
              </w:rPr>
              <w:t>资源税从价计征改革</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做好</w:t>
            </w:r>
            <w:r>
              <w:rPr>
                <w:rFonts w:hint="eastAsia" w:ascii="仿宋_GB2312" w:hAnsi="仿宋_GB2312" w:eastAsia="仿宋_GB2312" w:cs="仿宋_GB2312"/>
                <w:sz w:val="28"/>
                <w:szCs w:val="28"/>
                <w:lang w:eastAsia="zh-CN"/>
              </w:rPr>
              <w:t>了</w:t>
            </w:r>
            <w:r>
              <w:rPr>
                <w:rFonts w:hint="eastAsia" w:ascii="仿宋_GB2312" w:hAnsi="仿宋_GB2312" w:eastAsia="仿宋_GB2312" w:cs="仿宋_GB2312"/>
                <w:sz w:val="28"/>
                <w:szCs w:val="28"/>
              </w:rPr>
              <w:t>环保税开征前期准备工作。</w:t>
            </w:r>
            <w:r>
              <w:rPr>
                <w:rFonts w:hint="eastAsia" w:ascii="仿宋_GB2312" w:hAnsi="仿宋_GB2312" w:eastAsia="仿宋_GB2312" w:cs="仿宋_GB2312"/>
                <w:b/>
                <w:bCs/>
                <w:sz w:val="28"/>
                <w:szCs w:val="28"/>
                <w:lang w:val="en-US" w:eastAsia="zh-CN"/>
              </w:rPr>
              <w:t>投融资平台改革进一步深化。</w:t>
            </w:r>
            <w:r>
              <w:rPr>
                <w:rFonts w:hint="eastAsia" w:ascii="仿宋_GB2312" w:hAnsi="仿宋_GB2312" w:eastAsia="仿宋_GB2312" w:cs="仿宋_GB2312"/>
                <w:sz w:val="28"/>
                <w:szCs w:val="28"/>
                <w:lang w:val="en-US" w:eastAsia="zh-CN"/>
              </w:rPr>
              <w:t>完善城建投公司治理结构，实现了资金和业务归口城建投管理；在平台公司推行市场化用人机制和绩效工资制度，并积极探索了平台公司参与多样化的城市投资经营和农业基础设施建设。</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562" w:firstLineChars="200"/>
              <w:jc w:val="both"/>
              <w:textAlignment w:val="auto"/>
              <w:outlineLvl w:val="9"/>
              <w:rPr>
                <w:rFonts w:hint="eastAsia" w:ascii="仿宋_GB2312" w:hAnsi="仿宋_GB2312" w:eastAsia="仿宋_GB2312" w:cs="仿宋_GB2312"/>
                <w:sz w:val="28"/>
                <w:szCs w:val="28"/>
                <w:lang w:val="en-US" w:eastAsia="zh-CN"/>
              </w:rPr>
            </w:pPr>
            <w:r>
              <w:rPr>
                <w:rFonts w:hint="eastAsia" w:ascii="楷体_GB2312" w:hAnsi="楷体_GB2312" w:eastAsia="楷体_GB2312" w:cs="楷体_GB2312"/>
                <w:b/>
                <w:bCs/>
                <w:sz w:val="28"/>
                <w:szCs w:val="28"/>
                <w:lang w:val="en-US" w:eastAsia="zh-CN"/>
              </w:rPr>
              <w:t>4、财税监管跃上新台阶。</w:t>
            </w:r>
            <w:r>
              <w:rPr>
                <w:rFonts w:hint="eastAsia" w:ascii="仿宋_GB2312" w:hAnsi="仿宋_GB2312" w:eastAsia="仿宋_GB2312" w:cs="仿宋_GB2312"/>
                <w:b/>
                <w:bCs/>
                <w:sz w:val="28"/>
                <w:szCs w:val="28"/>
                <w:lang w:val="en-US" w:eastAsia="zh-CN"/>
              </w:rPr>
              <w:t>财政管理有效加强。</w:t>
            </w:r>
            <w:r>
              <w:rPr>
                <w:rFonts w:hint="eastAsia" w:ascii="仿宋_GB2312" w:hAnsi="仿宋_GB2312" w:eastAsia="仿宋_GB2312" w:cs="仿宋_GB2312"/>
                <w:sz w:val="28"/>
                <w:szCs w:val="28"/>
                <w:lang w:val="en-US" w:eastAsia="zh-CN"/>
              </w:rPr>
              <w:t>在全面完成CA认证体系、搭建电子化信息网络技术平台、授权管理制度设计和支付系统软件升级等前期准备工作的基础上，制定一系列加强国库集中支付业务电子化管理的办法，确保了电子化支付系统2018年元月份平稳上线运行。通过出台规范性文件、推行POS机刷卡缴费、优化待查收入核对和开展网上对账等措施，加快了非税收入征缴信息化步伐，提高了非税资金征缴效率，杜绝了资金“体外循环”。</w:t>
            </w:r>
            <w:r>
              <w:rPr>
                <w:rFonts w:hint="eastAsia" w:ascii="仿宋_GB2312" w:hAnsi="仿宋_GB2312" w:eastAsia="仿宋_GB2312" w:cs="仿宋_GB2312"/>
                <w:b/>
                <w:bCs/>
                <w:sz w:val="28"/>
                <w:szCs w:val="28"/>
                <w:lang w:val="en-US" w:eastAsia="zh-CN"/>
              </w:rPr>
              <w:t>公有资产管理有效加强</w:t>
            </w:r>
            <w:r>
              <w:rPr>
                <w:rFonts w:hint="eastAsia" w:ascii="仿宋_GB2312" w:hAnsi="仿宋_GB2312" w:eastAsia="仿宋_GB2312" w:cs="仿宋_GB2312"/>
                <w:sz w:val="28"/>
                <w:szCs w:val="28"/>
                <w:lang w:val="en-US" w:eastAsia="zh-CN"/>
              </w:rPr>
              <w:t>。组织7场资产所有权、使用权的公开拍卖，实现处置收入7531万元、租赁收入975万元，并对279个单位的各类资产变动数据进行了报审和补录，资产管理逐步常态化、制度化、精细化和程序化。</w:t>
            </w:r>
            <w:r>
              <w:rPr>
                <w:rFonts w:hint="eastAsia" w:ascii="仿宋_GB2312" w:hAnsi="仿宋_GB2312" w:eastAsia="仿宋_GB2312" w:cs="仿宋_GB2312"/>
                <w:b/>
                <w:bCs/>
                <w:sz w:val="28"/>
                <w:szCs w:val="28"/>
                <w:lang w:val="en-US" w:eastAsia="zh-CN"/>
              </w:rPr>
              <w:t>财政监督有效加强。</w:t>
            </w:r>
            <w:r>
              <w:rPr>
                <w:rFonts w:hint="eastAsia" w:ascii="仿宋_GB2312" w:hAnsi="仿宋_GB2312" w:eastAsia="仿宋_GB2312" w:cs="仿宋_GB2312"/>
                <w:sz w:val="28"/>
                <w:szCs w:val="28"/>
                <w:lang w:val="en-US" w:eastAsia="zh-CN"/>
              </w:rPr>
              <w:t>完成了县扶贫资金专项检查、单位经济责任审计、行政事业单位“三公经费”调查、制造业企业抽样调查、会计监督检查、日常财监检查等6项共30次专项检查，有效维护了公共财经秩序。严格执行政府采购流程，着力推进采管分离，政府采购节减率5.4%。完善财政评审监管机制，共评审项目405个，送审总金额272132万元，审减金额26119万元，综合审减率9.6%。充分利用“互联网＋监督”平台，全县所有村场收支均在“三湘e监督”网上予以全面公开，公开项目128项，金额达6亿多元。</w:t>
            </w:r>
            <w:r>
              <w:rPr>
                <w:rFonts w:hint="eastAsia" w:ascii="仿宋_GB2312" w:hAnsi="仿宋_GB2312" w:eastAsia="仿宋_GB2312" w:cs="仿宋_GB2312"/>
                <w:b/>
                <w:bCs/>
                <w:sz w:val="28"/>
                <w:szCs w:val="28"/>
                <w:lang w:val="en-US" w:eastAsia="zh-CN"/>
              </w:rPr>
              <w:t>综合治税有效加强。</w:t>
            </w:r>
            <w:r>
              <w:rPr>
                <w:rFonts w:hint="eastAsia" w:ascii="仿宋_GB2312" w:hAnsi="仿宋_GB2312" w:eastAsia="仿宋_GB2312" w:cs="仿宋_GB2312"/>
                <w:sz w:val="28"/>
                <w:szCs w:val="28"/>
                <w:lang w:val="en-US" w:eastAsia="zh-CN"/>
              </w:rPr>
              <w:t xml:space="preserve">税务部门突出主业抓征管，创造性的对建筑和房地产业实施“网格化”税源管理方式，推出“双向共控、部门协管”一体化管理模式，建立涉税信息采集平台，设立项目台账，将房产局、国土局、工业园等有关部门的数据纳入了信息采集系统，实现涉税信息的互联互通。优化纳税服务，全面推行“一窗一人办税”新模式，国、地税在联合办税的基础上再次升级，共设17个窗口，实行“一窗一人”办税模式，打通了纳税服务“最后一公里”。 </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560" w:firstLineChars="200"/>
              <w:jc w:val="both"/>
              <w:textAlignment w:val="auto"/>
              <w:outlineLvl w:val="9"/>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总的来讲，</w:t>
            </w:r>
            <w:r>
              <w:rPr>
                <w:rFonts w:hint="eastAsia" w:ascii="仿宋_GB2312" w:hAnsi="仿宋_GB2312" w:eastAsia="仿宋_GB2312" w:cs="仿宋_GB2312"/>
                <w:sz w:val="28"/>
                <w:szCs w:val="28"/>
                <w:lang w:val="en-US" w:eastAsia="zh-CN"/>
              </w:rPr>
              <w:t>2018年，</w:t>
            </w:r>
            <w:r>
              <w:rPr>
                <w:rFonts w:hint="eastAsia" w:ascii="仿宋_GB2312" w:hAnsi="仿宋_GB2312" w:eastAsia="仿宋_GB2312" w:cs="仿宋_GB2312"/>
                <w:sz w:val="28"/>
                <w:szCs w:val="28"/>
              </w:rPr>
              <w:t>在财政收支矛盾十分突出的情况下，</w:t>
            </w:r>
            <w:r>
              <w:rPr>
                <w:rFonts w:hint="eastAsia" w:ascii="仿宋_GB2312" w:hAnsi="仿宋_GB2312" w:eastAsia="仿宋_GB2312" w:cs="仿宋_GB2312"/>
                <w:sz w:val="28"/>
                <w:szCs w:val="28"/>
                <w:lang w:eastAsia="zh-CN"/>
              </w:rPr>
              <w:t>我们</w:t>
            </w:r>
            <w:r>
              <w:rPr>
                <w:rFonts w:hint="eastAsia" w:ascii="仿宋_GB2312" w:hAnsi="仿宋_GB2312" w:eastAsia="仿宋_GB2312" w:cs="仿宋_GB2312"/>
                <w:sz w:val="28"/>
                <w:szCs w:val="28"/>
              </w:rPr>
              <w:t>既保证了正常运转和适度增长，又</w:t>
            </w:r>
            <w:r>
              <w:rPr>
                <w:rFonts w:hint="eastAsia" w:ascii="仿宋_GB2312" w:hAnsi="仿宋_GB2312" w:eastAsia="仿宋_GB2312" w:cs="仿宋_GB2312"/>
                <w:sz w:val="28"/>
                <w:szCs w:val="28"/>
                <w:lang w:eastAsia="zh-CN"/>
              </w:rPr>
              <w:t>保障</w:t>
            </w:r>
            <w:r>
              <w:rPr>
                <w:rFonts w:hint="eastAsia" w:ascii="仿宋_GB2312" w:hAnsi="仿宋_GB2312" w:eastAsia="仿宋_GB2312" w:cs="仿宋_GB2312"/>
                <w:sz w:val="28"/>
                <w:szCs w:val="28"/>
              </w:rPr>
              <w:t>了</w:t>
            </w:r>
            <w:r>
              <w:rPr>
                <w:rFonts w:hint="eastAsia" w:ascii="仿宋_GB2312" w:hAnsi="仿宋_GB2312" w:eastAsia="仿宋_GB2312" w:cs="仿宋_GB2312"/>
                <w:sz w:val="28"/>
                <w:szCs w:val="28"/>
                <w:lang w:eastAsia="zh-CN"/>
              </w:rPr>
              <w:t>经济发展和</w:t>
            </w:r>
            <w:r>
              <w:rPr>
                <w:rFonts w:hint="eastAsia" w:ascii="仿宋_GB2312" w:hAnsi="仿宋_GB2312" w:eastAsia="仿宋_GB2312" w:cs="仿宋_GB2312"/>
                <w:sz w:val="28"/>
                <w:szCs w:val="28"/>
              </w:rPr>
              <w:t>民生改善，成绩来之不易。这些成绩，</w:t>
            </w:r>
            <w:r>
              <w:rPr>
                <w:rFonts w:hint="eastAsia" w:ascii="仿宋_GB2312" w:hAnsi="仿宋_GB2312" w:eastAsia="仿宋_GB2312" w:cs="仿宋_GB2312"/>
                <w:sz w:val="28"/>
                <w:szCs w:val="28"/>
                <w:lang w:eastAsia="zh-CN"/>
              </w:rPr>
              <w:t>来自于全县</w:t>
            </w:r>
            <w:r>
              <w:rPr>
                <w:rFonts w:hint="eastAsia" w:ascii="仿宋_GB2312" w:hAnsi="仿宋_GB2312" w:eastAsia="仿宋_GB2312" w:cs="仿宋_GB2312"/>
                <w:sz w:val="28"/>
                <w:szCs w:val="28"/>
              </w:rPr>
              <w:t>各级各单位</w:t>
            </w:r>
            <w:r>
              <w:rPr>
                <w:rFonts w:hint="eastAsia" w:ascii="仿宋_GB2312" w:hAnsi="仿宋_GB2312" w:eastAsia="仿宋_GB2312" w:cs="仿宋_GB2312"/>
                <w:sz w:val="28"/>
                <w:szCs w:val="28"/>
                <w:lang w:eastAsia="zh-CN"/>
              </w:rPr>
              <w:t>的</w:t>
            </w:r>
            <w:r>
              <w:rPr>
                <w:rFonts w:hint="eastAsia" w:ascii="仿宋_GB2312" w:hAnsi="仿宋_GB2312" w:eastAsia="仿宋_GB2312" w:cs="仿宋_GB2312"/>
                <w:sz w:val="28"/>
                <w:szCs w:val="28"/>
              </w:rPr>
              <w:t>协同配合</w:t>
            </w:r>
            <w:r>
              <w:rPr>
                <w:rFonts w:hint="eastAsia" w:ascii="仿宋_GB2312" w:hAnsi="仿宋_GB2312" w:eastAsia="仿宋_GB2312" w:cs="仿宋_GB2312"/>
                <w:sz w:val="28"/>
                <w:szCs w:val="28"/>
                <w:lang w:eastAsia="zh-CN"/>
              </w:rPr>
              <w:t>，来自于</w:t>
            </w:r>
            <w:r>
              <w:rPr>
                <w:rFonts w:hint="eastAsia" w:ascii="仿宋_GB2312" w:hAnsi="仿宋_GB2312" w:eastAsia="仿宋_GB2312" w:cs="仿宋_GB2312"/>
                <w:sz w:val="28"/>
                <w:szCs w:val="28"/>
              </w:rPr>
              <w:t>财税部门</w:t>
            </w:r>
            <w:r>
              <w:rPr>
                <w:rFonts w:hint="eastAsia" w:ascii="仿宋_GB2312" w:hAnsi="仿宋_GB2312" w:eastAsia="仿宋_GB2312" w:cs="仿宋_GB2312"/>
                <w:sz w:val="28"/>
                <w:szCs w:val="28"/>
                <w:lang w:eastAsia="zh-CN"/>
              </w:rPr>
              <w:t>的</w:t>
            </w:r>
            <w:r>
              <w:rPr>
                <w:rFonts w:hint="eastAsia" w:ascii="仿宋_GB2312" w:hAnsi="仿宋_GB2312" w:eastAsia="仿宋_GB2312" w:cs="仿宋_GB2312"/>
                <w:sz w:val="28"/>
                <w:szCs w:val="28"/>
              </w:rPr>
              <w:t>努力奋斗，</w:t>
            </w:r>
            <w:r>
              <w:rPr>
                <w:rFonts w:hint="eastAsia" w:ascii="仿宋_GB2312" w:hAnsi="仿宋_GB2312" w:eastAsia="仿宋_GB2312" w:cs="仿宋_GB2312"/>
                <w:sz w:val="28"/>
                <w:szCs w:val="28"/>
                <w:lang w:eastAsia="zh-CN"/>
              </w:rPr>
              <w:t>来自于</w:t>
            </w:r>
            <w:r>
              <w:rPr>
                <w:rFonts w:hint="eastAsia" w:ascii="仿宋_GB2312" w:hAnsi="仿宋_GB2312" w:eastAsia="仿宋_GB2312" w:cs="仿宋_GB2312"/>
                <w:sz w:val="28"/>
                <w:szCs w:val="28"/>
              </w:rPr>
              <w:t>广大纳税人</w:t>
            </w:r>
            <w:r>
              <w:rPr>
                <w:rFonts w:hint="eastAsia" w:ascii="仿宋_GB2312" w:hAnsi="仿宋_GB2312" w:eastAsia="仿宋_GB2312" w:cs="仿宋_GB2312"/>
                <w:sz w:val="28"/>
                <w:szCs w:val="28"/>
                <w:lang w:eastAsia="zh-CN"/>
              </w:rPr>
              <w:t>的</w:t>
            </w:r>
            <w:r>
              <w:rPr>
                <w:rFonts w:hint="eastAsia" w:ascii="仿宋_GB2312" w:hAnsi="仿宋_GB2312" w:eastAsia="仿宋_GB2312" w:cs="仿宋_GB2312"/>
                <w:sz w:val="28"/>
                <w:szCs w:val="28"/>
              </w:rPr>
              <w:t>大力支持，在此</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一并向大家表示衷心的感谢</w:t>
            </w:r>
            <w:r>
              <w:rPr>
                <w:rFonts w:hint="eastAsia" w:ascii="仿宋_GB2312" w:hAnsi="仿宋_GB2312" w:eastAsia="仿宋_GB2312" w:cs="仿宋_GB2312"/>
                <w:sz w:val="28"/>
                <w:szCs w:val="28"/>
                <w:lang w:eastAsia="zh-CN"/>
              </w:rPr>
              <w:t>！这些成绩，也是我县财税工作再上新台阶、再创新辉煌的具体体现，增强了我们做好今年财税工作的坚定自信。</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560" w:firstLineChars="200"/>
              <w:jc w:val="both"/>
              <w:textAlignment w:val="auto"/>
              <w:outlineLvl w:val="9"/>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与此同时，我们也要清醒看到，当前财税工作还面临不少困难和挑战。主表现在：</w:t>
            </w:r>
            <w:r>
              <w:rPr>
                <w:rFonts w:hint="eastAsia" w:ascii="楷体_GB2312" w:hAnsi="楷体_GB2312" w:eastAsia="楷体_GB2312" w:cs="楷体_GB2312"/>
                <w:b/>
                <w:bCs/>
                <w:sz w:val="28"/>
                <w:szCs w:val="28"/>
                <w:lang w:val="en-US" w:eastAsia="zh-CN"/>
              </w:rPr>
              <w:t>一是财政增收后劲乏力。</w:t>
            </w:r>
            <w:r>
              <w:rPr>
                <w:rFonts w:hint="eastAsia" w:ascii="仿宋_GB2312" w:hAnsi="仿宋_GB2312" w:eastAsia="仿宋_GB2312" w:cs="仿宋_GB2312"/>
                <w:sz w:val="28"/>
                <w:szCs w:val="28"/>
                <w:lang w:val="en-US" w:eastAsia="zh-CN"/>
              </w:rPr>
              <w:t>全县工业经济总量不大，骨干税源企业数量不多，支撑作用不强。特别是中央减税清费力度还在加大，“营改增”减税效应还将进一步释放，主体财源尚在培育，新兴财源一时难以接续，财税收入增长根基不够稳固。</w:t>
            </w:r>
            <w:r>
              <w:rPr>
                <w:rFonts w:hint="eastAsia" w:ascii="楷体_GB2312" w:hAnsi="楷体_GB2312" w:eastAsia="楷体_GB2312" w:cs="楷体_GB2312"/>
                <w:b/>
                <w:bCs/>
                <w:sz w:val="28"/>
                <w:szCs w:val="28"/>
                <w:lang w:val="en-US" w:eastAsia="zh-CN"/>
              </w:rPr>
              <w:t>二是财政支出压力加大。</w:t>
            </w:r>
            <w:r>
              <w:rPr>
                <w:rFonts w:hint="eastAsia" w:ascii="仿宋_GB2312" w:hAnsi="仿宋_GB2312" w:eastAsia="仿宋_GB2312" w:cs="仿宋_GB2312"/>
                <w:sz w:val="28"/>
                <w:szCs w:val="28"/>
                <w:lang w:val="en-US" w:eastAsia="zh-CN"/>
              </w:rPr>
              <w:t>原有支出难以削减，新增支出不断涌现，收支矛盾更加突出，保重点、促运转、惠民生等财政</w:t>
            </w:r>
            <w:r>
              <w:rPr>
                <w:rFonts w:hint="eastAsia" w:ascii="仿宋_GB2312" w:hAnsi="仿宋_GB2312" w:eastAsia="仿宋_GB2312" w:cs="仿宋_GB2312"/>
                <w:sz w:val="28"/>
                <w:szCs w:val="28"/>
              </w:rPr>
              <w:t>支出保障的压力很大。</w:t>
            </w:r>
            <w:r>
              <w:rPr>
                <w:rFonts w:hint="eastAsia" w:ascii="楷体_GB2312" w:hAnsi="楷体_GB2312" w:eastAsia="楷体_GB2312" w:cs="楷体_GB2312"/>
                <w:b/>
                <w:bCs/>
                <w:sz w:val="28"/>
                <w:szCs w:val="28"/>
                <w:lang w:val="en-US" w:eastAsia="zh-CN"/>
              </w:rPr>
              <w:t>三是财税改革任务繁重。</w:t>
            </w:r>
            <w:r>
              <w:rPr>
                <w:rFonts w:hint="eastAsia" w:ascii="仿宋_GB2312" w:hAnsi="仿宋_GB2312" w:eastAsia="仿宋_GB2312" w:cs="仿宋_GB2312"/>
                <w:sz w:val="28"/>
                <w:szCs w:val="28"/>
                <w:lang w:val="en-US" w:eastAsia="zh-CN"/>
              </w:rPr>
              <w:t>按照中央财税体制改革的路线图和时间表，2020年基本建立现代财政制度。当前全面深化改革已进入攻坚阶段，预算制度改革、税收制度调整等一系列改革持续深化，财税体制改革不再单兵作战，必须与其他方面改革结合起来，统筹协调推进改革的任务十分繁重。</w:t>
            </w:r>
            <w:r>
              <w:rPr>
                <w:rFonts w:hint="eastAsia" w:ascii="楷体_GB2312" w:hAnsi="楷体_GB2312" w:eastAsia="楷体_GB2312" w:cs="楷体_GB2312"/>
                <w:b/>
                <w:bCs/>
                <w:sz w:val="28"/>
                <w:szCs w:val="28"/>
                <w:lang w:val="en-US" w:eastAsia="zh-CN"/>
              </w:rPr>
              <w:t>四是政府债务风险需要高度重视。</w:t>
            </w:r>
            <w:r>
              <w:rPr>
                <w:rFonts w:hint="eastAsia" w:ascii="仿宋_GB2312" w:hAnsi="仿宋_GB2312" w:eastAsia="仿宋_GB2312" w:cs="仿宋_GB2312"/>
                <w:sz w:val="28"/>
                <w:szCs w:val="28"/>
                <w:lang w:val="en-US" w:eastAsia="zh-CN"/>
              </w:rPr>
              <w:t>防范化解政府债务风险是三大攻坚战的重要内容，是防范金融风险、维护社会安全稳定的现实需要，拖不得、等不得、慢不得。2017年末，全县政府性债务负债率为23.1%，比各省平均债务率低13.1个百分点，综合债务率为41.9%。尽管我县属于绿色管理区，风险总体可控，但仍要高度重视，严密防范。</w:t>
            </w:r>
          </w:p>
          <w:p>
            <w:pPr>
              <w:spacing w:line="640" w:lineRule="exact"/>
              <w:ind w:left="325" w:leftChars="155" w:firstLine="579" w:firstLineChars="207"/>
              <w:rPr>
                <w:rFonts w:hint="eastAsia" w:ascii="仿宋_GB2312" w:eastAsia="仿宋_GB2312"/>
                <w:sz w:val="28"/>
                <w:szCs w:val="28"/>
              </w:rPr>
            </w:pPr>
            <w:r>
              <w:rPr>
                <w:rFonts w:hint="eastAsia" w:ascii="仿宋_GB2312" w:eastAsia="仿宋_GB2312"/>
                <w:sz w:val="28"/>
                <w:szCs w:val="28"/>
              </w:rPr>
              <w:t>根据绩效考核要求，我局认真开展了绩效评估自查。认真填写了《华容县财政支出项目绩效评价自评报告》、《华容县财政支出项目绩效自评表》。自评得分95分，考评等级为“优秀”。</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560" w:firstLineChars="200"/>
              <w:jc w:val="both"/>
              <w:textAlignment w:val="auto"/>
              <w:outlineLvl w:val="9"/>
              <w:rPr>
                <w:rFonts w:hint="eastAsia" w:ascii="仿宋_GB2312" w:hAnsi="仿宋_GB2312" w:eastAsia="仿宋_GB2312" w:cs="仿宋_GB2312"/>
                <w:sz w:val="28"/>
                <w:szCs w:val="28"/>
                <w:lang w:val="en-US" w:eastAsia="zh-CN"/>
              </w:rPr>
            </w:pPr>
          </w:p>
          <w:p>
            <w:pPr>
              <w:spacing w:line="640" w:lineRule="exact"/>
              <w:ind w:left="325" w:leftChars="155" w:firstLine="33" w:firstLineChars="12"/>
              <w:rPr>
                <w:rFonts w:hint="eastAsia" w:ascii="仿宋_GB2312" w:eastAsia="仿宋_GB2312"/>
                <w:sz w:val="28"/>
                <w:szCs w:val="28"/>
              </w:rPr>
            </w:pPr>
            <w:r>
              <w:rPr>
                <w:rFonts w:hint="eastAsia" w:ascii="仿宋_GB2312" w:eastAsia="仿宋_GB2312"/>
                <w:sz w:val="28"/>
                <w:szCs w:val="28"/>
              </w:rPr>
              <w:t>五、存在的主要问题</w:t>
            </w:r>
          </w:p>
          <w:p>
            <w:pPr>
              <w:spacing w:line="640" w:lineRule="exact"/>
              <w:ind w:left="325" w:leftChars="155" w:firstLine="579" w:firstLineChars="207"/>
              <w:rPr>
                <w:rFonts w:hint="eastAsia" w:ascii="仿宋_GB2312" w:eastAsia="仿宋_GB2312"/>
                <w:sz w:val="28"/>
                <w:szCs w:val="28"/>
              </w:rPr>
            </w:pPr>
            <w:r>
              <w:rPr>
                <w:rFonts w:hint="eastAsia" w:ascii="仿宋_GB2312" w:eastAsia="仿宋_GB2312"/>
                <w:sz w:val="28"/>
                <w:szCs w:val="28"/>
              </w:rPr>
              <w:t>在充分肯定成绩的同时，更要清醒认识财政工作还存在一些突出的问题和困难：收入增长后劲不足，收入结构有待一步改善；财政支出增长较快，收支矛盾有待进一步缓解，财政责任持续加重，防控力度有待进一步加强；问效问责倒逼改革，改革举措有待进一步落实；转变作风任务艰巨，工作效能有待进一步提升。</w:t>
            </w:r>
          </w:p>
          <w:p>
            <w:pPr>
              <w:spacing w:line="640" w:lineRule="exact"/>
              <w:ind w:left="325" w:leftChars="155" w:firstLine="33" w:firstLineChars="12"/>
              <w:rPr>
                <w:rFonts w:hint="eastAsia" w:ascii="仿宋_GB2312" w:eastAsia="仿宋_GB2312"/>
                <w:sz w:val="28"/>
                <w:szCs w:val="28"/>
              </w:rPr>
            </w:pPr>
          </w:p>
          <w:p>
            <w:pPr>
              <w:spacing w:line="640" w:lineRule="exact"/>
              <w:ind w:left="325" w:leftChars="155" w:firstLine="33" w:firstLineChars="12"/>
              <w:rPr>
                <w:rFonts w:hint="eastAsia" w:ascii="仿宋_GB2312" w:eastAsia="仿宋_GB2312"/>
                <w:sz w:val="28"/>
                <w:szCs w:val="28"/>
              </w:rPr>
            </w:pPr>
            <w:r>
              <w:rPr>
                <w:rFonts w:hint="eastAsia" w:ascii="仿宋_GB2312" w:eastAsia="仿宋_GB2312"/>
                <w:sz w:val="28"/>
                <w:szCs w:val="28"/>
              </w:rPr>
              <w:t>六、改进措施和有关建议</w:t>
            </w:r>
          </w:p>
          <w:p>
            <w:pPr>
              <w:spacing w:line="640" w:lineRule="exact"/>
              <w:ind w:left="325" w:leftChars="155" w:firstLine="33" w:firstLineChars="12"/>
              <w:rPr>
                <w:rFonts w:hint="eastAsia" w:ascii="仿宋_GB2312" w:eastAsia="仿宋_GB2312"/>
                <w:sz w:val="28"/>
                <w:szCs w:val="28"/>
              </w:rPr>
            </w:pPr>
            <w:r>
              <w:rPr>
                <w:rFonts w:hint="eastAsia" w:ascii="仿宋_GB2312" w:eastAsia="仿宋_GB2312"/>
                <w:sz w:val="28"/>
                <w:szCs w:val="28"/>
              </w:rPr>
              <w:t xml:space="preserve">    根据新常态下的新形势，财政部门必须统筹兼兼顾，积极谋求财政工作新发展。坚持稳中求进工作总基调，深入保障和改善发生，构建民生财政；着力强化绩效管理，构建绩效财政，为推进我县经济社会平稳较快发展和提供有力的财政保障，重点在以下方面努力：</w:t>
            </w:r>
          </w:p>
          <w:p>
            <w:pPr>
              <w:numPr>
                <w:ilvl w:val="0"/>
                <w:numId w:val="2"/>
              </w:numPr>
              <w:spacing w:line="640" w:lineRule="exact"/>
              <w:ind w:left="325" w:leftChars="155" w:firstLine="579" w:firstLineChars="207"/>
              <w:rPr>
                <w:rFonts w:hint="eastAsia" w:ascii="仿宋_GB2312" w:eastAsia="仿宋_GB2312"/>
                <w:sz w:val="28"/>
                <w:szCs w:val="28"/>
              </w:rPr>
            </w:pPr>
            <w:r>
              <w:rPr>
                <w:rFonts w:hint="eastAsia" w:ascii="仿宋_GB2312" w:eastAsia="仿宋_GB2312"/>
                <w:sz w:val="28"/>
                <w:szCs w:val="28"/>
              </w:rPr>
              <w:t>收入征收管理上精准发力。一是坚持依法治税，二是强化非税征管；三是加强基金征缴；四是规范资产处置。</w:t>
            </w:r>
          </w:p>
          <w:p>
            <w:pPr>
              <w:numPr>
                <w:ilvl w:val="0"/>
                <w:numId w:val="2"/>
              </w:numPr>
              <w:spacing w:line="640" w:lineRule="exact"/>
              <w:ind w:left="325" w:leftChars="155" w:firstLine="579" w:firstLineChars="207"/>
              <w:rPr>
                <w:rFonts w:hint="eastAsia" w:ascii="仿宋_GB2312" w:eastAsia="仿宋_GB2312"/>
                <w:sz w:val="28"/>
                <w:szCs w:val="28"/>
              </w:rPr>
            </w:pPr>
            <w:r>
              <w:rPr>
                <w:rFonts w:hint="eastAsia" w:ascii="仿宋_GB2312" w:eastAsia="仿宋_GB2312"/>
                <w:sz w:val="28"/>
                <w:szCs w:val="28"/>
              </w:rPr>
              <w:t>服和区域经济上精准发力。推进供给侧结构性改革，全力支持“三去一降一补”，用足、用活政策创新完善财政专项资金扶持方式。</w:t>
            </w:r>
          </w:p>
          <w:p>
            <w:pPr>
              <w:numPr>
                <w:ilvl w:val="0"/>
                <w:numId w:val="2"/>
              </w:numPr>
              <w:spacing w:line="640" w:lineRule="exact"/>
              <w:ind w:left="325" w:leftChars="155" w:firstLine="579" w:firstLineChars="207"/>
              <w:rPr>
                <w:rFonts w:hint="eastAsia" w:ascii="仿宋_GB2312" w:eastAsia="仿宋_GB2312"/>
                <w:sz w:val="28"/>
                <w:szCs w:val="28"/>
              </w:rPr>
            </w:pPr>
            <w:r>
              <w:rPr>
                <w:rFonts w:hint="eastAsia" w:ascii="仿宋_GB2312" w:eastAsia="仿宋_GB2312"/>
                <w:sz w:val="28"/>
                <w:szCs w:val="28"/>
              </w:rPr>
              <w:t>优化支出机构上精准发力。进一步完善和落实好民生政策，坚持“雪中送炭”，不搞“锦上添花”。支持脱贫攻坚，加大资金整合力度。保证人员工资发放和行政事业机构正常运转，进一步盘活存量资金，完善支出管理制度，使财政资金配置更加科学，运行更加安全，使用更加高效。</w:t>
            </w:r>
          </w:p>
          <w:p>
            <w:pPr>
              <w:rPr>
                <w:rFonts w:eastAsia="楷体_GB2312"/>
                <w:sz w:val="28"/>
                <w:szCs w:val="28"/>
              </w:rPr>
            </w:pPr>
            <w:r>
              <w:rPr>
                <w:rFonts w:hint="eastAsia" w:ascii="仿宋_GB2312" w:eastAsia="仿宋_GB2312"/>
                <w:sz w:val="28"/>
                <w:szCs w:val="28"/>
              </w:rPr>
              <w:t>深化财税改革上精准发力。根据新《预算法》和《湖南省全面深化财税体制改革实施方案》所确定的重点改革任务，围绕改革重点抓落实，按照时间节点抓推进，加强组织协调，加快改革进程。</w:t>
            </w:r>
          </w:p>
        </w:tc>
      </w:tr>
    </w:tbl>
    <w:p>
      <w:pPr>
        <w:rPr>
          <w:rFonts w:hint="eastAsia"/>
        </w:rPr>
      </w:pPr>
      <w:r>
        <w:rPr>
          <w:rFonts w:eastAsia="楷体_GB2312"/>
          <w:sz w:val="28"/>
          <w:szCs w:val="28"/>
        </w:rPr>
        <w:br w:type="page"/>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Times New Roman"/>
    <w:panose1 w:val="00000000000000000000"/>
    <w:charset w:val="00"/>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font>
  <w:font w:name="楷体_GB2312">
    <w:altName w:val="楷体"/>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44382C"/>
    <w:multiLevelType w:val="multilevel"/>
    <w:tmpl w:val="4F44382C"/>
    <w:lvl w:ilvl="0" w:tentative="0">
      <w:start w:val="1"/>
      <w:numFmt w:val="decimal"/>
      <w:lvlText w:val="%1、"/>
      <w:lvlJc w:val="left"/>
      <w:pPr>
        <w:ind w:left="1069" w:hanging="720"/>
      </w:pPr>
      <w:rPr>
        <w:rFonts w:hint="default"/>
      </w:rPr>
    </w:lvl>
    <w:lvl w:ilvl="1" w:tentative="0">
      <w:start w:val="1"/>
      <w:numFmt w:val="lowerLetter"/>
      <w:lvlText w:val="%2)"/>
      <w:lvlJc w:val="left"/>
      <w:pPr>
        <w:ind w:left="1189" w:hanging="420"/>
      </w:pPr>
    </w:lvl>
    <w:lvl w:ilvl="2" w:tentative="0">
      <w:start w:val="1"/>
      <w:numFmt w:val="lowerRoman"/>
      <w:lvlText w:val="%3."/>
      <w:lvlJc w:val="right"/>
      <w:pPr>
        <w:ind w:left="1609" w:hanging="420"/>
      </w:pPr>
    </w:lvl>
    <w:lvl w:ilvl="3" w:tentative="0">
      <w:start w:val="1"/>
      <w:numFmt w:val="decimal"/>
      <w:lvlText w:val="%4."/>
      <w:lvlJc w:val="left"/>
      <w:pPr>
        <w:ind w:left="2029" w:hanging="420"/>
      </w:pPr>
    </w:lvl>
    <w:lvl w:ilvl="4" w:tentative="0">
      <w:start w:val="1"/>
      <w:numFmt w:val="lowerLetter"/>
      <w:lvlText w:val="%5)"/>
      <w:lvlJc w:val="left"/>
      <w:pPr>
        <w:ind w:left="2449" w:hanging="420"/>
      </w:pPr>
    </w:lvl>
    <w:lvl w:ilvl="5" w:tentative="0">
      <w:start w:val="1"/>
      <w:numFmt w:val="lowerRoman"/>
      <w:lvlText w:val="%6."/>
      <w:lvlJc w:val="right"/>
      <w:pPr>
        <w:ind w:left="2869" w:hanging="420"/>
      </w:pPr>
    </w:lvl>
    <w:lvl w:ilvl="6" w:tentative="0">
      <w:start w:val="1"/>
      <w:numFmt w:val="decimal"/>
      <w:lvlText w:val="%7."/>
      <w:lvlJc w:val="left"/>
      <w:pPr>
        <w:ind w:left="3289" w:hanging="420"/>
      </w:pPr>
    </w:lvl>
    <w:lvl w:ilvl="7" w:tentative="0">
      <w:start w:val="1"/>
      <w:numFmt w:val="lowerLetter"/>
      <w:lvlText w:val="%8)"/>
      <w:lvlJc w:val="left"/>
      <w:pPr>
        <w:ind w:left="3709" w:hanging="420"/>
      </w:pPr>
    </w:lvl>
    <w:lvl w:ilvl="8" w:tentative="0">
      <w:start w:val="1"/>
      <w:numFmt w:val="lowerRoman"/>
      <w:lvlText w:val="%9."/>
      <w:lvlJc w:val="right"/>
      <w:pPr>
        <w:ind w:left="4129" w:hanging="420"/>
      </w:pPr>
    </w:lvl>
  </w:abstractNum>
  <w:abstractNum w:abstractNumId="1">
    <w:nsid w:val="5E8138A6"/>
    <w:multiLevelType w:val="multilevel"/>
    <w:tmpl w:val="5E8138A6"/>
    <w:lvl w:ilvl="0" w:tentative="0">
      <w:start w:val="1"/>
      <w:numFmt w:val="decimal"/>
      <w:lvlText w:val="%1、"/>
      <w:lvlJc w:val="left"/>
      <w:pPr>
        <w:ind w:left="720" w:hanging="720"/>
      </w:pPr>
      <w:rPr>
        <w:rFonts w:ascii="仿宋_GB2312" w:hAnsi="仿宋_GB2312" w:eastAsia="仿宋_GB2312" w:cs="仿宋_GB2312"/>
      </w:r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A64E9D"/>
    <w:rsid w:val="21FD0960"/>
    <w:rsid w:val="41816098"/>
    <w:rsid w:val="51A64E9D"/>
    <w:rsid w:val="520D2C0C"/>
    <w:rsid w:val="541C2BC6"/>
    <w:rsid w:val="66623A86"/>
    <w:rsid w:val="7E9D73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2018-05-29T02:32:00Z</dcterms:created>
  <dc:creator>Administrator</dc:creator>
  <cp:lastModifiedBy>Administrator</cp:lastModifiedBy>
  <dcterms:modified xsi:type="dcterms:W3CDTF">2020-12-04T08:43:14Z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2052-11.1.0.10000</vt:lpwstr>
  </property>
</Properties>
</file>