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华容县林业局</w:t>
      </w:r>
      <w:r>
        <w:rPr>
          <w:rFonts w:hint="eastAsia" w:eastAsia="仿宋_GB2312"/>
          <w:sz w:val="32"/>
          <w:szCs w:val="32"/>
          <w:u w:val="single"/>
        </w:rPr>
        <w:t xml:space="preserve"> </w:t>
      </w:r>
      <w:r>
        <w:rPr>
          <w:rFonts w:hint="eastAsia" w:eastAsia="仿宋_GB2312"/>
          <w:sz w:val="32"/>
          <w:szCs w:val="32"/>
          <w:u w:val="single"/>
          <w:lang w:eastAsia="zh-CN"/>
        </w:rPr>
        <w:t>（</w:t>
      </w:r>
      <w:r>
        <w:rPr>
          <w:rFonts w:hint="eastAsia" w:eastAsia="仿宋_GB2312"/>
          <w:sz w:val="32"/>
          <w:szCs w:val="32"/>
          <w:u w:val="single"/>
          <w:lang w:val="en-US" w:eastAsia="zh-CN"/>
        </w:rPr>
        <w:t>本级</w:t>
      </w:r>
      <w:r>
        <w:rPr>
          <w:rFonts w:hint="eastAsia" w:eastAsia="仿宋_GB2312"/>
          <w:sz w:val="32"/>
          <w:szCs w:val="32"/>
          <w:u w:val="single"/>
          <w:lang w:eastAsia="zh-CN"/>
        </w:rPr>
        <w:t>）</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19</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10"/>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王芬</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13974075770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1、贯彻执行国家大政方针、政策和法律法规，研究拟订全县森林生态环境建设、森林资源保护和国土绿化的具体办法和措施，并组织实施。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2、拟订全县林业发展战略与中长期规划，并组织实施；管理全县林业资金，监督全县林业资金的使用。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3、组织开展植树造林和封山育林工作；组织指导以植树、种草等措施防治水土流失和防浪、治沙工作；指导国有林场、集体林场及基层林业工作站的业务。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4、组织、指导森林资源（含经济林、薪炭林、用材林、防护林及其它特种用途林）的管理，组织全县森林资源调查，监督森林资源的使用，组织实施森林采伐限额；监督林木、竹林的凭证采伐与运输；组织、指导林地、林权管理、林业产权交易，并对依法应由县政府批准的林地征用、占用进行审核；监督林地开发利用工作；负责协调山林纠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5、组织、指导陆生野生动植物资源的保护和合理开发利用。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6、组织协调、指导、监督全县森林防火工作；负责指导全县森林公安工作；组织指导全县森林病虫害的防治、检疫工作。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7、研究提出林业产业发展的有关措施建议；监督国家林业资产，指导林业产业发展；申报重点林业建设项目。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8、指导各类商品林（含用材林、经济林、薪炭林、落叶林、竹林、特种用途林）和风景林及林木花卉的发展与培育。</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9、组织、指导林业科技宣传工作，指导全县林业队伍的建设。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10、承办县委、县政府和上级主管部门交办的其他事项。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numPr>
                <w:ilvl w:val="0"/>
                <w:numId w:val="1"/>
              </w:numPr>
              <w:autoSpaceDN w:val="0"/>
              <w:spacing w:line="320" w:lineRule="exact"/>
              <w:jc w:val="left"/>
              <w:textAlignment w:val="center"/>
              <w:rPr>
                <w:rFonts w:hint="eastAsia" w:ascii="仿宋_GB2312" w:hAnsi="仿宋_GB2312" w:eastAsia="仿宋_GB2312" w:cs="仿宋_GB2312"/>
                <w:color w:val="000000"/>
                <w:sz w:val="24"/>
                <w:lang w:val="en-US" w:eastAsia="zh-CN"/>
              </w:rPr>
            </w:pPr>
            <w:bookmarkStart w:id="0" w:name="OLE_LINK10"/>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乡镇造林1.4万亩，义务植树124万株</w:t>
            </w:r>
          </w:p>
          <w:p>
            <w:pPr>
              <w:numPr>
                <w:ilvl w:val="0"/>
                <w:numId w:val="1"/>
              </w:num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p>
          <w:bookmarkEnd w:id="0"/>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、加强</w:t>
            </w:r>
            <w:r>
              <w:rPr>
                <w:rFonts w:hint="eastAsia" w:ascii="仿宋_GB2312" w:hAnsi="仿宋_GB2312" w:eastAsia="仿宋_GB2312" w:cs="仿宋_GB2312"/>
                <w:color w:val="000000"/>
                <w:sz w:val="24"/>
                <w:lang w:val="en-US" w:eastAsia="zh-CN"/>
              </w:rPr>
              <w:t>项目建设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取得的成绩：</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bookmarkStart w:id="1" w:name="OLE_LINK11"/>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1.5</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义务植树127万株</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2、欧美杨清理2110亩，超额完成117%、</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3、加强资源保护，</w:t>
            </w:r>
            <w:r>
              <w:rPr>
                <w:rFonts w:hint="eastAsia" w:ascii="仿宋_GB2312" w:hAnsi="仿宋_GB2312" w:eastAsia="仿宋_GB2312" w:cs="仿宋_GB2312"/>
                <w:color w:val="000000"/>
                <w:sz w:val="24"/>
              </w:rPr>
              <w:t>林地面积2.5万公顷，保有率100%；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森林覆盖率达到22.12%森林蓄积量增长率稳定在4.5%以上；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森林火灾受害率控制在1‰以内；</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林业有害生物成灾率控制在4‰以内。</w:t>
            </w:r>
            <w:bookmarkEnd w:id="1"/>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7、完成项目建设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2798.77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2798.77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2798.77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776.94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616.96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159.97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2021.83</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656.89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656.89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2"/>
              </w:numPr>
              <w:autoSpaceDN w:val="0"/>
              <w:spacing w:line="320" w:lineRule="exact"/>
              <w:jc w:val="left"/>
              <w:textAlignment w:val="center"/>
              <w:rPr>
                <w:rFonts w:hint="eastAsia" w:ascii="仿宋_GB2312" w:hAnsi="仿宋_GB2312" w:eastAsia="仿宋_GB2312" w:cs="仿宋_GB2312"/>
                <w:color w:val="000000"/>
                <w:sz w:val="24"/>
                <w:lang w:val="en-US" w:eastAsia="zh-CN"/>
              </w:rPr>
            </w:pPr>
            <w:bookmarkStart w:id="2" w:name="OLE_LINK3"/>
            <w:r>
              <w:rPr>
                <w:rFonts w:hint="eastAsia" w:ascii="仿宋_GB2312" w:hAnsi="仿宋_GB2312" w:eastAsia="仿宋_GB2312" w:cs="仿宋_GB2312"/>
                <w:color w:val="000000"/>
                <w:sz w:val="24"/>
              </w:rPr>
              <w:t>狠抓乡镇绿化</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乡镇造林1.4万亩，义务植树124万株</w:t>
            </w:r>
          </w:p>
          <w:bookmarkEnd w:id="2"/>
          <w:p>
            <w:pPr>
              <w:numPr>
                <w:ilvl w:val="0"/>
                <w:numId w:val="0"/>
              </w:numPr>
              <w:autoSpaceDN w:val="0"/>
              <w:spacing w:line="320" w:lineRule="exact"/>
              <w:jc w:val="left"/>
              <w:textAlignment w:val="center"/>
              <w:rPr>
                <w:rFonts w:hint="eastAsia" w:ascii="仿宋_GB2312" w:hAnsi="仿宋_GB2312" w:eastAsia="仿宋_GB2312" w:cs="仿宋_GB2312"/>
                <w:color w:val="000000"/>
                <w:sz w:val="24"/>
              </w:rPr>
            </w:pPr>
            <w:bookmarkStart w:id="3" w:name="OLE_LINK4"/>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保护森林资源，推进依法行政</w:t>
            </w:r>
            <w:r>
              <w:rPr>
                <w:rFonts w:hint="eastAsia" w:ascii="仿宋_GB2312" w:hAnsi="仿宋_GB2312" w:eastAsia="仿宋_GB2312" w:cs="仿宋_GB2312"/>
                <w:color w:val="000000"/>
                <w:sz w:val="24"/>
                <w:lang w:eastAsia="zh-CN"/>
              </w:rPr>
              <w:t>。</w:t>
            </w:r>
          </w:p>
          <w:bookmarkEnd w:id="3"/>
          <w:p>
            <w:pPr>
              <w:autoSpaceDN w:val="0"/>
              <w:spacing w:line="320" w:lineRule="exact"/>
              <w:jc w:val="left"/>
              <w:textAlignment w:val="center"/>
              <w:rPr>
                <w:rFonts w:hint="eastAsia" w:ascii="仿宋_GB2312" w:hAnsi="仿宋_GB2312" w:eastAsia="仿宋_GB2312" w:cs="仿宋_GB2312"/>
                <w:color w:val="000000"/>
                <w:sz w:val="24"/>
              </w:rPr>
            </w:pPr>
            <w:bookmarkStart w:id="9" w:name="_GoBack"/>
            <w:bookmarkStart w:id="4" w:name="OLE_LINK5"/>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加强灾害防控</w:t>
            </w:r>
            <w:r>
              <w:rPr>
                <w:rFonts w:hint="eastAsia" w:ascii="仿宋_GB2312" w:hAnsi="仿宋_GB2312" w:eastAsia="仿宋_GB2312" w:cs="仿宋_GB2312"/>
                <w:color w:val="000000"/>
                <w:sz w:val="24"/>
                <w:lang w:val="en-US" w:eastAsia="zh-CN"/>
              </w:rPr>
              <w:t>及资源保护</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严格限额采伐，着力防控森林火灾和林业有害生物灾害。</w:t>
            </w:r>
            <w:bookmarkEnd w:id="4"/>
          </w:p>
          <w:bookmarkEnd w:id="9"/>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top"/>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1、完成</w:t>
            </w:r>
            <w:r>
              <w:rPr>
                <w:rFonts w:hint="eastAsia" w:ascii="仿宋_GB2312" w:hAnsi="仿宋_GB2312" w:eastAsia="仿宋_GB2312" w:cs="仿宋_GB2312"/>
                <w:color w:val="000000"/>
                <w:sz w:val="24"/>
              </w:rPr>
              <w:t>造林</w:t>
            </w:r>
            <w:r>
              <w:rPr>
                <w:rFonts w:hint="eastAsia" w:ascii="仿宋_GB2312" w:hAnsi="仿宋_GB2312" w:eastAsia="仿宋_GB2312" w:cs="仿宋_GB2312"/>
                <w:color w:val="000000"/>
                <w:sz w:val="24"/>
                <w:lang w:val="en-US" w:eastAsia="zh-CN"/>
              </w:rPr>
              <w:t>1.5</w:t>
            </w:r>
            <w:r>
              <w:rPr>
                <w:rFonts w:hint="eastAsia" w:ascii="仿宋_GB2312" w:hAnsi="仿宋_GB2312" w:eastAsia="仿宋_GB2312" w:cs="仿宋_GB2312"/>
                <w:color w:val="000000"/>
                <w:sz w:val="24"/>
              </w:rPr>
              <w:t>万亩；</w:t>
            </w:r>
            <w:r>
              <w:rPr>
                <w:rFonts w:hint="eastAsia" w:ascii="仿宋_GB2312" w:hAnsi="仿宋_GB2312" w:eastAsia="仿宋_GB2312" w:cs="仿宋_GB2312"/>
                <w:color w:val="000000"/>
                <w:sz w:val="24"/>
                <w:lang w:val="en-US" w:eastAsia="zh-CN"/>
              </w:rPr>
              <w:t>义务植树127万株</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2、欧美杨清理2110亩，超额完成117%、</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3、加强资源保护，</w:t>
            </w:r>
            <w:r>
              <w:rPr>
                <w:rFonts w:hint="eastAsia" w:ascii="仿宋_GB2312" w:hAnsi="仿宋_GB2312" w:eastAsia="仿宋_GB2312" w:cs="仿宋_GB2312"/>
                <w:color w:val="000000"/>
                <w:sz w:val="24"/>
              </w:rPr>
              <w:t>林地面积2.5万公顷，保有率100%；</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森林覆盖率达到22.12%森林蓄积量增长率稳定在4.5%以上；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森林火灾受害率控制在1‰以内；</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林业有害生物成灾率控制在4‰以内。</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bookmarkStart w:id="5" w:name="OLE_LINK2" w:colFirst="3" w:colLast="4"/>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lang w:val="en-US" w:eastAsia="zh-CN"/>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、林地面积2.5万公顷，保有率100%；：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、森林覆盖率达到22.12%；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、森林蓄积量增长率稳定在4.5%以上；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指标4</w:t>
            </w:r>
            <w:r>
              <w:rPr>
                <w:rFonts w:hint="eastAsia" w:ascii="仿宋_GB2312" w:hAnsi="仿宋_GB2312" w:eastAsia="仿宋_GB2312" w:cs="仿宋_GB2312"/>
                <w:color w:val="000000"/>
                <w:sz w:val="24"/>
              </w:rPr>
              <w:t>、森林火灾受害率控制在1‰以内；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无火灾</w:t>
            </w:r>
          </w:p>
        </w:tc>
      </w:tr>
      <w:bookmarkEnd w:id="5"/>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keepNext w:val="0"/>
              <w:keepLines w:val="0"/>
              <w:pageBreakBefore w:val="0"/>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color w:val="000000"/>
                <w:sz w:val="24"/>
              </w:rPr>
            </w:pPr>
            <w:r>
              <w:rPr>
                <w:rFonts w:hint="eastAsia" w:ascii="仿宋" w:hAnsi="仿宋" w:eastAsia="仿宋" w:cs="仿宋"/>
                <w:b w:val="0"/>
                <w:bCs w:val="0"/>
                <w:color w:val="000000"/>
                <w:sz w:val="24"/>
                <w:szCs w:val="24"/>
              </w:rPr>
              <w:t>指标</w:t>
            </w:r>
            <w:r>
              <w:rPr>
                <w:rFonts w:hint="eastAsia" w:ascii="仿宋" w:hAnsi="仿宋" w:eastAsia="仿宋" w:cs="仿宋"/>
                <w:b w:val="0"/>
                <w:bCs w:val="0"/>
                <w:color w:val="000000"/>
                <w:sz w:val="24"/>
                <w:szCs w:val="24"/>
                <w:lang w:val="en-US" w:eastAsia="zh-CN"/>
              </w:rPr>
              <w:t>5</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湿地修复率95%</w:t>
            </w:r>
          </w:p>
        </w:tc>
        <w:tc>
          <w:tcPr>
            <w:tcW w:w="2684" w:type="dxa"/>
            <w:gridSpan w:val="6"/>
            <w:noWrap w:val="0"/>
            <w:vAlign w:val="center"/>
          </w:tcPr>
          <w:p>
            <w:pPr>
              <w:keepNext w:val="0"/>
              <w:keepLines w:val="0"/>
              <w:pageBreakBefore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color w:val="000000"/>
                <w:sz w:val="24"/>
              </w:rPr>
            </w:pPr>
            <w:r>
              <w:rPr>
                <w:rFonts w:hint="eastAsia" w:ascii="仿宋" w:hAnsi="仿宋" w:eastAsia="仿宋" w:cs="仿宋"/>
                <w:b w:val="0"/>
                <w:bCs w:val="0"/>
                <w:color w:val="000000"/>
                <w:sz w:val="24"/>
                <w:szCs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指标1、造林</w:t>
            </w:r>
            <w:r>
              <w:rPr>
                <w:rFonts w:hint="eastAsia" w:ascii="仿宋_GB2312" w:hAnsi="仿宋_GB2312" w:eastAsia="仿宋_GB2312" w:cs="仿宋_GB2312"/>
                <w:color w:val="000000"/>
                <w:sz w:val="24"/>
                <w:lang w:val="en-US" w:eastAsia="zh-CN"/>
              </w:rPr>
              <w:t>1.5万</w:t>
            </w:r>
            <w:r>
              <w:rPr>
                <w:rFonts w:hint="eastAsia" w:ascii="仿宋_GB2312" w:hAnsi="仿宋_GB2312" w:eastAsia="仿宋_GB2312" w:cs="仿宋_GB2312"/>
                <w:color w:val="000000"/>
                <w:sz w:val="24"/>
              </w:rPr>
              <w:t>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欧美杨清理2110亩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keepNext w:val="0"/>
              <w:keepLines w:val="0"/>
              <w:pageBreakBefore w:val="0"/>
              <w:kinsoku/>
              <w:wordWrap/>
              <w:overflowPunct/>
              <w:topLinePunct w:val="0"/>
              <w:autoSpaceDE/>
              <w:autoSpaceDN/>
              <w:bidi w:val="0"/>
              <w:adjustRightInd/>
              <w:snapToGrid/>
              <w:spacing w:line="240" w:lineRule="atLeas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rPr>
              <w:t>指标</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实施</w:t>
            </w:r>
            <w:r>
              <w:rPr>
                <w:rFonts w:hint="eastAsia" w:ascii="仿宋" w:hAnsi="仿宋" w:eastAsia="仿宋" w:cs="仿宋"/>
                <w:color w:val="000000"/>
                <w:sz w:val="24"/>
                <w:szCs w:val="24"/>
              </w:rPr>
              <w:t>5700.7公顷</w:t>
            </w:r>
            <w:r>
              <w:rPr>
                <w:rFonts w:hint="eastAsia" w:ascii="仿宋" w:hAnsi="仿宋" w:eastAsia="仿宋" w:cs="仿宋"/>
                <w:color w:val="000000"/>
                <w:sz w:val="24"/>
                <w:szCs w:val="24"/>
                <w:lang w:val="en-US" w:eastAsia="zh-CN"/>
              </w:rPr>
              <w:t>湿地的管理与维护</w:t>
            </w:r>
            <w:r>
              <w:rPr>
                <w:rFonts w:hint="eastAsia" w:ascii="仿宋" w:hAnsi="仿宋" w:eastAsia="仿宋" w:cs="仿宋"/>
                <w:color w:val="000000"/>
                <w:sz w:val="24"/>
                <w:szCs w:val="24"/>
              </w:rPr>
              <w:t>，其中湿地面积4976.1公顷，保护保育区面积87.3公顷，恢复区260.4公顷</w:t>
            </w:r>
          </w:p>
        </w:tc>
        <w:tc>
          <w:tcPr>
            <w:tcW w:w="2684" w:type="dxa"/>
            <w:gridSpan w:val="6"/>
            <w:noWrap w:val="0"/>
            <w:vAlign w:val="center"/>
          </w:tcPr>
          <w:p>
            <w:pPr>
              <w:keepNext w:val="0"/>
              <w:keepLines w:val="0"/>
              <w:pageBreakBefore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color w:val="000000"/>
                <w:sz w:val="24"/>
              </w:rPr>
            </w:pPr>
            <w:r>
              <w:rPr>
                <w:rFonts w:hint="eastAsia" w:ascii="仿宋" w:hAnsi="仿宋" w:eastAsia="仿宋" w:cs="仿宋"/>
                <w:b w:val="0"/>
                <w:bCs w:val="0"/>
                <w:color w:val="000000"/>
                <w:sz w:val="24"/>
                <w:szCs w:val="24"/>
                <w:lang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2019年1月-12月</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按时完成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运营成本得到有效控制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三公</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经费控制在基本支出的1%以下</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0.89%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提高森林覆盖率、国土绿化率。推进林业产业发展，帮助林农解决就业问题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社会效益</w:t>
            </w:r>
            <w:r>
              <w:rPr>
                <w:rFonts w:hint="eastAsia" w:ascii="仿宋_GB2312" w:hAnsi="仿宋_GB2312" w:eastAsia="仿宋_GB2312" w:cs="仿宋_GB2312"/>
                <w:b w:val="0"/>
                <w:bCs/>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提高林地生产力和林分质量。促进林业增效，促进林农增收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rPr>
              <w:t>经济效益</w:t>
            </w:r>
            <w:r>
              <w:rPr>
                <w:rFonts w:hint="eastAsia" w:ascii="仿宋_GB2312" w:hAnsi="仿宋_GB2312" w:eastAsia="仿宋_GB2312" w:cs="仿宋_GB2312"/>
                <w:b w:val="0"/>
                <w:bCs/>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noWrap w:val="0"/>
            <w:vAlign w:val="center"/>
          </w:tcPr>
          <w:p>
            <w:pPr>
              <w:spacing w:line="320" w:lineRule="exact"/>
              <w:rPr>
                <w:rFonts w:hint="eastAsia" w:ascii="仿宋_GB2312" w:hAnsi="仿宋_GB2312" w:eastAsia="仿宋_GB2312" w:cs="仿宋_GB2312"/>
                <w:sz w:val="24"/>
              </w:rPr>
            </w:pPr>
          </w:p>
        </w:tc>
        <w:tc>
          <w:tcPr>
            <w:tcW w:w="1549" w:type="dxa"/>
            <w:gridSpan w:val="4"/>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保护森林资源，促进林业可持续发展，改善生态环境，维护生态平衡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rPr>
              <w:t>生态效益</w:t>
            </w:r>
            <w:r>
              <w:rPr>
                <w:rFonts w:hint="eastAsia" w:ascii="仿宋_GB2312" w:hAnsi="仿宋_GB2312" w:eastAsia="仿宋_GB2312" w:cs="仿宋_GB2312"/>
                <w:b w:val="0"/>
                <w:bCs/>
                <w:color w:val="000000"/>
                <w:sz w:val="24"/>
                <w:lang w:val="en-US" w:eastAsia="zh-CN"/>
              </w:rPr>
              <w:t>显著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noWrap w:val="0"/>
            <w:vAlign w:val="center"/>
          </w:tcPr>
          <w:p>
            <w:pPr>
              <w:spacing w:line="320" w:lineRule="exact"/>
              <w:rPr>
                <w:rFonts w:hint="eastAsia" w:ascii="仿宋_GB2312" w:hAnsi="仿宋_GB2312" w:eastAsia="仿宋_GB2312" w:cs="仿宋_GB2312"/>
                <w:sz w:val="24"/>
              </w:rPr>
            </w:pPr>
          </w:p>
        </w:tc>
        <w:tc>
          <w:tcPr>
            <w:tcW w:w="1549" w:type="dxa"/>
            <w:gridSpan w:val="4"/>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社会公众或服务对象满意度95%以上。</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val="0"/>
                <w:bCs/>
                <w:color w:val="000000"/>
                <w:sz w:val="24"/>
                <w:lang w:val="en-US" w:eastAsia="zh-CN"/>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6" w:name="OLE_LINK1" w:colFirst="1" w:colLast="3"/>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eastAsia="宋体"/>
                <w:lang w:val="en-US" w:eastAsia="zh-CN"/>
              </w:rPr>
            </w:pPr>
            <w:r>
              <w:rPr>
                <w:rFonts w:hint="eastAsia"/>
                <w:lang w:val="en-US" w:eastAsia="zh-CN"/>
              </w:rPr>
              <w:t>98分</w:t>
            </w:r>
          </w:p>
        </w:tc>
      </w:tr>
      <w:bookmarkEnd w:id="6"/>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熊建华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总工程师</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林业局机关</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方丽红</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计财股股长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林业局机关</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王芬</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林业局机关</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10"/>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机构设置：</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本级内设机构：办公室、人事教育股、规划计财股、造林绿化股、森林资源管理股、野生动植物保护股、党风廉政室、自然保护地管理股、政策法规和改革发展股、行政审批服务股、机关党支部、防火办等12个股室（在编人员50人，实有人员58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部门主要职责：</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1、贯彻执行国家大政方针、政策和法律法规，研究拟订全县森林生态环境建设、森林资源保护和国土绿化的具体办法和措施，并组织实施。</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2、拟订全县林业发展战略与中长期规划，并组织实施；管理全县林业资金，监督全县林业资金的使用。</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3、组织开展植树造林和封山育林工作；组织指导以植树、种草等措施防治水土流失和防浪、治沙工作；指导国有林场、集体林场及基层林业工作站的业务。</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组织、指导森林资源（含经济林、薪炭林、用材林、防护林及其它特种用途林）的管理，组织全县森林资源调查，监督森林资源的使用，组织实施森林采伐限额；监督林木、竹林的凭证采伐与运输；组织、指导林地、林权管理、林业产权交易，并对依法应由县政府批准的林地征用、占用进行审核；监督林地开发利用工作；负责协调山林纠纷。</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5、组织、指导陆生野生动植物资源的保护和合理开发利用。</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6、组织协调、指导、监督全县森林防火工作；负责指导全县森林公安工作；组织指导全县森林病虫害的防治、检疫工作。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7、研究提出林业产业发展的有关措施建议；监督国家林业资产，指导林业产业发展；申报重点林业建设项目。</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8、指导各类商品林（含用材林、经济林、薪炭林、落叶林、竹林、特种用途林）和风景林及林木花卉的发展与培育。</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9、组织、指导林业科技宣传工作，指导全县林业队伍的建设。</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10、承办县委、县政府和上级主管部门交办的其他事项。</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1、收入情况：全年收入</w:t>
            </w:r>
            <w:r>
              <w:rPr>
                <w:rFonts w:hint="eastAsia" w:ascii="仿宋_GB2312" w:hAnsi="仿宋_GB2312" w:eastAsia="仿宋_GB2312" w:cs="仿宋_GB2312"/>
                <w:bCs/>
                <w:sz w:val="28"/>
                <w:szCs w:val="28"/>
                <w:lang w:val="en-US" w:eastAsia="zh-CN"/>
              </w:rPr>
              <w:t>2798.77</w:t>
            </w:r>
            <w:r>
              <w:rPr>
                <w:rFonts w:hint="eastAsia" w:ascii="仿宋_GB2312" w:hAnsi="仿宋_GB2312" w:eastAsia="仿宋_GB2312" w:cs="仿宋_GB2312"/>
                <w:bCs/>
                <w:sz w:val="28"/>
                <w:szCs w:val="28"/>
              </w:rPr>
              <w:t>万元，其中：公共财政拨款</w:t>
            </w:r>
            <w:r>
              <w:rPr>
                <w:rFonts w:hint="eastAsia" w:ascii="仿宋_GB2312" w:hAnsi="仿宋_GB2312" w:eastAsia="仿宋_GB2312" w:cs="仿宋_GB2312"/>
                <w:bCs/>
                <w:sz w:val="28"/>
                <w:szCs w:val="28"/>
                <w:lang w:val="en-US" w:eastAsia="zh-CN"/>
              </w:rPr>
              <w:t xml:space="preserve">  2798.77</w:t>
            </w:r>
            <w:r>
              <w:rPr>
                <w:rFonts w:hint="eastAsia" w:ascii="仿宋_GB2312" w:hAnsi="仿宋_GB2312" w:eastAsia="仿宋_GB2312" w:cs="仿宋_GB2312"/>
                <w:bCs/>
                <w:sz w:val="28"/>
                <w:szCs w:val="28"/>
              </w:rPr>
              <w:t>万元。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2、支出情况:全年支出</w:t>
            </w:r>
            <w:r>
              <w:rPr>
                <w:rFonts w:hint="eastAsia" w:ascii="仿宋_GB2312" w:hAnsi="仿宋_GB2312" w:eastAsia="仿宋_GB2312" w:cs="仿宋_GB2312"/>
                <w:bCs/>
                <w:sz w:val="28"/>
                <w:szCs w:val="28"/>
                <w:lang w:val="en-US" w:eastAsia="zh-CN"/>
              </w:rPr>
              <w:t xml:space="preserve"> 2798.77 </w:t>
            </w:r>
            <w:r>
              <w:rPr>
                <w:rFonts w:hint="eastAsia" w:ascii="仿宋_GB2312" w:hAnsi="仿宋_GB2312" w:eastAsia="仿宋_GB2312" w:cs="仿宋_GB2312"/>
                <w:bCs/>
                <w:sz w:val="28"/>
                <w:szCs w:val="28"/>
              </w:rPr>
              <w:t>万元，其中：基本支出</w:t>
            </w:r>
            <w:r>
              <w:rPr>
                <w:rFonts w:hint="eastAsia" w:ascii="仿宋_GB2312" w:hAnsi="仿宋_GB2312" w:eastAsia="仿宋_GB2312" w:cs="仿宋_GB2312"/>
                <w:bCs/>
                <w:sz w:val="28"/>
                <w:szCs w:val="28"/>
                <w:lang w:val="en-US" w:eastAsia="zh-CN"/>
              </w:rPr>
              <w:t xml:space="preserve"> 776.94  </w:t>
            </w:r>
            <w:r>
              <w:rPr>
                <w:rFonts w:hint="eastAsia" w:ascii="仿宋_GB2312" w:hAnsi="仿宋_GB2312" w:eastAsia="仿宋_GB2312" w:cs="仿宋_GB2312"/>
                <w:bCs/>
                <w:sz w:val="28"/>
                <w:szCs w:val="28"/>
              </w:rPr>
              <w:t>万元（人员支出</w:t>
            </w:r>
            <w:r>
              <w:rPr>
                <w:rFonts w:hint="eastAsia" w:ascii="仿宋_GB2312" w:hAnsi="仿宋_GB2312" w:eastAsia="仿宋_GB2312" w:cs="仿宋_GB2312"/>
                <w:bCs/>
                <w:sz w:val="28"/>
                <w:szCs w:val="28"/>
                <w:lang w:val="en-US" w:eastAsia="zh-CN"/>
              </w:rPr>
              <w:t>616.96</w:t>
            </w:r>
            <w:r>
              <w:rPr>
                <w:rFonts w:hint="eastAsia" w:ascii="仿宋_GB2312" w:hAnsi="仿宋_GB2312" w:eastAsia="仿宋_GB2312" w:cs="仿宋_GB2312"/>
                <w:bCs/>
                <w:sz w:val="28"/>
                <w:szCs w:val="28"/>
              </w:rPr>
              <w:t>万元，公用支出</w:t>
            </w:r>
            <w:r>
              <w:rPr>
                <w:rFonts w:hint="eastAsia" w:ascii="仿宋_GB2312" w:hAnsi="仿宋_GB2312" w:eastAsia="仿宋_GB2312" w:cs="仿宋_GB2312"/>
                <w:bCs/>
                <w:sz w:val="28"/>
                <w:szCs w:val="28"/>
                <w:lang w:val="en-US" w:eastAsia="zh-CN"/>
              </w:rPr>
              <w:t>159.97</w:t>
            </w:r>
            <w:r>
              <w:rPr>
                <w:rFonts w:hint="eastAsia" w:ascii="仿宋_GB2312" w:hAnsi="仿宋_GB2312" w:eastAsia="仿宋_GB2312" w:cs="仿宋_GB2312"/>
                <w:bCs/>
                <w:sz w:val="28"/>
                <w:szCs w:val="28"/>
              </w:rPr>
              <w:t>万元），项目支出</w:t>
            </w:r>
            <w:r>
              <w:rPr>
                <w:rFonts w:hint="eastAsia" w:ascii="仿宋_GB2312" w:hAnsi="仿宋_GB2312" w:eastAsia="仿宋_GB2312" w:cs="仿宋_GB2312"/>
                <w:bCs/>
                <w:sz w:val="28"/>
                <w:szCs w:val="28"/>
                <w:lang w:val="en-US" w:eastAsia="zh-CN"/>
              </w:rPr>
              <w:t xml:space="preserve"> 2021.83 </w:t>
            </w:r>
            <w:r>
              <w:rPr>
                <w:rFonts w:hint="eastAsia" w:ascii="仿宋_GB2312" w:hAnsi="仿宋_GB2312" w:eastAsia="仿宋_GB2312" w:cs="仿宋_GB2312"/>
                <w:bCs/>
                <w:sz w:val="28"/>
                <w:szCs w:val="28"/>
              </w:rPr>
              <w:t>万元。本年结余</w:t>
            </w:r>
            <w:r>
              <w:rPr>
                <w:rFonts w:hint="eastAsia" w:ascii="仿宋_GB2312" w:hAnsi="仿宋_GB2312" w:eastAsia="仿宋_GB2312" w:cs="仿宋_GB2312"/>
                <w:bCs/>
                <w:sz w:val="28"/>
                <w:szCs w:val="28"/>
                <w:lang w:val="en-US" w:eastAsia="zh-CN"/>
              </w:rPr>
              <w:t>无</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（二）部门整体支出管理及使用情况</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2019年林业部门基本支出为776.94万元，主要包括人员工资、医疗保险、住房公积金和日常公用定额标准等费用。</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年林业部门认真贯彻落实厉行节约、严控“三公”经费、降低一般运行经费、加强项目支出管理等方面取得了一定的成绩。先后出台了本单位财务管理、公务接待、车辆使用和会议培训等制度，实行“三公”经费预算和公示制度，有效地控制了“三公”经费支出。三公经费实际使用 5.92  万元，其中公务接待费5.92万元，公务用车运维费 0万元，没有因公出国费用。实际支出没有超出预算规模、范围和标准，没有挤占、摊派、乱收费和转移“三公”经费支出的行为，所有“三公”经费支出合法、合规。</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严格控制公务接待。林业部门公务接待工作按照务实节俭、杜绝浪费的原则进行管理和规范。公务接待明确标准和限额。要求出具接待函、用餐申报单、发票和菜单明细方可报销。每季度公开接待费用支出情况，实行动态管理。2019年接待费 5.92万元。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2、2019年公务用车运行费用：无。</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3、没有出国经费。</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2019</w:t>
            </w:r>
            <w:r>
              <w:rPr>
                <w:rFonts w:hint="eastAsia" w:ascii="仿宋_GB2312" w:hAnsi="仿宋_GB2312" w:eastAsia="仿宋_GB2312" w:cs="仿宋_GB2312"/>
                <w:bCs/>
                <w:sz w:val="28"/>
                <w:szCs w:val="28"/>
              </w:rPr>
              <w:t>年林业专项</w:t>
            </w:r>
            <w:r>
              <w:rPr>
                <w:rFonts w:hint="eastAsia" w:ascii="仿宋_GB2312" w:hAnsi="仿宋_GB2312" w:eastAsia="仿宋_GB2312" w:cs="仿宋_GB2312"/>
                <w:bCs/>
                <w:sz w:val="28"/>
                <w:szCs w:val="28"/>
                <w:lang w:val="en-US" w:eastAsia="zh-CN"/>
              </w:rPr>
              <w:t>资金</w:t>
            </w:r>
            <w:r>
              <w:rPr>
                <w:rFonts w:hint="eastAsia" w:ascii="仿宋_GB2312" w:hAnsi="仿宋_GB2312" w:eastAsia="仿宋_GB2312" w:cs="仿宋_GB2312"/>
                <w:bCs/>
                <w:sz w:val="28"/>
                <w:szCs w:val="28"/>
              </w:rPr>
              <w:t>实际投入</w:t>
            </w:r>
            <w:r>
              <w:rPr>
                <w:rFonts w:hint="eastAsia" w:ascii="仿宋_GB2312" w:hAnsi="仿宋_GB2312" w:eastAsia="仿宋_GB2312" w:cs="仿宋_GB2312"/>
                <w:bCs/>
                <w:sz w:val="28"/>
                <w:szCs w:val="28"/>
                <w:lang w:val="en-US" w:eastAsia="zh-CN"/>
              </w:rPr>
              <w:t>2021.83  万元，总</w:t>
            </w:r>
            <w:r>
              <w:rPr>
                <w:rFonts w:hint="eastAsia" w:ascii="仿宋_GB2312" w:hAnsi="仿宋_GB2312" w:eastAsia="仿宋_GB2312" w:cs="仿宋_GB2312"/>
                <w:bCs/>
                <w:sz w:val="28"/>
                <w:szCs w:val="28"/>
              </w:rPr>
              <w:t>投入包括</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退耕还林项目、森林抚育</w:t>
            </w:r>
            <w:bookmarkStart w:id="7" w:name="OLE_LINK26"/>
            <w:r>
              <w:rPr>
                <w:rFonts w:hint="eastAsia" w:ascii="仿宋_GB2312" w:hAnsi="仿宋_GB2312" w:eastAsia="仿宋_GB2312" w:cs="仿宋_GB2312"/>
                <w:bCs/>
                <w:sz w:val="28"/>
                <w:szCs w:val="28"/>
                <w:lang w:val="en-US" w:eastAsia="zh-CN"/>
              </w:rPr>
              <w:t>项目</w:t>
            </w:r>
            <w:bookmarkEnd w:id="7"/>
            <w:r>
              <w:rPr>
                <w:rFonts w:hint="eastAsia" w:ascii="仿宋_GB2312" w:hAnsi="仿宋_GB2312" w:eastAsia="仿宋_GB2312" w:cs="仿宋_GB2312"/>
                <w:bCs/>
                <w:sz w:val="28"/>
                <w:szCs w:val="28"/>
                <w:lang w:val="en-US" w:eastAsia="zh-CN"/>
              </w:rPr>
              <w:t>、长江岸线复绿工程配套、长防林项目、三年绿化项目、森林精准质量提升项目、其他项目等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2、专项资金（主要是指财政资金）实际使用情况分析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资金（主要是指财政资金）全部用于项目建设，使用率100%。惠农项目（生态公益林、森林抚育、退耕还林、长防林）资金均通过财政“一卡通”方式将补助资金发放到项目单位和农户；其他专项资金由县财政局直接将资金拨付给相关项目实施单位。</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严格按照项目资金管理规定管理资金，专款专用，资金使用与管理及时率100%、到位率100%、使用合格率100%。严格执行财经纪律，建立资金管理和控制体系，主动接受财政、审计部门审计、监督，杜绝了挪用、串用、截留、挤占等现象，保证了项目顺利实施。</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201</w:t>
            </w:r>
            <w:r>
              <w:rPr>
                <w:rFonts w:hint="eastAsia" w:ascii="仿宋_GB2312" w:hAnsi="仿宋_GB2312" w:eastAsia="仿宋_GB2312" w:cs="仿宋_GB2312"/>
                <w:bCs/>
                <w:sz w:val="28"/>
                <w:szCs w:val="28"/>
                <w:lang w:val="en-US" w:eastAsia="zh-CN"/>
              </w:rPr>
              <w:t>9</w:t>
            </w:r>
            <w:r>
              <w:rPr>
                <w:rFonts w:hint="eastAsia" w:ascii="仿宋_GB2312" w:hAnsi="仿宋_GB2312" w:eastAsia="仿宋_GB2312" w:cs="仿宋_GB2312"/>
                <w:bCs/>
                <w:sz w:val="28"/>
                <w:szCs w:val="28"/>
              </w:rPr>
              <w:t>年，本部门有生态公益林</w:t>
            </w:r>
            <w:r>
              <w:rPr>
                <w:rFonts w:hint="eastAsia" w:ascii="仿宋_GB2312" w:hAnsi="仿宋_GB2312" w:eastAsia="仿宋_GB2312" w:cs="仿宋_GB2312"/>
                <w:bCs/>
                <w:sz w:val="28"/>
                <w:szCs w:val="28"/>
                <w:lang w:val="en-US" w:eastAsia="zh-CN"/>
              </w:rPr>
              <w:t>项目</w:t>
            </w:r>
            <w:r>
              <w:rPr>
                <w:rFonts w:hint="eastAsia" w:ascii="仿宋_GB2312" w:hAnsi="仿宋_GB2312" w:eastAsia="仿宋_GB2312" w:cs="仿宋_GB2312"/>
                <w:bCs/>
                <w:sz w:val="28"/>
                <w:szCs w:val="28"/>
              </w:rPr>
              <w:t>、退耕还林</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森林抚育、长防林</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三年绿化项目</w:t>
            </w:r>
            <w:r>
              <w:rPr>
                <w:rFonts w:hint="eastAsia" w:ascii="仿宋_GB2312" w:hAnsi="仿宋_GB2312" w:eastAsia="仿宋_GB2312" w:cs="仿宋_GB2312"/>
                <w:bCs/>
                <w:sz w:val="28"/>
                <w:szCs w:val="28"/>
              </w:rPr>
              <w:t>等十多个专项，为保证各个专项顺利实施，本部门制定了组织实施方案，按资金来源分门别类建立了档案和台账，档案内容齐全，从专项资金下达、项目建设、政府采购、专项资金使用管理都指定专人负责。</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完善林业专项资金管理，从源头入手，落实责任，完善制度，合理使用，加强监管，确保林业项目资金的管理使用效率。一是加强领导，增强责任制意识。落实管理责任，成立项目实施领导小组，建立项目管理体系。二是加强资金管理制度建设。结合本部门的实际,制订出各项规章制度，将各项经济活动划分到具体工作岗位, 按照岗位确定任务、职责和权限，贯彻执行相关财务制度,加强制度执行的监督，使林业专项资金管理有章可循。三是加强资金的支出管理。坚持“专项核算、专人管理、专款专用”的原则，严禁挤占、挪用专项资金。</w:t>
            </w:r>
          </w:p>
          <w:p>
            <w:pPr>
              <w:spacing w:line="560" w:lineRule="exact"/>
              <w:rPr>
                <w:rFonts w:hint="eastAsia" w:ascii="仿宋_GB2312" w:hAnsi="仿宋_GB2312" w:eastAsia="仿宋_GB2312" w:cs="仿宋_GB2312"/>
                <w:bCs/>
                <w:sz w:val="28"/>
                <w:szCs w:val="28"/>
              </w:rPr>
            </w:pPr>
          </w:p>
          <w:p>
            <w:pPr>
              <w:numPr>
                <w:ilvl w:val="0"/>
                <w:numId w:val="3"/>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部门（单位）整体支出绩效情况</w:t>
            </w:r>
          </w:p>
          <w:p>
            <w:pPr>
              <w:numPr>
                <w:ilvl w:val="0"/>
                <w:numId w:val="0"/>
              </w:numPr>
              <w:spacing w:line="560" w:lineRule="exact"/>
              <w:rPr>
                <w:rFonts w:hint="eastAsia" w:ascii="仿宋" w:hAnsi="仿宋" w:eastAsia="仿宋" w:cs="仿宋"/>
                <w:bCs/>
                <w:sz w:val="28"/>
                <w:szCs w:val="28"/>
              </w:rPr>
            </w:pPr>
            <w:r>
              <w:rPr>
                <w:rFonts w:hint="eastAsia" w:ascii="仿宋" w:hAnsi="仿宋" w:eastAsia="仿宋" w:cs="仿宋"/>
                <w:bCs/>
                <w:sz w:val="28"/>
                <w:szCs w:val="28"/>
                <w:lang w:eastAsia="zh-CN"/>
              </w:rPr>
              <w:t>201</w:t>
            </w:r>
            <w:r>
              <w:rPr>
                <w:rFonts w:hint="eastAsia" w:ascii="仿宋" w:hAnsi="仿宋" w:eastAsia="仿宋" w:cs="仿宋"/>
                <w:bCs/>
                <w:sz w:val="28"/>
                <w:szCs w:val="28"/>
                <w:lang w:val="en-US" w:eastAsia="zh-CN"/>
              </w:rPr>
              <w:t>9</w:t>
            </w:r>
            <w:r>
              <w:rPr>
                <w:rFonts w:hint="eastAsia" w:ascii="仿宋" w:hAnsi="仿宋" w:eastAsia="仿宋" w:cs="仿宋"/>
                <w:bCs/>
                <w:sz w:val="28"/>
                <w:szCs w:val="28"/>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hint="eastAsia" w:ascii="仿宋" w:hAnsi="仿宋" w:eastAsia="仿宋" w:cs="仿宋"/>
                <w:bCs/>
                <w:sz w:val="28"/>
                <w:szCs w:val="28"/>
                <w:lang w:eastAsia="zh-CN"/>
              </w:rPr>
              <w:t>201</w:t>
            </w:r>
            <w:r>
              <w:rPr>
                <w:rFonts w:hint="eastAsia" w:ascii="仿宋" w:hAnsi="仿宋" w:eastAsia="仿宋" w:cs="仿宋"/>
                <w:bCs/>
                <w:sz w:val="28"/>
                <w:szCs w:val="28"/>
                <w:lang w:val="en-US" w:eastAsia="zh-CN"/>
              </w:rPr>
              <w:t>9</w:t>
            </w:r>
            <w:r>
              <w:rPr>
                <w:rFonts w:hint="eastAsia" w:ascii="仿宋" w:hAnsi="仿宋" w:eastAsia="仿宋" w:cs="仿宋"/>
                <w:bCs/>
                <w:sz w:val="28"/>
                <w:szCs w:val="28"/>
              </w:rPr>
              <w:t>年度部门整体支出绩效情况如下：</w:t>
            </w:r>
          </w:p>
          <w:p>
            <w:pPr>
              <w:numPr>
                <w:ilvl w:val="0"/>
                <w:numId w:val="0"/>
              </w:numPr>
              <w:spacing w:line="560" w:lineRule="exact"/>
              <w:rPr>
                <w:rFonts w:hint="eastAsia" w:ascii="仿宋" w:hAnsi="仿宋" w:eastAsia="仿宋" w:cs="仿宋"/>
                <w:bCs/>
                <w:sz w:val="28"/>
                <w:szCs w:val="28"/>
              </w:rPr>
            </w:pPr>
            <w:r>
              <w:rPr>
                <w:rFonts w:hint="eastAsia" w:ascii="仿宋" w:hAnsi="仿宋" w:eastAsia="仿宋" w:cs="仿宋"/>
                <w:bCs/>
                <w:sz w:val="28"/>
                <w:szCs w:val="28"/>
              </w:rPr>
              <w:t>1. 资金使用效益高。表现在:一是保障了职工工资,津补贴的及时足额发放,没有出现拖欠职工工资、离退休费用等现象；二是保障了单位的正常运转,各项工作开展顺利,林业各项指标得到了增长,林农收入得到了提高；三是财政供养人员控制较好,；四是资金使用无虚列支出及随意使用现象,无大额现金支付现象。</w:t>
            </w:r>
          </w:p>
          <w:p>
            <w:pPr>
              <w:numPr>
                <w:ilvl w:val="0"/>
                <w:numId w:val="0"/>
              </w:numPr>
              <w:spacing w:line="560" w:lineRule="exact"/>
              <w:rPr>
                <w:rFonts w:hint="eastAsia" w:ascii="仿宋" w:hAnsi="仿宋" w:eastAsia="仿宋" w:cs="仿宋"/>
                <w:bCs/>
                <w:sz w:val="28"/>
                <w:szCs w:val="28"/>
              </w:rPr>
            </w:pPr>
            <w:r>
              <w:rPr>
                <w:rFonts w:hint="eastAsia" w:ascii="仿宋" w:hAnsi="仿宋" w:eastAsia="仿宋" w:cs="仿宋"/>
                <w:bCs/>
                <w:sz w:val="28"/>
                <w:szCs w:val="28"/>
              </w:rPr>
              <w:t>2.预算执行方面，支出总额控制在预算总额以内，其他专项工程建设资金按时拨付资金，较好的完成了当年任务目标，财政拨款支出总体控制较好。</w:t>
            </w:r>
          </w:p>
          <w:p>
            <w:pPr>
              <w:numPr>
                <w:ilvl w:val="0"/>
                <w:numId w:val="0"/>
              </w:numPr>
              <w:spacing w:line="560" w:lineRule="exact"/>
              <w:rPr>
                <w:rFonts w:hint="eastAsia" w:ascii="仿宋" w:hAnsi="仿宋" w:eastAsia="仿宋" w:cs="仿宋"/>
                <w:bCs/>
                <w:sz w:val="28"/>
                <w:szCs w:val="28"/>
              </w:rPr>
            </w:pPr>
            <w:r>
              <w:rPr>
                <w:rFonts w:hint="eastAsia" w:ascii="仿宋" w:hAnsi="仿宋" w:eastAsia="仿宋" w:cs="仿宋"/>
                <w:bCs/>
                <w:sz w:val="28"/>
                <w:szCs w:val="28"/>
              </w:rPr>
              <w:t>3.预算管理方面，林业部门制定了切实有效的内部财务、车辆、资产内部管理制度，执行总体较为有效。</w:t>
            </w:r>
          </w:p>
          <w:p>
            <w:pPr>
              <w:numPr>
                <w:ilvl w:val="0"/>
                <w:numId w:val="0"/>
              </w:numPr>
              <w:spacing w:line="560" w:lineRule="exact"/>
              <w:rPr>
                <w:rFonts w:hint="eastAsia" w:ascii="仿宋" w:hAnsi="仿宋" w:eastAsia="仿宋" w:cs="仿宋"/>
                <w:bCs/>
                <w:sz w:val="28"/>
                <w:szCs w:val="28"/>
              </w:rPr>
            </w:pPr>
            <w:r>
              <w:rPr>
                <w:rFonts w:hint="eastAsia" w:ascii="仿宋" w:hAnsi="仿宋" w:eastAsia="仿宋" w:cs="仿宋"/>
                <w:bCs/>
                <w:sz w:val="28"/>
                <w:szCs w:val="28"/>
              </w:rPr>
              <w:t>按照部门整体支出绩效评价指标体系对照打分得出结果为9</w:t>
            </w:r>
            <w:r>
              <w:rPr>
                <w:rFonts w:hint="eastAsia" w:ascii="仿宋" w:hAnsi="仿宋" w:eastAsia="仿宋" w:cs="仿宋"/>
                <w:bCs/>
                <w:sz w:val="28"/>
                <w:szCs w:val="28"/>
                <w:lang w:val="en-US" w:eastAsia="zh-CN"/>
              </w:rPr>
              <w:t>8</w:t>
            </w:r>
            <w:r>
              <w:rPr>
                <w:rFonts w:hint="eastAsia" w:ascii="仿宋" w:hAnsi="仿宋" w:eastAsia="仿宋" w:cs="仿宋"/>
                <w:bCs/>
                <w:sz w:val="28"/>
                <w:szCs w:val="28"/>
              </w:rPr>
              <w:t>分，等级为优秀。</w:t>
            </w:r>
          </w:p>
          <w:p>
            <w:pPr>
              <w:numPr>
                <w:ilvl w:val="0"/>
                <w:numId w:val="0"/>
              </w:numPr>
              <w:spacing w:line="560" w:lineRule="exact"/>
              <w:rPr>
                <w:rFonts w:hint="eastAsia" w:ascii="仿宋" w:hAnsi="仿宋" w:eastAsia="仿宋" w:cs="仿宋"/>
                <w:bCs/>
                <w:sz w:val="28"/>
                <w:szCs w:val="28"/>
              </w:rPr>
            </w:pPr>
          </w:p>
          <w:p>
            <w:pPr>
              <w:numPr>
                <w:ilvl w:val="0"/>
                <w:numId w:val="0"/>
              </w:numPr>
              <w:spacing w:line="560" w:lineRule="exact"/>
              <w:rPr>
                <w:rFonts w:hint="eastAsia" w:ascii="仿宋" w:hAnsi="仿宋" w:eastAsia="仿宋" w:cs="仿宋"/>
                <w:bCs/>
                <w:sz w:val="28"/>
                <w:szCs w:val="28"/>
              </w:rPr>
            </w:pPr>
          </w:p>
          <w:p>
            <w:pPr>
              <w:numPr>
                <w:ilvl w:val="0"/>
                <w:numId w:val="3"/>
              </w:numPr>
              <w:spacing w:line="560" w:lineRule="exact"/>
              <w:ind w:left="0" w:leftChars="0" w:firstLine="560" w:firstLineChars="200"/>
              <w:rPr>
                <w:rFonts w:hint="eastAsia" w:ascii="仿宋" w:hAnsi="仿宋" w:eastAsia="仿宋" w:cs="仿宋"/>
                <w:bCs/>
                <w:sz w:val="28"/>
                <w:szCs w:val="28"/>
              </w:rPr>
            </w:pPr>
            <w:r>
              <w:rPr>
                <w:rFonts w:hint="eastAsia" w:ascii="仿宋" w:hAnsi="仿宋" w:eastAsia="仿宋" w:cs="仿宋"/>
                <w:bCs/>
                <w:sz w:val="28"/>
                <w:szCs w:val="28"/>
              </w:rPr>
              <w:t>存在的主要问题</w:t>
            </w:r>
          </w:p>
          <w:p>
            <w:pPr>
              <w:numPr>
                <w:ilvl w:val="0"/>
                <w:numId w:val="0"/>
              </w:numPr>
              <w:spacing w:line="560" w:lineRule="exact"/>
              <w:ind w:leftChars="200" w:firstLine="280" w:firstLineChars="100"/>
              <w:rPr>
                <w:rFonts w:hint="eastAsia" w:ascii="仿宋" w:hAnsi="仿宋" w:eastAsia="仿宋" w:cs="仿宋"/>
                <w:bCs/>
                <w:sz w:val="28"/>
                <w:szCs w:val="28"/>
              </w:rPr>
            </w:pPr>
            <w:r>
              <w:rPr>
                <w:rFonts w:hint="eastAsia" w:ascii="仿宋" w:hAnsi="仿宋" w:eastAsia="仿宋" w:cs="仿宋"/>
                <w:bCs/>
                <w:sz w:val="28"/>
                <w:szCs w:val="28"/>
              </w:rPr>
              <w:t>本部门在编制部门年度预算时，虽然根据本单位职能职责和年度工作计划，但在</w:t>
            </w:r>
            <w:r>
              <w:rPr>
                <w:rFonts w:hint="eastAsia" w:ascii="仿宋" w:hAnsi="仿宋" w:eastAsia="仿宋" w:cs="仿宋"/>
                <w:bCs/>
                <w:sz w:val="28"/>
                <w:szCs w:val="28"/>
                <w:lang w:eastAsia="zh-CN"/>
              </w:rPr>
              <w:t>201</w:t>
            </w:r>
            <w:r>
              <w:rPr>
                <w:rFonts w:hint="eastAsia" w:ascii="仿宋" w:hAnsi="仿宋" w:eastAsia="仿宋" w:cs="仿宋"/>
                <w:bCs/>
                <w:sz w:val="28"/>
                <w:szCs w:val="28"/>
                <w:lang w:val="en-US" w:eastAsia="zh-CN"/>
              </w:rPr>
              <w:t>9</w:t>
            </w:r>
            <w:r>
              <w:rPr>
                <w:rFonts w:hint="eastAsia" w:ascii="仿宋" w:hAnsi="仿宋" w:eastAsia="仿宋" w:cs="仿宋"/>
                <w:bCs/>
                <w:sz w:val="28"/>
                <w:szCs w:val="28"/>
              </w:rPr>
              <w:t>年部门预算执行过程中，仍然存在以下问题。</w:t>
            </w:r>
          </w:p>
          <w:p>
            <w:pPr>
              <w:numPr>
                <w:ilvl w:val="0"/>
                <w:numId w:val="0"/>
              </w:numPr>
              <w:spacing w:line="560" w:lineRule="exact"/>
              <w:ind w:leftChars="200"/>
              <w:rPr>
                <w:rFonts w:hint="eastAsia" w:ascii="仿宋" w:hAnsi="仿宋" w:eastAsia="仿宋" w:cs="仿宋"/>
                <w:bCs/>
                <w:sz w:val="28"/>
                <w:szCs w:val="28"/>
              </w:rPr>
            </w:pPr>
            <w:r>
              <w:rPr>
                <w:rFonts w:hint="eastAsia" w:ascii="仿宋" w:hAnsi="仿宋" w:eastAsia="仿宋" w:cs="仿宋"/>
                <w:bCs/>
                <w:sz w:val="28"/>
                <w:szCs w:val="28"/>
              </w:rPr>
              <w:t>1、由于上级交办林业调查监测任务的突发性，一些无法预计和列入年初预算的项目支出，需要在年度中间进行预算追加和调整。</w:t>
            </w:r>
          </w:p>
          <w:p>
            <w:pPr>
              <w:numPr>
                <w:ilvl w:val="0"/>
                <w:numId w:val="0"/>
              </w:numPr>
              <w:spacing w:line="560" w:lineRule="exact"/>
              <w:ind w:leftChars="200"/>
              <w:rPr>
                <w:rFonts w:hint="eastAsia" w:ascii="仿宋" w:hAnsi="仿宋" w:eastAsia="仿宋" w:cs="仿宋"/>
                <w:bCs/>
                <w:sz w:val="28"/>
                <w:szCs w:val="28"/>
              </w:rPr>
            </w:pPr>
            <w:r>
              <w:rPr>
                <w:rFonts w:hint="eastAsia" w:ascii="仿宋" w:hAnsi="仿宋" w:eastAsia="仿宋" w:cs="仿宋"/>
                <w:bCs/>
                <w:sz w:val="28"/>
                <w:szCs w:val="28"/>
              </w:rPr>
              <w:t>2、非税收入执收项目无法事先控制，如部门收费标准和依据临时调整，非税收入预算编制难以准确编制。</w:t>
            </w:r>
          </w:p>
          <w:p>
            <w:pPr>
              <w:numPr>
                <w:ilvl w:val="0"/>
                <w:numId w:val="0"/>
              </w:numPr>
              <w:spacing w:line="560" w:lineRule="exact"/>
              <w:ind w:leftChars="200"/>
              <w:rPr>
                <w:rFonts w:hint="eastAsia" w:ascii="仿宋" w:hAnsi="仿宋" w:eastAsia="仿宋" w:cs="仿宋"/>
                <w:bCs/>
                <w:sz w:val="28"/>
                <w:szCs w:val="28"/>
              </w:rPr>
            </w:pPr>
          </w:p>
          <w:p>
            <w:pPr>
              <w:numPr>
                <w:ilvl w:val="0"/>
                <w:numId w:val="0"/>
              </w:numPr>
              <w:spacing w:line="560" w:lineRule="exact"/>
              <w:ind w:leftChars="200"/>
              <w:rPr>
                <w:rFonts w:hint="eastAsia" w:ascii="仿宋" w:hAnsi="仿宋" w:eastAsia="仿宋" w:cs="仿宋"/>
                <w:bCs/>
                <w:sz w:val="28"/>
                <w:szCs w:val="28"/>
              </w:rPr>
            </w:pP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六、改进措施和有关建议</w:t>
            </w:r>
          </w:p>
          <w:p>
            <w:pPr>
              <w:ind w:firstLine="840" w:firstLineChars="300"/>
              <w:rPr>
                <w:rFonts w:hint="eastAsia" w:ascii="仿宋" w:hAnsi="仿宋" w:eastAsia="仿宋" w:cs="仿宋"/>
                <w:bCs/>
                <w:sz w:val="28"/>
                <w:szCs w:val="28"/>
              </w:rPr>
            </w:pPr>
            <w:r>
              <w:rPr>
                <w:rFonts w:hint="eastAsia" w:ascii="仿宋" w:hAnsi="仿宋" w:eastAsia="仿宋" w:cs="仿宋"/>
                <w:bCs/>
                <w:sz w:val="28"/>
                <w:szCs w:val="28"/>
                <w:lang w:val="en-US" w:eastAsia="zh-CN"/>
              </w:rPr>
              <w:t>一、</w:t>
            </w:r>
            <w:r>
              <w:rPr>
                <w:rFonts w:hint="eastAsia" w:ascii="仿宋" w:hAnsi="仿宋" w:eastAsia="仿宋" w:cs="仿宋"/>
                <w:bCs/>
                <w:sz w:val="28"/>
                <w:szCs w:val="28"/>
              </w:rPr>
              <w:t>是按照预算规定的项目和用途严格财务审核，经费支出严格按预算规定项目的财务支出内容进行财务核算，在预算金额内严格控制费用的支出。</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二是严格控制“三公经费”支出，杜绝挪用和挤占其他预算资金；进一步细化“三公经费”管理，压缩“三公经费”支出。</w:t>
            </w:r>
          </w:p>
          <w:p>
            <w:pPr>
              <w:ind w:firstLine="840" w:firstLineChars="300"/>
              <w:rPr>
                <w:rFonts w:hint="eastAsia" w:ascii="仿宋" w:hAnsi="仿宋" w:eastAsia="仿宋" w:cs="仿宋"/>
                <w:bCs/>
                <w:sz w:val="28"/>
                <w:szCs w:val="28"/>
                <w:lang w:val="en-US" w:eastAsia="zh-CN"/>
              </w:rPr>
            </w:pPr>
            <w:r>
              <w:rPr>
                <w:rFonts w:hint="eastAsia" w:ascii="仿宋" w:hAnsi="仿宋" w:eastAsia="仿宋" w:cs="仿宋"/>
                <w:bCs/>
                <w:sz w:val="28"/>
                <w:szCs w:val="28"/>
              </w:rPr>
              <w:t>三是加强项目资金的使用管理，充分发挥财政专项资金的使用效益。同时，强化项目资金的监督，主动接受相关职能部门的检查和审计监督，并加强项目建设指导和检查验收。</w:t>
            </w:r>
            <w:r>
              <w:rPr>
                <w:rFonts w:hint="eastAsia" w:ascii="仿宋" w:hAnsi="仿宋" w:eastAsia="仿宋" w:cs="仿宋"/>
                <w:bCs/>
                <w:sz w:val="28"/>
                <w:szCs w:val="28"/>
                <w:lang w:val="en-US" w:eastAsia="zh-CN"/>
              </w:rPr>
              <w:t xml:space="preserve">       </w:t>
            </w:r>
          </w:p>
          <w:p>
            <w:pPr>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 xml:space="preserve">                                   </w:t>
            </w:r>
          </w:p>
          <w:p>
            <w:pPr>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 xml:space="preserve">                                     2020.10.19</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r>
        <w:rPr>
          <w:rFonts w:hint="eastAsia" w:eastAsia="仿宋_GB2312"/>
          <w:sz w:val="32"/>
          <w:szCs w:val="32"/>
        </w:rPr>
        <w:sym w:font="Wingdings 2" w:char="0052"/>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bookmarkStart w:id="8" w:name="OLE_LINK27"/>
      <w:r>
        <w:rPr>
          <w:rFonts w:hint="eastAsia" w:eastAsia="仿宋_GB2312"/>
          <w:sz w:val="32"/>
          <w:u w:val="single"/>
        </w:rPr>
        <w:t xml:space="preserve"> </w:t>
      </w:r>
      <w:r>
        <w:rPr>
          <w:rFonts w:hint="eastAsia" w:eastAsia="仿宋_GB2312"/>
          <w:sz w:val="32"/>
          <w:u w:val="single"/>
          <w:lang w:val="en-US" w:eastAsia="zh-CN"/>
        </w:rPr>
        <w:t>长江岸线复绿工程配套</w:t>
      </w:r>
      <w:bookmarkEnd w:id="8"/>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华容县东山镇</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华容县林业局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w:t>
      </w:r>
      <w:r>
        <w:rPr>
          <w:rFonts w:hint="eastAsia" w:eastAsia="仿宋_GB2312"/>
          <w:sz w:val="32"/>
          <w:lang w:val="en-US" w:eastAsia="zh-CN"/>
        </w:rPr>
        <w:t>19</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10"/>
        <w:tblW w:w="95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r>
              <w:rPr>
                <w:rFonts w:hint="eastAsia" w:eastAsia="仿宋_GB2312"/>
                <w:sz w:val="24"/>
                <w:lang w:val="en-US" w:eastAsia="zh-CN"/>
              </w:rPr>
              <w:t>张国湘</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r>
              <w:rPr>
                <w:rFonts w:hint="eastAsia" w:eastAsia="仿宋_GB2312"/>
                <w:sz w:val="24"/>
                <w:lang w:val="en-US" w:eastAsia="zh-CN"/>
              </w:rPr>
              <w:t>18274075258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r>
              <w:rPr>
                <w:rFonts w:hint="eastAsia" w:eastAsia="仿宋_GB2312"/>
                <w:sz w:val="24"/>
                <w:lang w:val="en-US" w:eastAsia="zh-CN"/>
              </w:rPr>
              <w:t>华容县东山镇</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2019</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2019</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500</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500</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500</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500</w:t>
            </w: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500</w:t>
            </w: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500</w:t>
            </w: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付长江岸线复绿工程项目设计费及工程款</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108.95</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1月11#、48#</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付长江岸线复绿工程款</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246.83</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1月56#</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付长江岸线复绿工程款</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90</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4月29#、5月23#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付长江岸线复绿工程款</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54.22</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6月5#、7月18#</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500</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r>
              <w:rPr>
                <w:rFonts w:hint="eastAsia" w:ascii="仿宋" w:hAnsi="仿宋" w:eastAsia="仿宋" w:cs="仿宋"/>
                <w:b w:val="0"/>
                <w:bCs/>
                <w:sz w:val="24"/>
                <w:lang w:val="en-US" w:eastAsia="zh-CN"/>
              </w:rPr>
              <w:t>造林面积2036亩（防浪林171亩、护堤林1250亩、采石场复绿615亩）</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eastAsia="仿宋_GB2312"/>
                <w:b w:val="0"/>
                <w:bCs/>
                <w:sz w:val="24"/>
                <w:lang w:val="en-US" w:eastAsia="zh-CN"/>
              </w:rPr>
              <w:t>实际造林面积2317.4亩（防浪林248.7亩、护堤林面积1451.3亩、采石场复绿面积617.4）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防浪林</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171亩</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248.7亩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护堤林</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1250亩</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14513亩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采石场复绿</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615亩</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617.4亩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合格率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设计率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管护率</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完成时间</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2019年12月20日</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2019年12月20日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总投资</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500万</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500万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促进生态效益发展</w:t>
            </w: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植被恢复带来的生态效益发展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提供劳力</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1.85万个</w:t>
            </w:r>
          </w:p>
        </w:tc>
        <w:tc>
          <w:tcPr>
            <w:tcW w:w="3036"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实际提供劳力1.8万个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增加森林资源</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154.5公顷</w:t>
            </w:r>
          </w:p>
        </w:tc>
        <w:tc>
          <w:tcPr>
            <w:tcW w:w="3036"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增加森林资源154.5公顷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调蓄洪峰</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增强长江蓄水能力</w:t>
            </w:r>
          </w:p>
        </w:tc>
        <w:tc>
          <w:tcPr>
            <w:tcW w:w="3036"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增强长江蓄水能力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满意度</w:t>
            </w:r>
          </w:p>
        </w:tc>
        <w:tc>
          <w:tcPr>
            <w:tcW w:w="108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val="en-US" w:eastAsia="zh-CN"/>
              </w:rPr>
            </w:pPr>
            <w:r>
              <w:rPr>
                <w:rFonts w:hint="eastAsia" w:eastAsia="仿宋_GB2312"/>
                <w:sz w:val="24"/>
                <w:lang w:val="en-US"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r>
              <w:rPr>
                <w:rFonts w:hint="eastAsia" w:eastAsia="仿宋_GB2312"/>
                <w:sz w:val="24"/>
                <w:lang w:val="en-US" w:eastAsia="zh-CN"/>
              </w:rPr>
              <w:t>晏佳贵</w:t>
            </w:r>
          </w:p>
        </w:tc>
        <w:tc>
          <w:tcPr>
            <w:tcW w:w="2332" w:type="dxa"/>
            <w:gridSpan w:val="4"/>
            <w:noWrap w:val="0"/>
            <w:vAlign w:val="center"/>
          </w:tcPr>
          <w:p>
            <w:pPr>
              <w:rPr>
                <w:rFonts w:hint="eastAsia" w:eastAsia="仿宋_GB2312"/>
                <w:sz w:val="24"/>
              </w:rPr>
            </w:pPr>
            <w:r>
              <w:rPr>
                <w:rFonts w:hint="eastAsia" w:eastAsia="仿宋_GB2312"/>
                <w:sz w:val="24"/>
                <w:lang w:val="en-US" w:eastAsia="zh-CN"/>
              </w:rPr>
              <w:t>局长</w:t>
            </w:r>
          </w:p>
        </w:tc>
        <w:tc>
          <w:tcPr>
            <w:tcW w:w="1950"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r>
              <w:rPr>
                <w:rFonts w:hint="eastAsia" w:eastAsia="仿宋_GB2312"/>
                <w:sz w:val="24"/>
                <w:lang w:val="en-US" w:eastAsia="zh-CN"/>
              </w:rPr>
              <w:t>杨军良</w:t>
            </w:r>
          </w:p>
        </w:tc>
        <w:tc>
          <w:tcPr>
            <w:tcW w:w="2332" w:type="dxa"/>
            <w:gridSpan w:val="4"/>
            <w:noWrap w:val="0"/>
            <w:vAlign w:val="center"/>
          </w:tcPr>
          <w:p>
            <w:pPr>
              <w:rPr>
                <w:rFonts w:hint="eastAsia" w:eastAsia="仿宋_GB2312"/>
                <w:sz w:val="24"/>
              </w:rPr>
            </w:pPr>
            <w:r>
              <w:rPr>
                <w:rFonts w:hint="eastAsia" w:eastAsia="仿宋_GB2312"/>
                <w:sz w:val="24"/>
                <w:lang w:val="en-US" w:eastAsia="zh-CN"/>
              </w:rPr>
              <w:t>党委委员</w:t>
            </w:r>
          </w:p>
        </w:tc>
        <w:tc>
          <w:tcPr>
            <w:tcW w:w="1950"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r>
              <w:rPr>
                <w:rFonts w:hint="eastAsia" w:eastAsia="仿宋_GB2312"/>
                <w:sz w:val="24"/>
                <w:lang w:val="en-US" w:eastAsia="zh-CN"/>
              </w:rPr>
              <w:t>张国湘</w:t>
            </w:r>
          </w:p>
        </w:tc>
        <w:tc>
          <w:tcPr>
            <w:tcW w:w="2332" w:type="dxa"/>
            <w:gridSpan w:val="4"/>
            <w:noWrap w:val="0"/>
            <w:vAlign w:val="center"/>
          </w:tcPr>
          <w:p>
            <w:pPr>
              <w:rPr>
                <w:rFonts w:hint="eastAsia" w:eastAsia="仿宋_GB2312"/>
                <w:sz w:val="24"/>
              </w:rPr>
            </w:pPr>
            <w:r>
              <w:rPr>
                <w:rFonts w:hint="eastAsia" w:eastAsia="仿宋_GB2312"/>
                <w:sz w:val="24"/>
                <w:lang w:val="en-US" w:eastAsia="zh-CN"/>
              </w:rPr>
              <w:t>股长</w:t>
            </w:r>
          </w:p>
        </w:tc>
        <w:tc>
          <w:tcPr>
            <w:tcW w:w="1950" w:type="dxa"/>
            <w:gridSpan w:val="4"/>
            <w:noWrap w:val="0"/>
            <w:vAlign w:val="center"/>
          </w:tcPr>
          <w:p>
            <w:pPr>
              <w:rPr>
                <w:rFonts w:hint="eastAsia" w:eastAsia="仿宋_GB2312"/>
                <w:sz w:val="24"/>
              </w:rPr>
            </w:pPr>
            <w:r>
              <w:rPr>
                <w:rFonts w:hint="eastAsia" w:eastAsia="仿宋_GB2312"/>
                <w:sz w:val="24"/>
                <w:lang w:val="en-US" w:eastAsia="zh-CN"/>
              </w:rPr>
              <w:t>华容县林业局</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10"/>
        <w:tblW w:w="93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lang w:eastAsia="zh-CN"/>
              </w:rPr>
            </w:pPr>
            <w:r>
              <w:rPr>
                <w:rFonts w:hint="eastAsia" w:eastAsia="仿宋_GB2312"/>
                <w:sz w:val="30"/>
                <w:szCs w:val="30"/>
              </w:rPr>
              <w:t>项目名称：</w:t>
            </w:r>
            <w:r>
              <w:rPr>
                <w:rFonts w:hint="eastAsia" w:eastAsia="仿宋_GB2312"/>
                <w:sz w:val="30"/>
                <w:szCs w:val="30"/>
                <w:lang w:eastAsia="zh-CN"/>
              </w:rPr>
              <w:t>华容县长江岸线复绿工程</w:t>
            </w:r>
          </w:p>
          <w:p>
            <w:pPr>
              <w:spacing w:line="560" w:lineRule="exact"/>
              <w:ind w:firstLine="600" w:firstLineChars="200"/>
              <w:rPr>
                <w:rFonts w:hint="eastAsia" w:eastAsia="仿宋_GB2312"/>
                <w:sz w:val="30"/>
                <w:szCs w:val="30"/>
              </w:rPr>
            </w:pPr>
            <w:r>
              <w:rPr>
                <w:rFonts w:hint="eastAsia" w:eastAsia="仿宋_GB2312"/>
                <w:sz w:val="30"/>
                <w:szCs w:val="30"/>
              </w:rPr>
              <w:t>项目地点：</w:t>
            </w:r>
            <w:r>
              <w:rPr>
                <w:rFonts w:hint="eastAsia" w:eastAsia="仿宋_GB2312"/>
                <w:sz w:val="30"/>
                <w:szCs w:val="30"/>
                <w:lang w:eastAsia="zh-CN"/>
              </w:rPr>
              <w:t>华容</w:t>
            </w:r>
            <w:r>
              <w:rPr>
                <w:rFonts w:hint="eastAsia" w:eastAsia="仿宋_GB2312"/>
                <w:sz w:val="30"/>
                <w:szCs w:val="30"/>
              </w:rPr>
              <w:t>县</w:t>
            </w:r>
            <w:r>
              <w:rPr>
                <w:rFonts w:hint="eastAsia" w:eastAsia="仿宋_GB2312"/>
                <w:sz w:val="30"/>
                <w:szCs w:val="30"/>
                <w:lang w:eastAsia="zh-CN"/>
              </w:rPr>
              <w:t>东山</w:t>
            </w:r>
            <w:r>
              <w:rPr>
                <w:rFonts w:hint="eastAsia" w:eastAsia="仿宋_GB2312"/>
                <w:sz w:val="30"/>
                <w:szCs w:val="30"/>
              </w:rPr>
              <w:t>镇</w:t>
            </w:r>
          </w:p>
          <w:p>
            <w:pPr>
              <w:spacing w:line="560" w:lineRule="exact"/>
              <w:ind w:firstLine="600" w:firstLineChars="200"/>
              <w:rPr>
                <w:rFonts w:hint="eastAsia" w:eastAsia="仿宋_GB2312"/>
                <w:sz w:val="30"/>
                <w:szCs w:val="30"/>
              </w:rPr>
            </w:pPr>
            <w:r>
              <w:rPr>
                <w:rFonts w:hint="eastAsia" w:eastAsia="仿宋_GB2312"/>
                <w:sz w:val="30"/>
                <w:szCs w:val="30"/>
              </w:rPr>
              <w:t>建 设 期：  2019年</w:t>
            </w:r>
            <w:r>
              <w:rPr>
                <w:rFonts w:hint="eastAsia" w:eastAsia="仿宋_GB2312"/>
                <w:sz w:val="30"/>
                <w:szCs w:val="30"/>
                <w:lang w:val="en-US" w:eastAsia="zh-CN"/>
              </w:rPr>
              <w:t>1</w:t>
            </w:r>
            <w:r>
              <w:rPr>
                <w:rFonts w:hint="eastAsia" w:eastAsia="仿宋_GB2312"/>
                <w:sz w:val="30"/>
                <w:szCs w:val="30"/>
              </w:rPr>
              <w:t>月-2019年12月</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二</w:t>
            </w:r>
            <w:r>
              <w:rPr>
                <w:rFonts w:hint="eastAsia" w:eastAsia="仿宋_GB2312"/>
                <w:sz w:val="30"/>
                <w:szCs w:val="30"/>
                <w:lang w:eastAsia="zh-CN"/>
              </w:rPr>
              <w:t>）</w:t>
            </w:r>
            <w:r>
              <w:rPr>
                <w:rFonts w:hint="eastAsia" w:eastAsia="仿宋_GB2312"/>
                <w:sz w:val="30"/>
                <w:szCs w:val="30"/>
              </w:rPr>
              <w:t>项目资金使用及管理情况</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本次项目资金500万元，中央财政投入资金500万元。</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项目资金设立专门账户，专款专用，统一核算，专人管理，项目资金支付情况接受各级财政、林业部门监督检查，严禁截留、挤占、挪用项目资金。</w:t>
            </w:r>
          </w:p>
          <w:p>
            <w:pPr>
              <w:spacing w:line="560" w:lineRule="exact"/>
              <w:ind w:firstLine="600" w:firstLineChars="200"/>
              <w:rPr>
                <w:rFonts w:hint="eastAsia" w:eastAsia="仿宋_GB2312"/>
                <w:sz w:val="30"/>
                <w:szCs w:val="30"/>
                <w:lang w:eastAsia="zh-CN"/>
              </w:rPr>
            </w:pPr>
            <w:r>
              <w:rPr>
                <w:rFonts w:hint="eastAsia" w:eastAsia="仿宋_GB2312"/>
                <w:sz w:val="30"/>
                <w:szCs w:val="30"/>
              </w:rPr>
              <w:t>（三）项目组织实施情况</w:t>
            </w:r>
            <w:r>
              <w:rPr>
                <w:rFonts w:hint="eastAsia" w:eastAsia="仿宋_GB2312"/>
                <w:sz w:val="30"/>
                <w:szCs w:val="30"/>
                <w:lang w:eastAsia="zh-CN"/>
              </w:rPr>
              <w:t>、</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（1）</w:t>
            </w:r>
            <w:r>
              <w:rPr>
                <w:rFonts w:hint="eastAsia" w:eastAsia="仿宋_GB2312"/>
                <w:sz w:val="30"/>
                <w:szCs w:val="30"/>
              </w:rPr>
              <w:t>该工程的实施应符合国内和三峡集团建设项目的建设和审批程序。同时，各有关部门应相互配合，为工程的顺利实施创造条件；</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（2）</w:t>
            </w:r>
            <w:r>
              <w:rPr>
                <w:rFonts w:hint="eastAsia" w:eastAsia="仿宋_GB2312"/>
                <w:sz w:val="30"/>
                <w:szCs w:val="30"/>
              </w:rPr>
              <w:t>建立专门的机构，负责项目实施组织、协调和管理工作；</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（3）</w:t>
            </w:r>
            <w:r>
              <w:rPr>
                <w:rFonts w:hint="eastAsia" w:eastAsia="仿宋_GB2312"/>
                <w:sz w:val="30"/>
                <w:szCs w:val="30"/>
              </w:rPr>
              <w:t>由相关部门委派专人担任项目实施负责人即法人代表或用户代表。项目实施过程汇中的决策、指挥、执行等均由项目实施负责人-法人代表负责；</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（4）</w:t>
            </w:r>
            <w:r>
              <w:rPr>
                <w:rFonts w:hint="eastAsia" w:eastAsia="仿宋_GB2312"/>
                <w:sz w:val="30"/>
                <w:szCs w:val="30"/>
              </w:rPr>
              <w:t>项目的设计、供货、施工安装等履行单位应与项目执行单位履行必要的法律手续，违约责任应按照国家的有关法律法规执行；</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（5）</w:t>
            </w:r>
            <w:r>
              <w:rPr>
                <w:rFonts w:hint="eastAsia" w:eastAsia="仿宋_GB2312"/>
                <w:sz w:val="30"/>
                <w:szCs w:val="30"/>
              </w:rPr>
              <w:t>项目执行单位应与项目履行单位协商制定项目实施计划表，并于履行前提前通知有关方；</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（6）</w:t>
            </w:r>
            <w:r>
              <w:rPr>
                <w:rFonts w:hint="eastAsia" w:eastAsia="仿宋_GB2312"/>
                <w:sz w:val="30"/>
                <w:szCs w:val="30"/>
              </w:rPr>
              <w:t>项目执行单位应为履行单位开展工作积极创造有利条件，项目履行单位也应服从项目执行单位的指挥和调度。</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四</w:t>
            </w:r>
            <w:r>
              <w:rPr>
                <w:rFonts w:hint="eastAsia" w:eastAsia="仿宋_GB2312"/>
                <w:sz w:val="30"/>
                <w:szCs w:val="30"/>
                <w:lang w:eastAsia="zh-CN"/>
              </w:rPr>
              <w:t>）</w:t>
            </w:r>
            <w:r>
              <w:rPr>
                <w:rFonts w:hint="eastAsia" w:eastAsia="仿宋_GB2312"/>
                <w:sz w:val="30"/>
                <w:szCs w:val="30"/>
              </w:rPr>
              <w:t>综合评价情况及评价结论</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优</w:t>
            </w:r>
          </w:p>
          <w:p>
            <w:pPr>
              <w:spacing w:line="560" w:lineRule="exact"/>
              <w:ind w:firstLine="600" w:firstLineChars="200"/>
              <w:rPr>
                <w:rFonts w:hint="eastAsia" w:eastAsia="仿宋_GB2312"/>
                <w:sz w:val="30"/>
                <w:szCs w:val="30"/>
              </w:rPr>
            </w:pPr>
            <w:r>
              <w:rPr>
                <w:rFonts w:hint="eastAsia" w:eastAsia="仿宋_GB2312"/>
                <w:sz w:val="30"/>
                <w:szCs w:val="30"/>
                <w:lang w:eastAsia="zh-CN"/>
              </w:rPr>
              <w:t>（</w:t>
            </w:r>
            <w:r>
              <w:rPr>
                <w:rFonts w:hint="eastAsia" w:eastAsia="仿宋_GB2312"/>
                <w:sz w:val="30"/>
                <w:szCs w:val="30"/>
                <w:lang w:val="en-US" w:eastAsia="zh-CN"/>
              </w:rPr>
              <w:t>五</w:t>
            </w:r>
            <w:r>
              <w:rPr>
                <w:rFonts w:hint="eastAsia" w:eastAsia="仿宋_GB2312"/>
                <w:sz w:val="30"/>
                <w:szCs w:val="30"/>
                <w:lang w:eastAsia="zh-CN"/>
              </w:rPr>
              <w:t>）</w:t>
            </w:r>
            <w:r>
              <w:rPr>
                <w:rFonts w:hint="eastAsia" w:eastAsia="仿宋_GB2312"/>
                <w:sz w:val="30"/>
                <w:szCs w:val="30"/>
              </w:rPr>
              <w:t>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1、</w:t>
            </w:r>
            <w:r>
              <w:rPr>
                <w:rFonts w:hint="eastAsia" w:eastAsia="仿宋_GB2312"/>
                <w:sz w:val="30"/>
                <w:szCs w:val="30"/>
              </w:rPr>
              <w:t>生态效益</w:t>
            </w:r>
          </w:p>
          <w:p>
            <w:pPr>
              <w:spacing w:line="560" w:lineRule="exact"/>
              <w:ind w:firstLine="600" w:firstLineChars="200"/>
              <w:rPr>
                <w:rFonts w:hint="eastAsia" w:eastAsia="仿宋_GB2312"/>
                <w:sz w:val="30"/>
                <w:szCs w:val="30"/>
              </w:rPr>
            </w:pPr>
            <w:r>
              <w:rPr>
                <w:rFonts w:hint="eastAsia" w:eastAsia="仿宋_GB2312"/>
                <w:sz w:val="30"/>
                <w:szCs w:val="30"/>
              </w:rPr>
              <w:t>本工程的实施将为长江岸线</w:t>
            </w:r>
            <w:r>
              <w:rPr>
                <w:rFonts w:hint="eastAsia" w:eastAsia="仿宋_GB2312"/>
                <w:sz w:val="30"/>
                <w:szCs w:val="30"/>
                <w:lang w:eastAsia="zh-CN"/>
              </w:rPr>
              <w:t>复绿</w:t>
            </w:r>
            <w:r>
              <w:rPr>
                <w:rFonts w:hint="eastAsia" w:eastAsia="仿宋_GB2312"/>
                <w:sz w:val="30"/>
                <w:szCs w:val="30"/>
              </w:rPr>
              <w:t>建设树立示范，工程完工后长江岸线水土保持、生态净水功能等功能得到提升，生态景观改变明显，岸线湖滨带生物多样性效益增强等。</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2</w:t>
            </w:r>
            <w:r>
              <w:rPr>
                <w:rFonts w:hint="eastAsia" w:eastAsia="仿宋_GB2312"/>
                <w:sz w:val="30"/>
                <w:szCs w:val="30"/>
                <w:lang w:eastAsia="zh-CN"/>
              </w:rPr>
              <w:t>、</w:t>
            </w:r>
            <w:r>
              <w:rPr>
                <w:rFonts w:hint="eastAsia" w:eastAsia="仿宋_GB2312"/>
                <w:sz w:val="30"/>
                <w:szCs w:val="30"/>
              </w:rPr>
              <w:t>社会效益</w:t>
            </w:r>
          </w:p>
          <w:p>
            <w:pPr>
              <w:spacing w:line="560" w:lineRule="exact"/>
              <w:ind w:firstLine="600" w:firstLineChars="200"/>
              <w:rPr>
                <w:rFonts w:hint="eastAsia" w:eastAsia="仿宋_GB2312"/>
                <w:sz w:val="30"/>
                <w:szCs w:val="30"/>
              </w:rPr>
            </w:pPr>
            <w:r>
              <w:rPr>
                <w:rFonts w:hint="eastAsia" w:eastAsia="仿宋_GB2312"/>
                <w:sz w:val="30"/>
                <w:szCs w:val="30"/>
              </w:rPr>
              <w:t>提高防洪抗灾能力，保护国土生态安全；营建良好宜居适游的湖滨生态环境，通过长江岸线生态修复，使江水更清，河岸更绿，景色更美，创建适宜居民与游客居住、休闲、观光的良好环境，充分发挥“黄金水道”的社会功能，促进当地社会主义新农村建设。</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3</w:t>
            </w:r>
            <w:r>
              <w:rPr>
                <w:rFonts w:hint="eastAsia" w:eastAsia="仿宋_GB2312"/>
                <w:sz w:val="30"/>
                <w:szCs w:val="30"/>
                <w:lang w:eastAsia="zh-CN"/>
              </w:rPr>
              <w:t>、</w:t>
            </w:r>
            <w:r>
              <w:rPr>
                <w:rFonts w:hint="eastAsia" w:eastAsia="仿宋_GB2312"/>
                <w:sz w:val="30"/>
                <w:szCs w:val="30"/>
              </w:rPr>
              <w:t>经济效益</w:t>
            </w:r>
          </w:p>
          <w:p>
            <w:pPr>
              <w:spacing w:line="560" w:lineRule="exact"/>
              <w:ind w:firstLine="600" w:firstLineChars="200"/>
              <w:rPr>
                <w:rFonts w:hint="eastAsia" w:eastAsia="仿宋_GB2312"/>
                <w:sz w:val="30"/>
                <w:szCs w:val="30"/>
              </w:rPr>
            </w:pPr>
            <w:r>
              <w:rPr>
                <w:rFonts w:hint="eastAsia" w:eastAsia="仿宋_GB2312"/>
                <w:sz w:val="30"/>
                <w:szCs w:val="30"/>
              </w:rPr>
              <w:t>本项目经济效益通过间接效益体现。一是分布的野生动植物资源具有极其重要的经济价值。二是有效增强长江岸线的抗洪防灾能力，减少灾害损失。三是由于植被恢复带来生态环境的改善，促进生态旅游业发展和农村经济收入增加</w:t>
            </w:r>
            <w:r>
              <w:rPr>
                <w:rFonts w:hint="eastAsia" w:eastAsia="仿宋_GB2312"/>
                <w:sz w:val="30"/>
                <w:szCs w:val="30"/>
                <w:lang w:val="zh-CN"/>
              </w:rPr>
              <w:t>。</w:t>
            </w:r>
            <w:r>
              <w:rPr>
                <w:rFonts w:hint="eastAsia" w:eastAsia="仿宋_GB2312"/>
                <w:sz w:val="30"/>
                <w:szCs w:val="30"/>
              </w:rPr>
              <w:tab/>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rPr>
              <w:t>主要经验及做法、存在问题和建议</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1、领导重视，成立领导机构。</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建设工作启动伊始，经县委、县政府研究决定，成立由县长陶伟军任组长，副县长黄建明、人大副主任李东见、政协副主席廖权富任副组长，林业局、国土局、交通局、发改局、环保局、财政局、水利局、农业局、湿地局、集成洪泛区、东山镇、三封工业园的一把手任成员的长江岸线复绿工程工作领导小组；组建领导小组办公室，办公室设林业局。</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2、落实资金，推动建设工作顺利开展。</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县长江岸线复绿建设领导小组在周密编制计划，广泛宣传发动同时，着重抓了2019年度建设任务的造林资金落实，采取政府投资、农户受益的办法，有效推动建设工作的顺利开展，保证了建设计划的落实。</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3、开展招投标，有效提高了工程质量。</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建设任务规划完成后，根据规划设计，开展招投标工作，与4家公司签订了造林绿化合同，实施从种苗质量、整地、栽植、栽后管理、病虫害防治、验收报帐严格把关，保证了工程建设质量。</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4、注重农户意愿、提高建设综合效益。</w:t>
            </w:r>
          </w:p>
          <w:p>
            <w:pPr>
              <w:spacing w:line="560" w:lineRule="exact"/>
              <w:ind w:firstLine="600" w:firstLineChars="200"/>
              <w:rPr>
                <w:rFonts w:hint="eastAsia" w:eastAsia="仿宋_GB2312"/>
                <w:sz w:val="30"/>
                <w:szCs w:val="30"/>
              </w:rPr>
            </w:pPr>
            <w:r>
              <w:rPr>
                <w:rFonts w:hint="eastAsia" w:eastAsia="仿宋_GB2312"/>
                <w:sz w:val="30"/>
                <w:szCs w:val="30"/>
                <w:lang w:val="en-US" w:eastAsia="zh-CN"/>
              </w:rPr>
              <w:t>在实施过程中，始终把农户意愿放在首位，科学选地、适地适树、良种壮苗为长江岸线复绿速生、高效奠定了基础，保障社会、生态、经济效益得以最大限度发挥。</w:t>
            </w:r>
          </w:p>
          <w:p>
            <w:pPr>
              <w:spacing w:line="560" w:lineRule="exact"/>
              <w:ind w:firstLine="600" w:firstLineChars="200"/>
              <w:rPr>
                <w:rFonts w:hint="eastAsia" w:eastAsia="仿宋_GB2312"/>
                <w:sz w:val="30"/>
                <w:szCs w:val="30"/>
              </w:rPr>
            </w:pPr>
            <w:r>
              <w:rPr>
                <w:rFonts w:hint="eastAsia" w:eastAsia="仿宋_GB2312"/>
                <w:sz w:val="30"/>
                <w:szCs w:val="30"/>
              </w:rPr>
              <w:t>问题和建议</w:t>
            </w:r>
          </w:p>
          <w:p>
            <w:pPr>
              <w:spacing w:line="560" w:lineRule="exact"/>
              <w:ind w:firstLine="600" w:firstLineChars="200"/>
              <w:rPr>
                <w:rFonts w:hint="eastAsia" w:eastAsia="仿宋_GB2312"/>
                <w:sz w:val="30"/>
                <w:szCs w:val="30"/>
              </w:rPr>
            </w:pPr>
            <w:r>
              <w:rPr>
                <w:rFonts w:hint="eastAsia" w:eastAsia="仿宋_GB2312"/>
                <w:sz w:val="30"/>
                <w:szCs w:val="30"/>
              </w:rPr>
              <w:t>在项目建设中，我们也还存在一些问题，一是</w:t>
            </w:r>
            <w:r>
              <w:rPr>
                <w:rFonts w:hint="eastAsia" w:eastAsia="仿宋_GB2312"/>
                <w:sz w:val="30"/>
                <w:szCs w:val="30"/>
                <w:lang w:eastAsia="zh-CN"/>
              </w:rPr>
              <w:t>建设过程中农户对工程建设不理解，思想工作难做；二是</w:t>
            </w:r>
            <w:r>
              <w:rPr>
                <w:rFonts w:hint="eastAsia" w:eastAsia="仿宋_GB2312"/>
                <w:sz w:val="30"/>
                <w:szCs w:val="30"/>
              </w:rPr>
              <w:t>造林</w:t>
            </w:r>
            <w:r>
              <w:rPr>
                <w:rFonts w:hint="eastAsia" w:eastAsia="仿宋_GB2312"/>
                <w:sz w:val="30"/>
                <w:szCs w:val="30"/>
                <w:lang w:eastAsia="zh-CN"/>
              </w:rPr>
              <w:t>投入大</w:t>
            </w:r>
            <w:r>
              <w:rPr>
                <w:rFonts w:hint="eastAsia" w:eastAsia="仿宋_GB2312"/>
                <w:sz w:val="30"/>
                <w:szCs w:val="30"/>
              </w:rPr>
              <w:t>，</w:t>
            </w:r>
            <w:r>
              <w:rPr>
                <w:rFonts w:hint="eastAsia" w:eastAsia="仿宋_GB2312"/>
                <w:sz w:val="30"/>
                <w:szCs w:val="30"/>
                <w:lang w:eastAsia="zh-CN"/>
              </w:rPr>
              <w:t>资金严重不足</w:t>
            </w:r>
            <w:r>
              <w:rPr>
                <w:rFonts w:hint="eastAsia" w:eastAsia="仿宋_GB2312"/>
                <w:sz w:val="30"/>
                <w:szCs w:val="30"/>
              </w:rPr>
              <w:t>；</w:t>
            </w:r>
            <w:r>
              <w:rPr>
                <w:rFonts w:hint="eastAsia" w:eastAsia="仿宋_GB2312"/>
                <w:sz w:val="30"/>
                <w:szCs w:val="30"/>
                <w:lang w:eastAsia="zh-CN"/>
              </w:rPr>
              <w:t>三</w:t>
            </w:r>
            <w:r>
              <w:rPr>
                <w:rFonts w:hint="eastAsia" w:eastAsia="仿宋_GB2312"/>
                <w:sz w:val="30"/>
                <w:szCs w:val="30"/>
              </w:rPr>
              <w:t>是</w:t>
            </w:r>
            <w:r>
              <w:rPr>
                <w:rFonts w:hint="eastAsia" w:eastAsia="仿宋_GB2312"/>
                <w:sz w:val="30"/>
                <w:szCs w:val="30"/>
                <w:lang w:eastAsia="zh-CN"/>
              </w:rPr>
              <w:t>采石场</w:t>
            </w:r>
            <w:r>
              <w:rPr>
                <w:rFonts w:hint="eastAsia" w:eastAsia="仿宋_GB2312"/>
                <w:sz w:val="30"/>
                <w:szCs w:val="30"/>
              </w:rPr>
              <w:t>工作量大，危险</w:t>
            </w:r>
            <w:r>
              <w:rPr>
                <w:rFonts w:hint="eastAsia" w:eastAsia="仿宋_GB2312"/>
                <w:sz w:val="30"/>
                <w:szCs w:val="30"/>
                <w:lang w:eastAsia="zh-CN"/>
              </w:rPr>
              <w:t>性</w:t>
            </w:r>
            <w:r>
              <w:rPr>
                <w:rFonts w:hint="eastAsia" w:eastAsia="仿宋_GB2312"/>
                <w:sz w:val="30"/>
                <w:szCs w:val="30"/>
              </w:rPr>
              <w:t>大，工作条件差。建议上级管理部门，</w:t>
            </w:r>
            <w:r>
              <w:rPr>
                <w:rFonts w:hint="eastAsia" w:eastAsia="仿宋_GB2312"/>
                <w:sz w:val="30"/>
                <w:szCs w:val="30"/>
                <w:lang w:eastAsia="zh-CN"/>
              </w:rPr>
              <w:t>加大对我县长江岸线</w:t>
            </w:r>
            <w:r>
              <w:rPr>
                <w:rFonts w:hint="eastAsia" w:eastAsia="仿宋_GB2312"/>
                <w:sz w:val="30"/>
                <w:szCs w:val="30"/>
                <w:lang w:val="en-US" w:eastAsia="zh-CN"/>
              </w:rPr>
              <w:t>和工业园区造林绿化</w:t>
            </w:r>
            <w:r>
              <w:rPr>
                <w:rFonts w:hint="eastAsia" w:eastAsia="仿宋_GB2312"/>
                <w:sz w:val="30"/>
                <w:szCs w:val="30"/>
                <w:lang w:eastAsia="zh-CN"/>
              </w:rPr>
              <w:t>建设中央财政资金的投入</w:t>
            </w:r>
            <w:r>
              <w:rPr>
                <w:rFonts w:hint="eastAsia" w:eastAsia="仿宋_GB2312"/>
                <w:sz w:val="30"/>
                <w:szCs w:val="30"/>
              </w:rPr>
              <w:t>。</w:t>
            </w:r>
          </w:p>
          <w:p>
            <w:pPr>
              <w:spacing w:line="560" w:lineRule="exact"/>
              <w:ind w:firstLine="600" w:firstLineChars="200"/>
              <w:rPr>
                <w:rFonts w:hint="eastAsia" w:eastAsia="仿宋_GB2312"/>
                <w:sz w:val="30"/>
                <w:szCs w:val="30"/>
                <w:lang w:val="en-US" w:eastAsia="zh-CN"/>
              </w:rPr>
            </w:pPr>
            <w:r>
              <w:rPr>
                <w:rFonts w:hint="eastAsia" w:eastAsia="仿宋_GB2312"/>
                <w:sz w:val="30"/>
                <w:szCs w:val="30"/>
                <w:lang w:val="en-US" w:eastAsia="zh-CN"/>
              </w:rPr>
              <w:t xml:space="preserve">   </w:t>
            </w:r>
            <w:r>
              <w:rPr>
                <w:rFonts w:hint="eastAsia" w:eastAsia="仿宋_GB2312"/>
                <w:sz w:val="30"/>
                <w:szCs w:val="30"/>
              </w:rPr>
              <w:t>201</w:t>
            </w:r>
            <w:r>
              <w:rPr>
                <w:rFonts w:hint="eastAsia" w:eastAsia="仿宋_GB2312"/>
                <w:sz w:val="30"/>
                <w:szCs w:val="30"/>
                <w:lang w:val="en-US" w:eastAsia="zh-CN"/>
              </w:rPr>
              <w:t>9</w:t>
            </w:r>
            <w:r>
              <w:rPr>
                <w:rFonts w:hint="eastAsia" w:eastAsia="仿宋_GB2312"/>
                <w:sz w:val="30"/>
                <w:szCs w:val="30"/>
              </w:rPr>
              <w:t>年，我们在</w:t>
            </w:r>
            <w:r>
              <w:rPr>
                <w:rFonts w:hint="eastAsia" w:eastAsia="仿宋_GB2312"/>
                <w:sz w:val="30"/>
                <w:szCs w:val="30"/>
                <w:lang w:eastAsia="zh-CN"/>
              </w:rPr>
              <w:t>长江岸线复绿工程</w:t>
            </w:r>
            <w:r>
              <w:rPr>
                <w:rFonts w:hint="eastAsia" w:eastAsia="仿宋_GB2312"/>
                <w:sz w:val="30"/>
                <w:szCs w:val="30"/>
              </w:rPr>
              <w:t>建设项目的工作上取得了良好成绩，项目也顺利实施完成，但</w:t>
            </w:r>
            <w:r>
              <w:rPr>
                <w:rFonts w:hint="eastAsia" w:eastAsia="仿宋_GB2312"/>
                <w:sz w:val="30"/>
                <w:szCs w:val="30"/>
                <w:lang w:eastAsia="zh-CN"/>
              </w:rPr>
              <w:t>工程</w:t>
            </w:r>
            <w:r>
              <w:rPr>
                <w:rFonts w:hint="eastAsia" w:eastAsia="仿宋_GB2312"/>
                <w:sz w:val="30"/>
                <w:szCs w:val="30"/>
              </w:rPr>
              <w:t>的后期管护工作还有需我们的</w:t>
            </w:r>
            <w:r>
              <w:rPr>
                <w:rFonts w:hint="eastAsia" w:eastAsia="仿宋_GB2312"/>
                <w:sz w:val="30"/>
                <w:szCs w:val="30"/>
                <w:lang w:eastAsia="zh-CN"/>
              </w:rPr>
              <w:t>技术</w:t>
            </w:r>
            <w:r>
              <w:rPr>
                <w:rFonts w:hint="eastAsia" w:eastAsia="仿宋_GB2312"/>
                <w:sz w:val="30"/>
                <w:szCs w:val="30"/>
              </w:rPr>
              <w:t>支持，今后，我们会</w:t>
            </w:r>
            <w:r>
              <w:rPr>
                <w:rFonts w:hint="eastAsia" w:eastAsia="仿宋_GB2312"/>
                <w:sz w:val="30"/>
                <w:szCs w:val="30"/>
                <w:lang w:eastAsia="zh-CN"/>
              </w:rPr>
              <w:t>加强对后期管护工作的</w:t>
            </w:r>
            <w:r>
              <w:rPr>
                <w:rFonts w:hint="eastAsia" w:eastAsia="仿宋_GB2312"/>
                <w:sz w:val="30"/>
                <w:szCs w:val="30"/>
              </w:rPr>
              <w:t>技术帮扶。</w:t>
            </w:r>
          </w:p>
          <w:p>
            <w:pPr>
              <w:spacing w:line="560" w:lineRule="exact"/>
              <w:ind w:firstLine="600" w:firstLineChars="200"/>
              <w:rPr>
                <w:rFonts w:hint="eastAsia" w:eastAsia="仿宋_GB2312"/>
                <w:sz w:val="30"/>
                <w:szCs w:val="30"/>
                <w:lang w:val="en-US" w:eastAsia="zh-CN"/>
              </w:rPr>
            </w:pPr>
          </w:p>
          <w:p>
            <w:pPr>
              <w:spacing w:line="560" w:lineRule="exact"/>
              <w:ind w:firstLine="600" w:firstLineChars="200"/>
              <w:rPr>
                <w:rFonts w:hint="eastAsia" w:eastAsia="仿宋_GB2312"/>
                <w:sz w:val="30"/>
                <w:szCs w:val="30"/>
              </w:rPr>
            </w:pPr>
          </w:p>
          <w:p>
            <w:pPr>
              <w:spacing w:line="560" w:lineRule="exact"/>
              <w:ind w:firstLine="600" w:firstLineChars="200"/>
              <w:rPr>
                <w:rFonts w:hint="eastAsia" w:eastAsia="仿宋_GB2312"/>
                <w:sz w:val="30"/>
                <w:szCs w:val="30"/>
              </w:rPr>
            </w:pPr>
            <w:r>
              <w:rPr>
                <w:rFonts w:hint="eastAsia" w:eastAsia="仿宋_GB2312"/>
                <w:sz w:val="30"/>
                <w:szCs w:val="30"/>
              </w:rPr>
              <w:t>（七）附件</w:t>
            </w:r>
          </w:p>
          <w:p>
            <w:pPr>
              <w:spacing w:line="560" w:lineRule="exact"/>
              <w:ind w:firstLine="600" w:firstLineChars="200"/>
              <w:rPr>
                <w:rFonts w:hint="eastAsia" w:eastAsia="仿宋_GB2312"/>
                <w:sz w:val="30"/>
                <w:szCs w:val="30"/>
              </w:rPr>
            </w:pP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0"/>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10"/>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10"/>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新宋体-18030">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9"/>
      </w:rPr>
    </w:pPr>
    <w:r>
      <w:fldChar w:fldCharType="begin"/>
    </w:r>
    <w:r>
      <w:rPr>
        <w:rStyle w:val="9"/>
      </w:rPr>
      <w:instrText xml:space="preserve">PAGE  </w:instrText>
    </w:r>
    <w:r>
      <w:fldChar w:fldCharType="end"/>
    </w:r>
  </w:p>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1F808F"/>
    <w:multiLevelType w:val="singleLevel"/>
    <w:tmpl w:val="C71F808F"/>
    <w:lvl w:ilvl="0" w:tentative="0">
      <w:start w:val="4"/>
      <w:numFmt w:val="chineseCounting"/>
      <w:suff w:val="nothing"/>
      <w:lvlText w:val="%1、"/>
      <w:lvlJc w:val="left"/>
      <w:rPr>
        <w:rFonts w:hint="eastAsia"/>
      </w:rPr>
    </w:lvl>
  </w:abstractNum>
  <w:abstractNum w:abstractNumId="1">
    <w:nsid w:val="E4A81E4D"/>
    <w:multiLevelType w:val="singleLevel"/>
    <w:tmpl w:val="E4A81E4D"/>
    <w:lvl w:ilvl="0" w:tentative="0">
      <w:start w:val="1"/>
      <w:numFmt w:val="decimal"/>
      <w:suff w:val="nothing"/>
      <w:lvlText w:val="%1、"/>
      <w:lvlJc w:val="left"/>
    </w:lvl>
  </w:abstractNum>
  <w:abstractNum w:abstractNumId="2">
    <w:nsid w:val="5735D3B9"/>
    <w:multiLevelType w:val="singleLevel"/>
    <w:tmpl w:val="5735D3B9"/>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19E0F33"/>
    <w:rsid w:val="04407283"/>
    <w:rsid w:val="04980907"/>
    <w:rsid w:val="057636A6"/>
    <w:rsid w:val="07467A3E"/>
    <w:rsid w:val="083749E7"/>
    <w:rsid w:val="0B810C53"/>
    <w:rsid w:val="0DE528CD"/>
    <w:rsid w:val="0E6B3DFC"/>
    <w:rsid w:val="101B5529"/>
    <w:rsid w:val="104B4832"/>
    <w:rsid w:val="112B077B"/>
    <w:rsid w:val="117C4D00"/>
    <w:rsid w:val="12F86E4B"/>
    <w:rsid w:val="152673CA"/>
    <w:rsid w:val="18725427"/>
    <w:rsid w:val="1953213B"/>
    <w:rsid w:val="1A970EF6"/>
    <w:rsid w:val="21283B86"/>
    <w:rsid w:val="23A356A0"/>
    <w:rsid w:val="2592398D"/>
    <w:rsid w:val="263C173A"/>
    <w:rsid w:val="2CA33441"/>
    <w:rsid w:val="2CE55C20"/>
    <w:rsid w:val="2D406218"/>
    <w:rsid w:val="2F287302"/>
    <w:rsid w:val="30227C58"/>
    <w:rsid w:val="30426D13"/>
    <w:rsid w:val="34EE3547"/>
    <w:rsid w:val="3A43255A"/>
    <w:rsid w:val="3D6201A1"/>
    <w:rsid w:val="43F30689"/>
    <w:rsid w:val="477245B4"/>
    <w:rsid w:val="4BB933A8"/>
    <w:rsid w:val="4E4F0BB0"/>
    <w:rsid w:val="50AD3301"/>
    <w:rsid w:val="50F27950"/>
    <w:rsid w:val="59246CC5"/>
    <w:rsid w:val="5BE95901"/>
    <w:rsid w:val="5C9301CD"/>
    <w:rsid w:val="5E8052F6"/>
    <w:rsid w:val="5EB027B8"/>
    <w:rsid w:val="62720405"/>
    <w:rsid w:val="66922F99"/>
    <w:rsid w:val="67E61BEC"/>
    <w:rsid w:val="6A0A15CD"/>
    <w:rsid w:val="6B7A26CD"/>
    <w:rsid w:val="6BAA002E"/>
    <w:rsid w:val="6C575E35"/>
    <w:rsid w:val="6DF352BD"/>
    <w:rsid w:val="6E042707"/>
    <w:rsid w:val="705E3E6D"/>
    <w:rsid w:val="71C1048A"/>
    <w:rsid w:val="73F35F5B"/>
    <w:rsid w:val="747438A5"/>
    <w:rsid w:val="75745262"/>
    <w:rsid w:val="75906BE1"/>
    <w:rsid w:val="77C423AD"/>
    <w:rsid w:val="79C04582"/>
    <w:rsid w:val="7B0F4BB6"/>
    <w:rsid w:val="7D1F0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widowControl/>
      <w:spacing w:before="100" w:beforeAutospacing="1" w:after="100" w:afterAutospacing="1"/>
      <w:jc w:val="left"/>
    </w:pPr>
    <w:rPr>
      <w:rFonts w:ascii="宋体" w:hAnsi="宋体" w:cs="宋体"/>
      <w:kern w:val="0"/>
      <w:sz w:val="24"/>
    </w:rPr>
  </w:style>
  <w:style w:type="paragraph" w:customStyle="1" w:styleId="3">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4">
    <w:name w:val="Body Text Indent"/>
    <w:basedOn w:val="1"/>
    <w:qFormat/>
    <w:uiPriority w:val="0"/>
    <w:pPr>
      <w:spacing w:line="440" w:lineRule="exact"/>
      <w:ind w:firstLine="567"/>
    </w:pPr>
    <w:rPr>
      <w:rFonts w:ascii="宋体"/>
      <w:szCs w:val="20"/>
    </w:rPr>
  </w:style>
  <w:style w:type="paragraph" w:styleId="5">
    <w:name w:val="Body Text Indent 2"/>
    <w:basedOn w:val="1"/>
    <w:unhideWhenUsed/>
    <w:qFormat/>
    <w:uiPriority w:val="0"/>
    <w:pPr>
      <w:ind w:firstLine="588" w:firstLineChars="200"/>
    </w:pPr>
    <w:rPr>
      <w:rFonts w:ascii="仿宋_GB2312" w:hAnsi="Calibri" w:eastAsia="仿宋_GB2312"/>
      <w:sz w:val="32"/>
    </w:r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Body Text First Indent 2"/>
    <w:basedOn w:val="4"/>
    <w:qFormat/>
    <w:uiPriority w:val="0"/>
    <w:pPr>
      <w:tabs>
        <w:tab w:val="left" w:pos="360"/>
      </w:tabs>
      <w:ind w:firstLine="420"/>
    </w:pPr>
    <w:rPr>
      <w:sz w:val="24"/>
    </w:rPr>
  </w:style>
  <w:style w:type="character" w:styleId="9">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2020-10-20T06:19:16Z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