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2-1</w:t>
      </w:r>
    </w:p>
    <w:p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华容县</w:t>
      </w:r>
      <w:r>
        <w:rPr>
          <w:rFonts w:eastAsia="方正小标宋简体"/>
          <w:bCs/>
          <w:sz w:val="46"/>
          <w:szCs w:val="46"/>
        </w:rPr>
        <w:t>20</w:t>
      </w:r>
      <w:r>
        <w:rPr>
          <w:rFonts w:eastAsia="方正小标宋简体"/>
          <w:bCs/>
          <w:sz w:val="46"/>
          <w:szCs w:val="46"/>
          <w:u w:val="single"/>
        </w:rPr>
        <w:t>19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(</w:t>
      </w:r>
      <w:r>
        <w:rPr>
          <w:rFonts w:hint="eastAsia"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)</w:t>
      </w:r>
      <w:r>
        <w:rPr>
          <w:rFonts w:hint="eastAsia" w:eastAsia="仿宋_GB2312"/>
          <w:sz w:val="32"/>
          <w:szCs w:val="32"/>
        </w:rPr>
        <w:t>名称：华容县农业农村局</w:t>
      </w:r>
    </w:p>
    <w:p>
      <w:pPr>
        <w:spacing w:beforeLines="50" w:line="348" w:lineRule="auto"/>
        <w:ind w:firstLine="476" w:firstLineChars="150"/>
        <w:rPr>
          <w:rFonts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hint="eastAsia" w:eastAsia="仿宋_GB2312"/>
          <w:spacing w:val="30"/>
          <w:sz w:val="32"/>
          <w:szCs w:val="32"/>
        </w:rPr>
        <w:t>算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hint="eastAsia" w:eastAsia="仿宋_GB2312"/>
          <w:spacing w:val="30"/>
          <w:sz w:val="32"/>
          <w:szCs w:val="32"/>
        </w:rPr>
        <w:t>编</w:t>
      </w:r>
      <w:r>
        <w:rPr>
          <w:rFonts w:eastAsia="仿宋_GB2312"/>
          <w:spacing w:val="30"/>
          <w:sz w:val="32"/>
          <w:szCs w:val="32"/>
        </w:rPr>
        <w:t xml:space="preserve"> </w:t>
      </w:r>
      <w:r>
        <w:rPr>
          <w:rFonts w:hint="eastAsia" w:eastAsia="仿宋_GB2312"/>
          <w:spacing w:val="30"/>
          <w:sz w:val="32"/>
          <w:szCs w:val="32"/>
        </w:rPr>
        <w:t>码：</w:t>
      </w:r>
      <w:r>
        <w:rPr>
          <w:rFonts w:eastAsia="仿宋_GB2312"/>
          <w:spacing w:val="30"/>
          <w:sz w:val="32"/>
          <w:szCs w:val="32"/>
        </w:rPr>
        <w:t>401001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Lines="50" w:line="348" w:lineRule="auto"/>
        <w:ind w:firstLine="476" w:firstLineChars="1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评价机构：部门（单位）评价组</w:t>
      </w:r>
      <w:r>
        <w:rPr>
          <w:rFonts w:eastAsia="仿宋_GB2312"/>
          <w:sz w:val="32"/>
          <w:szCs w:val="32"/>
        </w:rPr>
        <w:t xml:space="preserve">   </w:t>
      </w: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720" w:lineRule="exact"/>
        <w:ind w:firstLine="2188" w:firstLineChars="690"/>
        <w:rPr>
          <w:rFonts w:eastAsia="仿宋_GB2312"/>
          <w:sz w:val="32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eastAsia="仿宋_GB2312"/>
          <w:sz w:val="32"/>
        </w:rPr>
        <w:t>2020</w:t>
      </w:r>
      <w:r>
        <w:rPr>
          <w:rFonts w:hint="eastAsia" w:eastAsia="仿宋_GB2312"/>
          <w:sz w:val="32"/>
        </w:rPr>
        <w:t>年</w:t>
      </w:r>
      <w:r>
        <w:rPr>
          <w:rFonts w:eastAsia="仿宋_GB2312"/>
          <w:sz w:val="32"/>
        </w:rPr>
        <w:t>1</w:t>
      </w:r>
      <w:r>
        <w:rPr>
          <w:rFonts w:hint="eastAsia" w:eastAsia="仿宋_GB2312"/>
          <w:sz w:val="32"/>
          <w:lang w:val="en-US" w:eastAsia="zh-CN"/>
        </w:rPr>
        <w:t>0</w:t>
      </w:r>
      <w:r>
        <w:rPr>
          <w:rFonts w:hint="eastAsia" w:eastAsia="仿宋_GB2312"/>
          <w:sz w:val="32"/>
        </w:rPr>
        <w:t>月</w:t>
      </w:r>
      <w:r>
        <w:rPr>
          <w:rFonts w:eastAsia="仿宋_GB2312"/>
          <w:sz w:val="32"/>
        </w:rPr>
        <w:t>10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</w:rPr>
        <w:t>华容县财政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79"/>
        <w:gridCol w:w="1080"/>
        <w:gridCol w:w="44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陈辉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15074037000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115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贯彻执行国家和省种植业、畜牧业、渔业、农业机械化、农产品加工业、农垦等农业各产业（简称农业）发展的方针政策，拟订全县农业发展的政策和规划并指导实施，引导农业产业结构合理调整、农业资源的合理配置和农产品品质改善，参与涉农的财税、价格、金融保险、进出口等政策制定，负责农业行政执法和农业行政复议工作，推进农业依法行政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研究提出稳定和完善农村经营管理体制的建议，指导农村土地承包、耕地使用权流转和承包纠纷调解、仲裁管理，指导、监督减轻农民负担和村民筹资筹劳工作，检查监督惠农政策的落实，指导村级集体经济发展、农村集体经济组织建设和资产财务管理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、拟订全县农业产业化经营的发展规划与政策并组织实施，指导、扶持农业社会化服务体系、农村合作经济组织、农民专业合作社和农产品行业协会的建设与发展；会同有关部门进一步深化原国有农场体制改革。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指导粮食等主要农产品生产，组织落实促进粮食等主要农产品生产发展的相关政策措施，会同有关部门指导农业标准化、规模化生产；提出农业固定资产投资规模和方向；编报部门预算并组织执行，提出扶持农业农村发展的财政政策、项目和县级财政性资金安排建议，经批准后与财政部门共同制订实施方案并指导实施；拟订农业开发规划并监督实施；配合财政部门组织实施农业综合开发项目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促进农业产前、产中、产后一体化发展，组织拟订促进农产品加工业发展政策、规划并组织实施，提出农业产业保护政策建议，指导农产品加工业结构调整、技术创新和服务体系建设；提出促进大宗农产品流通的政策建议，研究制定大宗农产品市场体系建设与发展规划；培育、保护和发展农产品品牌；组织协调“菜篮子”工程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承担提升农产品质量安全水平的责任，依法开展农产品质量安全风险评估，收集上报有关农产品质量安全状况信息，负责农产品质量安全监测；贯彻执行农业转基因生物安全评价标准和技术规范，负责农业转基因生物安全监督管理和农业植物新品种保护；会同有关部门贯彻执行农产品质量安全国家标准，参与制定农产品质量安全地方标准并指导实施；指导农业检验检测体系建设和工作考核；负责符合安全标准的农产品认证申报工作并依法实施监督管理；组织农产品质量安全的监督管理；负责畜禽屠宰的监督管理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组织、协调农业生产资料市场体系建设，依法开展农作物种子（种苗）、草种、种畜禽、农药、兽药等的行政许可及监督管理；会同有关部门贯彻执行农业生产资料标准；贯彻执行兽药质量、兽药残留限量和残留检测方法国家标准；依法负责渔船、渔港、渔机、网具的监督管理，指导渔业安全生产；开展兽医医疗器械、肥料和饲料、饲料添加剂、农药兽药的监督管理；指导农业机械化发展和农机安全监理，组织实施农机惠农政策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负责农作物重大病虫害防治，贯彻执行国家、省动植物防疫检疫法律法规和政策，会同有关部门制定地方性动植物防疫政策建议并指导实施，指导动植物防疫和检疫体系建设；组织、监督对县内动植物的防疫检疫工作；组织植物检疫性有害生物普查并组织疫情扑灭；承担全县农作物种子（种苗）检疫审批工作；配合有关部门制定血吸虫病防治工作计划并组织实施；组织兽医医政、兽药药政药检工作；负责执业兽医的管理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、承担农业防灾减灾的责任，监测、上报农业灾情，组织种子、化肥等救灾物资储备和调拨，提出农业生产救灾资金安排建议，指导紧急救灾和灾后生产恢复。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管理农业和农村经济信息，监测分析农业、农村经济运行，开展相关农业统计工作；采集、整理、上报农业和农村经济信息，负责农业信息体系建设，指导农业信息服务。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制定全县农业科研、农技推广的规划、计划和有关政策并指导实施；会同有关部门组织全县农业科技创新体系和农业产业技术体系建设，会同有关部门实施科教兴农战略，按分工组织实施全县农业科研重大项目；组织实施农业领域的高新技术和应用技术研究、农业科技成果转化和技术推广；负责农业科技成果管理，组织引进农业先进技术，指导农技推广体系改革与建设。</w:t>
            </w:r>
          </w:p>
          <w:p>
            <w:pPr>
              <w:autoSpaceDN w:val="0"/>
              <w:spacing w:line="32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会同有关部门拟订全县农业农村人才队伍建设规划并组织实施，指导协调农民教育培训，指导农业教育和农业职业技能开发工作，参与实施农村实用人才培训工程，承担农村劳动力就地就近就业培训工作。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：农业结构调整稳中向好。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：农村人均环境持续改善。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：农业发展基础不断夯实。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：农业农村领域总体安全稳定。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8029.4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8029.4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8029.4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8029.4</w:t>
            </w: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49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52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9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5368.8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1130.2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891.5</w:t>
            </w: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238.7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4238.6</w:t>
            </w:r>
          </w:p>
        </w:tc>
        <w:tc>
          <w:tcPr>
            <w:tcW w:w="90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2660.6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5368.8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1130.2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891.5</w:t>
            </w: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238.7</w:t>
            </w: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4238.6</w:t>
            </w:r>
          </w:p>
        </w:tc>
        <w:tc>
          <w:tcPr>
            <w:tcW w:w="90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2660.6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60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11.7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7.5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4.2</w:t>
            </w: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0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11.7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7.5</w:t>
            </w: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4.2</w:t>
            </w: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0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0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80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05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243.8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243.8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243.8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243.8</w:t>
            </w: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/>
            <w:vAlign w:val="center"/>
          </w:tcPr>
          <w:p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、二级机构</w:t>
            </w:r>
            <w:r>
              <w:rPr>
                <w:rFonts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：农业结构调整稳中向好。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：农村人均环境持续改善。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：农业发展基础不断夯实。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：农业农村领域总体安全稳定。</w:t>
            </w:r>
          </w:p>
        </w:tc>
        <w:tc>
          <w:tcPr>
            <w:tcW w:w="4585" w:type="dxa"/>
            <w:gridSpan w:val="9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（部门工作实绩，包含上级部门和县委县政府布置的重点工作、实事任务等，根据部门实际进行调整细化）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：抓好产业扶贫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增强脱贫基础，带动贫困群众增收致富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：深化农村综合改革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加大对新型农业经营主体的指导力度，规范土地流转，提升规模化水平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：保口粮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全县落实粮食播种面积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127.5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万亩，预计总产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54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万吨，与上年持平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：稳畜禽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生猪存栏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34.9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万头，出栏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22.8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万头；肉牛存栏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3.99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万头，出栏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0.8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万头；肉羊存栏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4.38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万头，出栏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2.5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万头；家禽存笼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万羽，出笼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316.6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：优渔业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全县渔业产量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15.05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万吨，渔业产值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45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亿元。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76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：年度内完成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76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：预算内控制成本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：农村人均环境持续改善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村容村貌提升，突出特色小镇创建，省级“农业特色小镇”和“农业产业强镇”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：农产品质量监管持续强化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检查农作物品种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74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个，农药品种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97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个，检查肥料品种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个，抽查生猪“瘦肉精”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1560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份。立案查获农资违法案件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起，行政处罚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人，查获违法农资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吨，受理农业质量事故投诉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起，赔偿农民经济损失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12.3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：农业污染防治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：渔业生态环境保护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持续开展农业化肥负增长，全年农药、化肥使用量分别减少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5.09%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2.11%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；巩固大水面全面禁投效果显具。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/>
            <w:vAlign w:val="center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/>
            <w:vAlign w:val="center"/>
          </w:tcPr>
          <w:p>
            <w:pPr>
              <w:autoSpaceDN w:val="0"/>
              <w:spacing w:line="32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：社会公众或服务对象满意度</w:t>
            </w:r>
          </w:p>
        </w:tc>
        <w:tc>
          <w:tcPr>
            <w:tcW w:w="2684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名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位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杨妙江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副局长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华容县农业农村局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涂胜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办公室主任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华容县农业农村局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陈辉</w:t>
            </w: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财务股长</w:t>
            </w: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华容县农业农村局</w:t>
            </w: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/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</w:p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</w:rPr>
              <w:t>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eastAsia="仿宋_GB2312" w:cs="仿宋_GB2312"/>
          <w:bCs/>
          <w:sz w:val="28"/>
          <w:szCs w:val="28"/>
        </w:rPr>
        <w:t xml:space="preserve">                          </w:t>
      </w:r>
      <w:r>
        <w:rPr>
          <w:rFonts w:hint="eastAsia" w:eastAsia="仿宋_GB2312" w:cs="仿宋_GB2312"/>
          <w:bCs/>
          <w:sz w:val="28"/>
          <w:szCs w:val="28"/>
        </w:rPr>
        <w:t>联系电话：</w:t>
      </w:r>
    </w:p>
    <w:tbl>
      <w:tblPr>
        <w:tblStyle w:val="4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/>
          </w:tcPr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五、评价报告综述（文字部分）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一、部门（单位）概况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（一）部门（单位）基本情况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单位为财政全额预算拨款单位，核定人员编制</w:t>
            </w:r>
            <w:r>
              <w:rPr>
                <w:rFonts w:ascii="宋体" w:cs="宋体"/>
                <w:kern w:val="0"/>
                <w:sz w:val="28"/>
                <w:szCs w:val="28"/>
              </w:rPr>
              <w:t>115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人，实有人数为</w:t>
            </w:r>
            <w:r>
              <w:rPr>
                <w:rFonts w:ascii="宋体" w:cs="宋体"/>
                <w:kern w:val="0"/>
                <w:sz w:val="28"/>
                <w:szCs w:val="28"/>
              </w:rPr>
              <w:t>115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人。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职责职能：</w:t>
            </w:r>
            <w:r>
              <w:rPr>
                <w:rFonts w:ascii="宋体" w:cs="宋体"/>
                <w:kern w:val="0"/>
                <w:sz w:val="28"/>
                <w:szCs w:val="28"/>
              </w:rPr>
              <w:t>1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贯彻执行国家和省种植业、畜牧业、渔业、农业机械化、农产品加工业、农垦等农业各产业（简称农业）发展的方针政策，拟订全县农业发展的政策和规划并指导实施，引导农业产业结构合理调整、农业资源的合理配置和农产品品质改善，参与涉农的财税、价格、金融保险、进出口等政策制定，负责农业行政执法和农业行政复议工作，推进农业依法行政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研究提出稳定和完善农村经营管理体制的建议，指导农村土地承包、耕地使用权流转和承包纠纷调解、仲裁管理，指导、监督减轻农民负担和村民筹资筹劳工作，检查监督惠农政策的落实，指导村级集体经济发展、农村集体经济组织建设和资产财务管理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3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、拟订全县农业产业化经营的发展规划与政策并组织实施，指导、扶持农业社会化服务体系、农村合作经济组织、农民专业合作社和农产品行业协会的建设与发展；会同有关部门进一步深化原国有农场体制改革。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指导粮食等主要农产品生产，组织落实促进粮食等主要农产品生产发展的相关政策措施，会同有关部门指导农业标准化、规模化生产；提出农业固定资产投资规模和方向；编报部门预算并组织执行，提出扶持农业农村发展的财政政策、项目和县级财政性资金安排建议，经批准后与财政部门共同制订实施方案并指导实施；拟订农业开发规划并监督实施；配合财政部门组织实施农业综合开发项目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5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促进农业产前、产中、产后一体化发展，组织拟订促进农产品加工业发展政策、规划并组织实施，提出农业产业保护政策建议，指导农产品加工业结构调整、技术创新和服务体系建设；提出促进大宗农产品流通的政策建议，研究制定大宗农产品市场体系建设与发展规划；培育、保护和发展农产品品牌；组织协调“菜篮子”工程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承担提升农产品质量安全水平的责任，依法开展农产品质量安全风险评估，收集上报有关农产品质量安全状况信息，负责农产品质量安全监测；贯彻执行农业转基因生物安全评价标准和技术规范，负责农业转基因生物安全监督管理和农业植物新品种保护；会同有关部门贯彻执行农产品质量安全国家标准，参与制定农产品质量安全地方标准并指导实施；指导农业检验检测体系建设和工作考核；负责符合安全标准的农产品认证申报工作并依法实施监督管理；组织农产品质量安全的监督管理；负责畜禽屠宰的监督管理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7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组织、协调农业生产资料市场体系建设，依法开展农作物种子（种苗）、草种、种畜禽、农药、兽药等的行政许可及监督管理；会同有关部门贯彻执行农业生产资料标准；贯彻执行兽药质量、兽药残留限量和残留检测方法国家标准；依法负责渔船、渔港、渔机、网具的监督管理，指导渔业安全生产；开展兽医医疗器械、肥料和饲料、饲料添加剂、农药兽药的监督管理；指导农业机械化发展和农机安全监理，组织实施农机惠农政策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负责农作物重大病虫害防治，贯彻执行国家、省动植物防疫检疫法律法规和政策，会同有关部门制定地方性动植物防疫政策建议并指导实施，指导动植物防疫和检疫体系建设；组织、监督对县内动植物的防疫检疫工作；组织植物检疫性有害生物普查并组织疫情扑灭；承担全县农作物种子（种苗）检疫审批工作；配合有关部门制定血吸虫病防治工作计划并组织实施；组织兽医医政、兽药药政药检工作；负责执业兽医的管理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承担农业防灾减灾的责任，监测、上报农业灾情，组织种子、化肥等救灾物资储备和调拨，提出农业生产救灾资金安排建议，指导紧急救灾和灾后生产恢复。管理农业和农村经济信息，监测分析农业、农村经济运行，开展相关农业统计工作；采集、整理、上报农业和农村经济信息，负责农业信息体系建设，指导农业信息服务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制定全县农业科研、农技推广的规划、计划和有关政策并指导实施；会同有关部门组织全县农业科技创新体系和农业产业技术体系建设，会同有关部门实施科教兴农战略，按分工组织实施全县农业科研重大项目；组织实施农业领域的高新技术和应用技术研究、农业科技成果转化和技术推广；负责农业科技成果管理，组织引进农业先进技术，指导农技推广体系改革与建设。会同有关部门拟订全县农业农村人才队伍建设规划并组织实施，指导协调农民教育培训，指导农业教育和农业职业技能开发工作，参与实施农村实用人才培训工程，承担农村劳动力就地就近就业培训工作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内设机构：农业局内设机构有</w:t>
            </w:r>
            <w:r>
              <w:rPr>
                <w:rFonts w:ascii="宋体" w:cs="宋体"/>
                <w:kern w:val="0"/>
                <w:sz w:val="28"/>
                <w:szCs w:val="28"/>
              </w:rPr>
              <w:t>13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个。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（二）部门（单位）整体支出规模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、收入情况：全年收入</w:t>
            </w:r>
            <w:r>
              <w:rPr>
                <w:rFonts w:ascii="宋体" w:cs="宋体"/>
                <w:kern w:val="0"/>
                <w:sz w:val="28"/>
                <w:szCs w:val="28"/>
              </w:rPr>
              <w:t>8029.4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万元，其中：预算安排</w:t>
            </w:r>
            <w:r>
              <w:rPr>
                <w:rFonts w:ascii="宋体" w:cs="宋体"/>
                <w:kern w:val="0"/>
                <w:sz w:val="28"/>
                <w:szCs w:val="28"/>
              </w:rPr>
              <w:t>8029.4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、支出情况</w:t>
            </w:r>
            <w:r>
              <w:rPr>
                <w:rFonts w:ascii="宋体" w:cs="宋体"/>
                <w:kern w:val="0"/>
                <w:sz w:val="28"/>
                <w:szCs w:val="28"/>
              </w:rPr>
              <w:t>: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全年支出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5368.8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</w:t>
            </w:r>
            <w:r>
              <w:rPr>
                <w:rFonts w:asci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其中：基本支出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1130.2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万元（工资福利支出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835.8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万元，商品和服务支出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219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万元，对个人和家庭补助支出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 xml:space="preserve"> 55.8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万元，资本性支出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19.6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万元），项目支出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4238.6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二、部门（单位）整体支出管理及使用情况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（一）基本支出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、部门整体支出情况分析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2019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年整体支出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 xml:space="preserve"> 5368.9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万元，其中基本支出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1130.2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万元，人员支出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891.6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万元，占基本支出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79%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，公用支出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238.6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万元，占基本支出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21 %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。项目支出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4238.6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、“三公经费”支出情况分析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2019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年“三公经费”预算</w:t>
            </w:r>
            <w:r>
              <w:rPr>
                <w:rFonts w:ascii="宋体" w:cs="宋体"/>
                <w:kern w:val="0"/>
                <w:sz w:val="28"/>
                <w:szCs w:val="28"/>
              </w:rPr>
              <w:t>20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万元，实际开支</w:t>
            </w:r>
            <w:r>
              <w:rPr>
                <w:rFonts w:ascii="宋体" w:cs="宋体"/>
                <w:kern w:val="0"/>
                <w:sz w:val="28"/>
                <w:szCs w:val="28"/>
              </w:rPr>
              <w:t>11.7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万元。“三经费”比去年的</w:t>
            </w:r>
            <w:r>
              <w:rPr>
                <w:rFonts w:ascii="宋体" w:cs="宋体"/>
                <w:kern w:val="0"/>
                <w:sz w:val="28"/>
                <w:szCs w:val="28"/>
              </w:rPr>
              <w:t>22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万元压缩了</w:t>
            </w:r>
            <w:r>
              <w:rPr>
                <w:rFonts w:ascii="宋体" w:cs="宋体"/>
                <w:kern w:val="0"/>
                <w:sz w:val="28"/>
                <w:szCs w:val="28"/>
              </w:rPr>
              <w:t>10.3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万元，比年初预算减少</w:t>
            </w:r>
            <w:r>
              <w:rPr>
                <w:rFonts w:ascii="宋体" w:cs="宋体"/>
                <w:kern w:val="0"/>
                <w:sz w:val="28"/>
                <w:szCs w:val="28"/>
              </w:rPr>
              <w:t>8.3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万元，控制在预算之内。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3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、固定资产管理情况分析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按照例行节约，物尽其用的原则，资产管理采取统一建账，统一核算管理，对每件固定资产使用明确保管职责，闲置的资产，由办公室统一调整，合理流动，发挥其效益；至</w:t>
            </w:r>
            <w:r>
              <w:rPr>
                <w:rFonts w:ascii="宋体" w:cs="宋体"/>
                <w:kern w:val="0"/>
                <w:sz w:val="28"/>
                <w:szCs w:val="28"/>
              </w:rPr>
              <w:t>2019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cs="宋体"/>
                <w:kern w:val="0"/>
                <w:sz w:val="28"/>
                <w:szCs w:val="28"/>
              </w:rPr>
              <w:t>12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月末固定资产</w:t>
            </w:r>
            <w:r>
              <w:rPr>
                <w:rFonts w:ascii="宋体" w:cs="宋体"/>
                <w:kern w:val="0"/>
                <w:sz w:val="28"/>
                <w:szCs w:val="28"/>
              </w:rPr>
              <w:t>243.8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</w:t>
            </w:r>
            <w:r>
              <w:rPr>
                <w:rFonts w:ascii="宋体" w:cs="宋体"/>
                <w:kern w:val="0"/>
                <w:sz w:val="28"/>
                <w:szCs w:val="28"/>
              </w:rPr>
              <w:t>.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（二）专项支出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2019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年项目总支出</w:t>
            </w:r>
            <w:r>
              <w:rPr>
                <w:rFonts w:ascii="宋体" w:cs="宋体"/>
                <w:kern w:val="0"/>
                <w:sz w:val="28"/>
                <w:szCs w:val="28"/>
              </w:rPr>
              <w:t>4238.6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万元，其中</w:t>
            </w:r>
            <w:r>
              <w:rPr>
                <w:rFonts w:ascii="宋体" w:cs="宋体"/>
                <w:kern w:val="0"/>
                <w:sz w:val="28"/>
                <w:szCs w:val="28"/>
              </w:rPr>
              <w:t>2018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年现代现代农业特色产业集聚区建设资金</w:t>
            </w:r>
            <w:r>
              <w:rPr>
                <w:rFonts w:ascii="宋体" w:cs="宋体"/>
                <w:kern w:val="0"/>
                <w:sz w:val="28"/>
                <w:szCs w:val="28"/>
              </w:rPr>
              <w:t>600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</w:t>
            </w:r>
            <w:r>
              <w:rPr>
                <w:rFonts w:ascii="宋体" w:cs="宋体"/>
                <w:kern w:val="0"/>
                <w:sz w:val="28"/>
                <w:szCs w:val="28"/>
              </w:rPr>
              <w:t>2018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年中央农产品产地初加工专项资金</w:t>
            </w:r>
            <w:r>
              <w:rPr>
                <w:rFonts w:ascii="宋体" w:cs="宋体"/>
                <w:kern w:val="0"/>
                <w:sz w:val="28"/>
                <w:szCs w:val="28"/>
              </w:rPr>
              <w:t>240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</w:t>
            </w:r>
            <w:r>
              <w:rPr>
                <w:rFonts w:ascii="宋体" w:cs="宋体"/>
                <w:kern w:val="0"/>
                <w:sz w:val="28"/>
                <w:szCs w:val="28"/>
              </w:rPr>
              <w:t>2018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年新增粮食生产能力规划田间工程建设项目</w:t>
            </w:r>
            <w:r>
              <w:rPr>
                <w:rFonts w:ascii="宋体" w:cs="宋体"/>
                <w:kern w:val="0"/>
                <w:sz w:val="28"/>
                <w:szCs w:val="28"/>
              </w:rPr>
              <w:t>777.7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万元，农村一二三产业融合强镇试点资金</w:t>
            </w:r>
            <w:r>
              <w:rPr>
                <w:rFonts w:ascii="宋体" w:cs="宋体"/>
                <w:kern w:val="0"/>
                <w:sz w:val="28"/>
                <w:szCs w:val="28"/>
              </w:rPr>
              <w:t>500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</w:t>
            </w:r>
            <w:r>
              <w:rPr>
                <w:rFonts w:ascii="宋体" w:cs="宋体"/>
                <w:kern w:val="0"/>
                <w:sz w:val="28"/>
                <w:szCs w:val="28"/>
              </w:rPr>
              <w:t>2016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年农业环境突出问题治理项目</w:t>
            </w:r>
            <w:r>
              <w:rPr>
                <w:rFonts w:ascii="宋体" w:cs="宋体"/>
                <w:kern w:val="0"/>
                <w:sz w:val="28"/>
                <w:szCs w:val="28"/>
              </w:rPr>
              <w:t>438.7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万元，棉花目标价格改革中央补贴资金</w:t>
            </w:r>
            <w:r>
              <w:rPr>
                <w:rFonts w:ascii="宋体" w:cs="宋体"/>
                <w:kern w:val="0"/>
                <w:sz w:val="28"/>
                <w:szCs w:val="28"/>
              </w:rPr>
              <w:t>265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万元，其他农业专项资金</w:t>
            </w:r>
            <w:r>
              <w:rPr>
                <w:rFonts w:ascii="宋体" w:cs="宋体"/>
                <w:kern w:val="0"/>
                <w:sz w:val="28"/>
                <w:szCs w:val="28"/>
              </w:rPr>
              <w:t>1417.2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万元。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三、部门（单位）专项组织实施情况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（一）专项组织情况分析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（二）专项管理情况分析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四、部门（单位）整体支出绩效情况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2019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</w:t>
            </w:r>
            <w:r>
              <w:rPr>
                <w:rFonts w:ascii="宋体" w:cs="宋体"/>
                <w:kern w:val="0"/>
                <w:sz w:val="28"/>
                <w:szCs w:val="28"/>
              </w:rPr>
              <w:t>2019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年度部门整体支出绩效情况如下：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1.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严格预算支出管理。在支出预算编制上，人员经费按照配置定额，逐人核定编制，公用经费分类分档，按定额编制；根据“总量控制、计划管理”的要求从严控制行政经费，压缩一般性支出，严格控制“三公”经费，资产的配置严格政府采购，按照预算科目和项目资金的规定使用财政资金，保障部门整体支出的规范化、制度化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cs="宋体"/>
                <w:kern w:val="0"/>
                <w:sz w:val="28"/>
                <w:szCs w:val="28"/>
              </w:rPr>
              <w:t>2.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财务管理上，按照国家相关法律法规，制定了机关财务、公物购置使用、接待、会务、车辆使用等管理制度，并严格按照制度管理和执行，防范风险，保证财政资金的安全和高效运行。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根据考核评分细则，严格按照国家的相关财务管理制度规定，财务制度健全、会计核算规范，依照计划管理使用，整体支出对保障正常运行、贯彻执行国家方针、政策、法律法规，发挥了重要作用，强化部门的责任，取得了一定的成绩，确保全县各项社会稳定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五、存在的主要问题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一是“三公经费”有待更严格控制</w:t>
            </w:r>
            <w:r>
              <w:rPr>
                <w:rFonts w:ascii="宋体" w:cs="宋体"/>
                <w:kern w:val="0"/>
                <w:sz w:val="28"/>
                <w:szCs w:val="28"/>
              </w:rPr>
              <w:t>,</w:t>
            </w:r>
            <w:r>
              <w:rPr>
                <w:rFonts w:hint="eastAsia" w:ascii="宋体" w:cs="宋体"/>
                <w:kern w:val="0"/>
                <w:sz w:val="28"/>
                <w:szCs w:val="28"/>
              </w:rPr>
              <w:t>进一步加强厉行节约机制。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二是预算编制与实际支出项目有的存在差异，有待进一步优化预算，提高预算编制的准确性。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三是进一步完善差旅审批、会议审批、接待审批及培训审批制度和财务报账手续。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六、改进措施和有关建议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一是按照预算规定的项目和用途严格财务审核，经费支出严格按预算规定项目的财务支出内容进行财务核算，在预算金额内严格控制费用的支出。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二是严格控制“三公经费”支出，杜绝挪用和挤占其他预算资金；进一步细化“三公经费”管理，压缩“三公经费”支出。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line="560" w:lineRule="exact"/>
              <w:ind w:firstLine="560" w:firstLineChars="2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kern w:val="0"/>
                <w:sz w:val="28"/>
                <w:szCs w:val="28"/>
              </w:rPr>
              <w:t>三是预算财务分析常态化，定期做好预算支出财务分析，做好部门整体支出预算评价工作。</w:t>
            </w:r>
          </w:p>
          <w:p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firstLine="64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200" w:lineRule="exact"/>
        <w:rPr>
          <w:rFonts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sz w:val="24"/>
        <w:szCs w:val="24"/>
      </w:rPr>
      <w:t xml:space="preserve">— </w:t>
    </w:r>
    <w:r>
      <w:rPr>
        <w:rStyle w:val="6"/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rStyle w:val="6"/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rStyle w:val="6"/>
        <w:sz w:val="24"/>
        <w:szCs w:val="24"/>
      </w:rPr>
      <w:fldChar w:fldCharType="end"/>
    </w:r>
    <w:r>
      <w:rPr>
        <w:rStyle w:val="6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sz w:val="24"/>
        <w:szCs w:val="24"/>
      </w:rPr>
      <w:t xml:space="preserve">— </w:t>
    </w:r>
    <w:r>
      <w:rPr>
        <w:rStyle w:val="6"/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rStyle w:val="6"/>
        <w:sz w:val="24"/>
        <w:szCs w:val="24"/>
      </w:rPr>
      <w:fldChar w:fldCharType="separate"/>
    </w:r>
    <w:r>
      <w:rPr>
        <w:rStyle w:val="6"/>
        <w:sz w:val="24"/>
        <w:szCs w:val="24"/>
      </w:rPr>
      <w:t>2</w:t>
    </w:r>
    <w:r>
      <w:rPr>
        <w:rStyle w:val="6"/>
        <w:sz w:val="24"/>
        <w:szCs w:val="24"/>
      </w:rPr>
      <w:fldChar w:fldCharType="end"/>
    </w:r>
    <w:r>
      <w:rPr>
        <w:rStyle w:val="6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CE55C20"/>
    <w:rsid w:val="0003223A"/>
    <w:rsid w:val="00097416"/>
    <w:rsid w:val="000E1A40"/>
    <w:rsid w:val="000F5035"/>
    <w:rsid w:val="00156F22"/>
    <w:rsid w:val="00236513"/>
    <w:rsid w:val="0028146E"/>
    <w:rsid w:val="00350A5C"/>
    <w:rsid w:val="003B78E9"/>
    <w:rsid w:val="003D1FB8"/>
    <w:rsid w:val="003F5E2F"/>
    <w:rsid w:val="00404F9F"/>
    <w:rsid w:val="00465627"/>
    <w:rsid w:val="004B3AC8"/>
    <w:rsid w:val="004D4982"/>
    <w:rsid w:val="00500CDC"/>
    <w:rsid w:val="0051676C"/>
    <w:rsid w:val="005755EA"/>
    <w:rsid w:val="00593D62"/>
    <w:rsid w:val="005A6BD3"/>
    <w:rsid w:val="005C3A4C"/>
    <w:rsid w:val="0060750A"/>
    <w:rsid w:val="00611058"/>
    <w:rsid w:val="00637FF9"/>
    <w:rsid w:val="00644440"/>
    <w:rsid w:val="006A3C22"/>
    <w:rsid w:val="00712402"/>
    <w:rsid w:val="00752B87"/>
    <w:rsid w:val="00775C4F"/>
    <w:rsid w:val="007B2063"/>
    <w:rsid w:val="007E0B28"/>
    <w:rsid w:val="008277A9"/>
    <w:rsid w:val="00865166"/>
    <w:rsid w:val="0089025A"/>
    <w:rsid w:val="008B0B5F"/>
    <w:rsid w:val="008D3BA5"/>
    <w:rsid w:val="009368A9"/>
    <w:rsid w:val="009701A3"/>
    <w:rsid w:val="00AC6FAF"/>
    <w:rsid w:val="00AD1926"/>
    <w:rsid w:val="00B121B2"/>
    <w:rsid w:val="00B60AD2"/>
    <w:rsid w:val="00BD24E4"/>
    <w:rsid w:val="00BF1CD3"/>
    <w:rsid w:val="00C70DD6"/>
    <w:rsid w:val="00CF5A8E"/>
    <w:rsid w:val="00D74DAB"/>
    <w:rsid w:val="00DD6E9E"/>
    <w:rsid w:val="00E75671"/>
    <w:rsid w:val="00E8313D"/>
    <w:rsid w:val="00F44621"/>
    <w:rsid w:val="00F555F5"/>
    <w:rsid w:val="083749E7"/>
    <w:rsid w:val="0DE528CD"/>
    <w:rsid w:val="18725427"/>
    <w:rsid w:val="1B0F7468"/>
    <w:rsid w:val="263C173A"/>
    <w:rsid w:val="2CA33441"/>
    <w:rsid w:val="2CE55C20"/>
    <w:rsid w:val="2F287302"/>
    <w:rsid w:val="30426D13"/>
    <w:rsid w:val="3A43255A"/>
    <w:rsid w:val="3D6201A1"/>
    <w:rsid w:val="477245B4"/>
    <w:rsid w:val="4E4F0BB0"/>
    <w:rsid w:val="527B5610"/>
    <w:rsid w:val="5BE95901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qFormat/>
    <w:uiPriority w:val="99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Body Text Indent 2 Char"/>
    <w:basedOn w:val="5"/>
    <w:link w:val="2"/>
    <w:semiHidden/>
    <w:qFormat/>
    <w:locked/>
    <w:uiPriority w:val="99"/>
    <w:rPr>
      <w:rFonts w:cs="Times New Roman"/>
      <w:sz w:val="24"/>
      <w:szCs w:val="24"/>
    </w:rPr>
  </w:style>
  <w:style w:type="character" w:customStyle="1" w:styleId="8">
    <w:name w:val="Foot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标题 3 Char Char"/>
    <w:qFormat/>
    <w:uiPriority w:val="99"/>
    <w:rPr>
      <w:rFonts w:eastAsia="楷体_GB2312"/>
      <w:b/>
      <w:kern w:val="2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1916</Words>
  <Characters>10924</Characters>
  <Lines>0</Lines>
  <Paragraphs>0</Paragraphs>
  <TotalTime>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2019-08-12T01:11:00Z</cp:lastPrinted>
  <dcterms:modified xsi:type="dcterms:W3CDTF">2020-12-10T01:07:16Z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