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8" w:lineRule="auto"/>
        <w:rPr>
          <w:rFonts w:hint="eastAsia" w:ascii="黑体" w:hAnsi="黑体" w:eastAsia="黑体" w:cs="黑体"/>
          <w:bCs/>
          <w:sz w:val="32"/>
          <w:szCs w:val="32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附件2-1</w:t>
      </w:r>
    </w:p>
    <w:p>
      <w:pPr>
        <w:spacing w:line="348" w:lineRule="auto"/>
        <w:jc w:val="center"/>
        <w:rPr>
          <w:rFonts w:hint="eastAsia" w:eastAsia="方正小标宋简体"/>
          <w:bCs/>
          <w:sz w:val="42"/>
          <w:szCs w:val="42"/>
        </w:rPr>
      </w:pP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  <w:lang w:eastAsia="zh-CN"/>
        </w:rPr>
        <w:t>华容县</w:t>
      </w:r>
      <w:r>
        <w:rPr>
          <w:rFonts w:hint="eastAsia" w:eastAsia="方正小标宋简体"/>
          <w:bCs/>
          <w:sz w:val="46"/>
          <w:szCs w:val="46"/>
        </w:rPr>
        <w:t>20</w:t>
      </w:r>
      <w:r>
        <w:rPr>
          <w:rFonts w:hint="eastAsia" w:eastAsia="方正小标宋简体"/>
          <w:bCs/>
          <w:sz w:val="46"/>
          <w:szCs w:val="46"/>
          <w:u w:val="single"/>
        </w:rPr>
        <w:t>1</w:t>
      </w:r>
      <w:r>
        <w:rPr>
          <w:rFonts w:hint="eastAsia" w:eastAsia="方正小标宋简体"/>
          <w:bCs/>
          <w:sz w:val="46"/>
          <w:szCs w:val="46"/>
          <w:u w:val="single"/>
          <w:lang w:val="en-US" w:eastAsia="zh-CN"/>
        </w:rPr>
        <w:t>9</w:t>
      </w:r>
      <w:r>
        <w:rPr>
          <w:rFonts w:hint="eastAsia" w:eastAsia="方正小标宋简体"/>
          <w:bCs/>
          <w:sz w:val="46"/>
          <w:szCs w:val="46"/>
        </w:rPr>
        <w:t>年度部门整体支出</w:t>
      </w:r>
    </w:p>
    <w:p>
      <w:pPr>
        <w:spacing w:line="800" w:lineRule="exact"/>
        <w:jc w:val="center"/>
        <w:rPr>
          <w:rFonts w:hint="eastAsia" w:eastAsia="方正小标宋简体"/>
          <w:bCs/>
          <w:sz w:val="46"/>
          <w:szCs w:val="46"/>
        </w:rPr>
      </w:pPr>
      <w:r>
        <w:rPr>
          <w:rFonts w:hint="eastAsia" w:eastAsia="方正小标宋简体"/>
          <w:bCs/>
          <w:sz w:val="46"/>
          <w:szCs w:val="46"/>
        </w:rPr>
        <w:t>绩效评价自评报告</w:t>
      </w: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rPr>
          <w:rFonts w:hint="eastAsia" w:eastAsia="仿宋_GB2312"/>
          <w:b/>
          <w:sz w:val="32"/>
        </w:rPr>
      </w:pP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  <w:u w:val="single"/>
        </w:rPr>
      </w:pPr>
      <w:r>
        <w:rPr>
          <w:rFonts w:hint="eastAsia" w:eastAsia="仿宋_GB2312"/>
          <w:sz w:val="32"/>
          <w:szCs w:val="32"/>
        </w:rPr>
        <w:t>部门(单位)名称：</w:t>
      </w:r>
      <w:r>
        <w:rPr>
          <w:rFonts w:hint="eastAsia" w:eastAsia="仿宋_GB2312"/>
          <w:sz w:val="32"/>
          <w:szCs w:val="32"/>
          <w:u w:val="single"/>
        </w:rPr>
        <w:t xml:space="preserve"> </w:t>
      </w:r>
      <w:r>
        <w:rPr>
          <w:rFonts w:hint="eastAsia" w:eastAsia="仿宋_GB2312"/>
          <w:sz w:val="32"/>
          <w:szCs w:val="32"/>
          <w:u w:val="single"/>
          <w:lang w:eastAsia="zh-CN"/>
        </w:rPr>
        <w:t>华容县财政局</w:t>
      </w:r>
      <w:r>
        <w:rPr>
          <w:rFonts w:hint="eastAsia" w:eastAsia="仿宋_GB2312"/>
          <w:sz w:val="32"/>
          <w:szCs w:val="32"/>
          <w:u w:val="single"/>
        </w:rPr>
        <w:t xml:space="preserve">                  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pacing w:val="20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预</w:t>
      </w:r>
      <w:r>
        <w:rPr>
          <w:rFonts w:hint="eastAsia" w:eastAsia="仿宋_GB2312"/>
          <w:spacing w:val="30"/>
          <w:sz w:val="32"/>
          <w:szCs w:val="32"/>
        </w:rPr>
        <w:t xml:space="preserve"> 算 编 码：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</w:t>
      </w:r>
      <w:r>
        <w:rPr>
          <w:rFonts w:hint="eastAsia" w:eastAsia="仿宋_GB2312"/>
          <w:spacing w:val="20"/>
          <w:sz w:val="32"/>
          <w:szCs w:val="32"/>
          <w:u w:val="single"/>
          <w:lang w:val="en-US" w:eastAsia="zh-CN"/>
        </w:rPr>
        <w:t>108001</w:t>
      </w:r>
      <w:r>
        <w:rPr>
          <w:rFonts w:hint="eastAsia" w:eastAsia="仿宋_GB2312"/>
          <w:spacing w:val="20"/>
          <w:sz w:val="32"/>
          <w:szCs w:val="32"/>
          <w:u w:val="single"/>
        </w:rPr>
        <w:t xml:space="preserve">                       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>评价方式：部门（单位）绩效自评</w:t>
      </w:r>
    </w:p>
    <w:p>
      <w:pPr>
        <w:spacing w:before="301" w:beforeLines="50" w:line="348" w:lineRule="auto"/>
        <w:ind w:firstLine="476" w:firstLineChars="150"/>
        <w:rPr>
          <w:rFonts w:hint="eastAsia" w:eastAsia="仿宋_GB2312"/>
          <w:sz w:val="32"/>
          <w:szCs w:val="32"/>
        </w:rPr>
      </w:pPr>
      <w:r>
        <w:rPr>
          <w:rFonts w:hint="eastAsia" w:eastAsia="仿宋_GB2312"/>
          <w:sz w:val="32"/>
          <w:szCs w:val="32"/>
        </w:rPr>
        <w:t xml:space="preserve">评价机构：部门（单位）评价组   </w:t>
      </w: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720" w:lineRule="exact"/>
        <w:ind w:firstLine="2188" w:firstLineChars="690"/>
        <w:rPr>
          <w:rFonts w:hint="eastAsia" w:eastAsia="仿宋_GB2312"/>
          <w:sz w:val="32"/>
        </w:rPr>
      </w:pPr>
    </w:p>
    <w:p>
      <w:pPr>
        <w:spacing w:line="348" w:lineRule="auto"/>
        <w:jc w:val="center"/>
        <w:rPr>
          <w:rFonts w:hint="eastAsia" w:eastAsia="仿宋_GB2312"/>
          <w:sz w:val="32"/>
        </w:rPr>
      </w:pPr>
      <w:r>
        <w:rPr>
          <w:rFonts w:hint="eastAsia" w:eastAsia="仿宋_GB2312"/>
          <w:sz w:val="32"/>
        </w:rPr>
        <w:t xml:space="preserve">报告日期：  </w:t>
      </w:r>
      <w:r>
        <w:rPr>
          <w:rFonts w:hint="eastAsia" w:eastAsia="仿宋_GB2312"/>
          <w:sz w:val="32"/>
          <w:lang w:val="en-US" w:eastAsia="zh-CN"/>
        </w:rPr>
        <w:t>2020</w:t>
      </w:r>
      <w:r>
        <w:rPr>
          <w:rFonts w:hint="eastAsia" w:eastAsia="仿宋_GB2312"/>
          <w:sz w:val="32"/>
        </w:rPr>
        <w:t xml:space="preserve"> 年  </w:t>
      </w:r>
      <w:r>
        <w:rPr>
          <w:rFonts w:hint="eastAsia" w:eastAsia="仿宋_GB2312"/>
          <w:sz w:val="32"/>
          <w:lang w:val="en-US" w:eastAsia="zh-CN"/>
        </w:rPr>
        <w:t>10</w:t>
      </w:r>
      <w:r>
        <w:rPr>
          <w:rFonts w:hint="eastAsia" w:eastAsia="仿宋_GB2312"/>
          <w:sz w:val="32"/>
        </w:rPr>
        <w:t xml:space="preserve"> 月 </w:t>
      </w:r>
      <w:r>
        <w:rPr>
          <w:rFonts w:hint="eastAsia" w:eastAsia="仿宋_GB2312"/>
          <w:sz w:val="32"/>
          <w:lang w:val="en-US" w:eastAsia="zh-CN"/>
        </w:rPr>
        <w:t>15</w:t>
      </w:r>
      <w:r>
        <w:rPr>
          <w:rFonts w:hint="eastAsia" w:eastAsia="仿宋_GB2312"/>
          <w:sz w:val="32"/>
        </w:rPr>
        <w:t>日</w:t>
      </w:r>
    </w:p>
    <w:p>
      <w:pPr>
        <w:autoSpaceDN w:val="0"/>
        <w:jc w:val="center"/>
        <w:textAlignment w:val="center"/>
        <w:rPr>
          <w:rFonts w:hint="eastAsia" w:eastAsia="仿宋_GB2312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1588" w:right="1588" w:bottom="1588" w:left="1588" w:header="851" w:footer="992" w:gutter="0"/>
          <w:pgNumType w:start="1"/>
          <w:cols w:space="720" w:num="1"/>
          <w:docGrid w:type="linesAndChars" w:linePitch="602" w:charSpace="-782"/>
        </w:sectPr>
      </w:pPr>
      <w:r>
        <w:rPr>
          <w:rFonts w:hint="eastAsia" w:eastAsia="仿宋_GB2312"/>
          <w:sz w:val="32"/>
          <w:lang w:eastAsia="zh-CN"/>
        </w:rPr>
        <w:t>华容县</w:t>
      </w:r>
      <w:r>
        <w:rPr>
          <w:rFonts w:hint="eastAsia" w:eastAsia="仿宋_GB2312"/>
          <w:sz w:val="32"/>
        </w:rPr>
        <w:t>财政</w:t>
      </w:r>
      <w:r>
        <w:rPr>
          <w:rFonts w:hint="eastAsia" w:eastAsia="仿宋_GB2312"/>
          <w:sz w:val="32"/>
          <w:szCs w:val="32"/>
        </w:rPr>
        <w:t>局（制）</w:t>
      </w:r>
    </w:p>
    <w:tbl>
      <w:tblPr>
        <w:tblStyle w:val="6"/>
        <w:tblW w:w="980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5" w:type="dxa"/>
          <w:bottom w:w="0" w:type="dxa"/>
          <w:right w:w="15" w:type="dxa"/>
        </w:tblCellMar>
      </w:tblPr>
      <w:tblGrid>
        <w:gridCol w:w="1441"/>
        <w:gridCol w:w="213"/>
        <w:gridCol w:w="46"/>
        <w:gridCol w:w="1080"/>
        <w:gridCol w:w="210"/>
        <w:gridCol w:w="1145"/>
        <w:gridCol w:w="272"/>
        <w:gridCol w:w="808"/>
        <w:gridCol w:w="1479"/>
        <w:gridCol w:w="226"/>
        <w:gridCol w:w="196"/>
        <w:gridCol w:w="259"/>
        <w:gridCol w:w="1080"/>
        <w:gridCol w:w="265"/>
        <w:gridCol w:w="139"/>
        <w:gridCol w:w="316"/>
        <w:gridCol w:w="62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一、部门（单位）基本概况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联系人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彭婧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联络电话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4211636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人员编制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141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实有人数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140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50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职能职责概述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根据本县经济和社会发展战略，编制本县中长期财政计划；参与制定本县重大经济决策；贯彻执行国家有关财政分配政策；编制本县年度预决算草案并组织执行；制定财政和预算收入计划；管理县级财政公共支出和各项专款；拟定和执行政府采购办法；管理社会保障支出；监督会计规章制度的执行情况；负责全县的国有资产管理工作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464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年度主要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工作内容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1、编制本县年度预决算草案并组织执行；</w:t>
            </w:r>
          </w:p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2、制定财政和预算收入计划；</w:t>
            </w:r>
          </w:p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eastAsia="仿宋_GB2312"/>
                <w:kern w:val="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3、管理县级财政公共支出和各项专款；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4、管理和监督政府采购、社会保障、会计制度执行及国有资产工作等。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26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pacing w:val="-6"/>
                <w:sz w:val="24"/>
              </w:rPr>
              <w:t>年度部门（单位）总体运行情况及取得的成绩</w:t>
            </w:r>
          </w:p>
        </w:tc>
        <w:tc>
          <w:tcPr>
            <w:tcW w:w="8146" w:type="dxa"/>
            <w:gridSpan w:val="15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eastAsia="仿宋_GB2312"/>
                <w:kern w:val="0"/>
                <w:sz w:val="24"/>
              </w:rPr>
              <w:t>积极组织财政收入，认真加强预算管理和财政监督；全面推进财政科学化、精细化管理水平；规范政府采购行为以及做好项目建设服务等相关工作，确保了财政各项经济指标的圆满完成。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二、部门（单位）收支情况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年度收入情况（万元）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01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上年结转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公共财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政拨款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政府基金拨款</w:t>
            </w: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纳入专户管理的非税收入拨款</w:t>
            </w: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收入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772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sz w:val="24"/>
                <w:szCs w:val="24"/>
                <w:lang w:val="zh-CN" w:eastAsia="zh-CN"/>
              </w:rPr>
              <w:t>2,565.6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sz w:val="24"/>
                <w:szCs w:val="24"/>
                <w:lang w:val="zh-CN" w:eastAsia="zh-CN"/>
              </w:rPr>
              <w:t>2,565.6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sz w:val="24"/>
                <w:szCs w:val="24"/>
                <w:lang w:val="zh-CN" w:eastAsia="zh-CN"/>
              </w:rPr>
              <w:t>2,565.6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spacing w:line="32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sz w:val="24"/>
                <w:szCs w:val="24"/>
                <w:lang w:val="zh-CN" w:eastAsia="zh-CN"/>
              </w:rPr>
              <w:t>2,565.6</w:t>
            </w: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705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80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3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sz w:val="24"/>
              </w:rPr>
              <w:t>部门（单位）年度支出和结余情况（万元）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napToGrid w:val="0"/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支出合计</w:t>
            </w:r>
          </w:p>
        </w:tc>
        <w:tc>
          <w:tcPr>
            <w:tcW w:w="5675" w:type="dxa"/>
            <w:gridSpan w:val="9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345" w:type="dxa"/>
            <w:gridSpan w:val="4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基本支出</w:t>
            </w:r>
          </w:p>
        </w:tc>
        <w:tc>
          <w:tcPr>
            <w:tcW w:w="3240" w:type="dxa"/>
            <w:gridSpan w:val="6"/>
            <w:tcBorders>
              <w:top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108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项目支出</w:t>
            </w:r>
          </w:p>
        </w:tc>
        <w:tc>
          <w:tcPr>
            <w:tcW w:w="720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当年结余</w:t>
            </w:r>
          </w:p>
        </w:tc>
        <w:tc>
          <w:tcPr>
            <w:tcW w:w="625" w:type="dxa"/>
            <w:vMerge w:val="restart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累计结余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人员支出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公用支出</w:t>
            </w: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77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/>
                <w:color w:val="000000"/>
                <w:sz w:val="24"/>
                <w:szCs w:val="24"/>
                <w:lang w:val="zh-CN" w:eastAsia="zh-CN"/>
              </w:rPr>
              <w:t>2,565.6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宋体" w:hAnsi="Times New Roman"/>
                <w:sz w:val="24"/>
                <w:szCs w:val="24"/>
                <w:highlight w:val="white"/>
                <w:lang w:val="zh-CN"/>
              </w:rPr>
              <w:t>1,653.96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Times New Roman"/>
                <w:kern w:val="0"/>
                <w:sz w:val="21"/>
                <w:szCs w:val="21"/>
                <w:highlight w:val="white"/>
              </w:rPr>
              <w:t>1,344.41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1"/>
                <w:szCs w:val="21"/>
              </w:rPr>
            </w:pPr>
            <w:r>
              <w:rPr>
                <w:rFonts w:hint="eastAsia" w:ascii="宋体" w:hAnsi="Times New Roman"/>
                <w:kern w:val="0"/>
                <w:sz w:val="21"/>
                <w:szCs w:val="21"/>
                <w:highlight w:val="white"/>
              </w:rPr>
              <w:t>309.55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宋体" w:hAnsi="Times New Roman"/>
                <w:sz w:val="24"/>
                <w:szCs w:val="24"/>
                <w:highlight w:val="white"/>
              </w:rPr>
              <w:t>911.63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/>
                <w:color w:val="000000"/>
                <w:sz w:val="24"/>
                <w:szCs w:val="24"/>
                <w:lang w:val="zh-CN" w:eastAsia="zh-CN"/>
              </w:rPr>
              <w:t>2,565.6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/>
                <w:sz w:val="24"/>
                <w:szCs w:val="24"/>
                <w:highlight w:val="white"/>
                <w:lang w:val="zh-CN"/>
              </w:rPr>
              <w:t>1,653.96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Times New Roman"/>
                <w:kern w:val="0"/>
                <w:sz w:val="21"/>
                <w:szCs w:val="21"/>
                <w:highlight w:val="white"/>
              </w:rPr>
              <w:t>1,344.41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Times New Roman"/>
                <w:kern w:val="0"/>
                <w:sz w:val="21"/>
                <w:szCs w:val="21"/>
                <w:highlight w:val="white"/>
              </w:rPr>
              <w:t>309.55</w:t>
            </w: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/>
                <w:sz w:val="24"/>
                <w:szCs w:val="24"/>
                <w:highlight w:val="white"/>
              </w:rPr>
              <w:t>911.63</w:t>
            </w: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720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625" w:type="dxa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三公经费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7020" w:type="dxa"/>
            <w:gridSpan w:val="13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公务接待费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公务用车运维费</w:t>
            </w: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公务用车购置费</w:t>
            </w: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因公出国费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8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/>
                <w:sz w:val="24"/>
                <w:szCs w:val="24"/>
                <w:highlight w:val="white"/>
                <w:lang w:val="zh-CN"/>
              </w:rPr>
              <w:t>21.8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Times New Roman"/>
                <w:sz w:val="24"/>
                <w:szCs w:val="24"/>
                <w:highlight w:val="white"/>
                <w:lang w:val="zh-CN"/>
              </w:rPr>
              <w:t>21.8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Times New Roman"/>
                <w:sz w:val="24"/>
                <w:szCs w:val="24"/>
                <w:highlight w:val="white"/>
                <w:lang w:val="zh-CN"/>
              </w:rPr>
              <w:t>21.8</w:t>
            </w: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宋体" w:hAnsi="Times New Roman"/>
                <w:sz w:val="24"/>
                <w:szCs w:val="24"/>
                <w:highlight w:val="white"/>
                <w:lang w:val="zh-CN"/>
              </w:rPr>
              <w:t>21.8</w:t>
            </w: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355" w:type="dxa"/>
            <w:gridSpan w:val="2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080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160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25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机构名称</w:t>
            </w:r>
          </w:p>
        </w:tc>
        <w:tc>
          <w:tcPr>
            <w:tcW w:w="1080" w:type="dxa"/>
            <w:vMerge w:val="restart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固定资产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合计</w:t>
            </w:r>
          </w:p>
        </w:tc>
        <w:tc>
          <w:tcPr>
            <w:tcW w:w="6079" w:type="dxa"/>
            <w:gridSpan w:val="11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其中：</w:t>
            </w:r>
          </w:p>
        </w:tc>
        <w:tc>
          <w:tcPr>
            <w:tcW w:w="941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其他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080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在用固定资产</w:t>
            </w:r>
          </w:p>
        </w:tc>
        <w:tc>
          <w:tcPr>
            <w:tcW w:w="3644" w:type="dxa"/>
            <w:gridSpan w:val="7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出租固定资产</w:t>
            </w:r>
          </w:p>
        </w:tc>
        <w:tc>
          <w:tcPr>
            <w:tcW w:w="941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855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局机关及二级机构汇总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802.58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802.58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1、局机关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802.58</w:t>
            </w: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802.58</w:t>
            </w: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2、二级机构1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24" w:hRule="atLeast"/>
          <w:jc w:val="center"/>
        </w:trPr>
        <w:tc>
          <w:tcPr>
            <w:tcW w:w="1700" w:type="dxa"/>
            <w:gridSpan w:val="3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3、二级机构2</w:t>
            </w:r>
          </w:p>
        </w:tc>
        <w:tc>
          <w:tcPr>
            <w:tcW w:w="1080" w:type="dxa"/>
            <w:tcBorders>
              <w:righ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435" w:type="dxa"/>
            <w:gridSpan w:val="4"/>
            <w:tcBorders>
              <w:left w:val="single" w:color="auto" w:sz="4" w:space="0"/>
            </w:tcBorders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64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941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三、部门（单位）整体支出绩效自评情况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整体支出绩效定性目标及实施计划完成情况</w:t>
            </w: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预期目标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实际完成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1172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3774" w:type="dxa"/>
            <w:gridSpan w:val="7"/>
            <w:noWrap w:val="0"/>
            <w:vAlign w:val="center"/>
          </w:tcPr>
          <w:p>
            <w:pPr>
              <w:autoSpaceDN w:val="0"/>
              <w:spacing w:line="340" w:lineRule="exact"/>
              <w:ind w:left="819" w:hanging="840" w:hangingChars="350"/>
              <w:jc w:val="left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目标1：</w:t>
            </w:r>
            <w:r>
              <w:rPr>
                <w:rFonts w:hint="eastAsia" w:ascii="仿宋_GB2312" w:eastAsia="仿宋_GB2312"/>
                <w:szCs w:val="21"/>
              </w:rPr>
              <w:t>积极组织财政收入，强化预算执行管理。</w:t>
            </w:r>
          </w:p>
          <w:p>
            <w:pPr>
              <w:autoSpaceDN w:val="0"/>
              <w:spacing w:line="340" w:lineRule="exact"/>
              <w:ind w:left="819" w:hanging="840" w:hangingChars="350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目标2：优化支出结构，着力保障改善民生。</w:t>
            </w:r>
          </w:p>
          <w:p>
            <w:pPr>
              <w:autoSpaceDN w:val="0"/>
              <w:spacing w:line="340" w:lineRule="exact"/>
              <w:ind w:left="840" w:leftChars="0" w:hanging="840" w:hangingChars="400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Cs w:val="21"/>
              </w:rPr>
              <w:t>目标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3：</w:t>
            </w:r>
            <w:r>
              <w:rPr>
                <w:rFonts w:hint="eastAsia" w:ascii="仿宋_GB2312" w:eastAsia="仿宋_GB2312"/>
                <w:szCs w:val="21"/>
              </w:rPr>
              <w:t>深化财政管理改革，加强财政监督管理。</w:t>
            </w:r>
          </w:p>
        </w:tc>
        <w:tc>
          <w:tcPr>
            <w:tcW w:w="4585" w:type="dxa"/>
            <w:gridSpan w:val="9"/>
            <w:noWrap w:val="0"/>
            <w:vAlign w:val="center"/>
          </w:tcPr>
          <w:p>
            <w:pPr>
              <w:numPr>
                <w:ilvl w:val="0"/>
                <w:numId w:val="1"/>
              </w:numPr>
              <w:autoSpaceDN w:val="0"/>
              <w:spacing w:line="400" w:lineRule="exact"/>
              <w:ind w:left="0" w:firstLine="0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财政收入提质增长；</w:t>
            </w:r>
          </w:p>
          <w:p>
            <w:pPr>
              <w:numPr>
                <w:ilvl w:val="0"/>
                <w:numId w:val="1"/>
              </w:numPr>
              <w:autoSpaceDN w:val="0"/>
              <w:spacing w:line="400" w:lineRule="exac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服务发展成绩显著；</w:t>
            </w:r>
          </w:p>
          <w:p>
            <w:pPr>
              <w:numPr>
                <w:ilvl w:val="0"/>
                <w:numId w:val="1"/>
              </w:numPr>
              <w:autoSpaceDN w:val="0"/>
              <w:spacing w:line="400" w:lineRule="exac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社会事业全面进步；</w:t>
            </w:r>
          </w:p>
          <w:p>
            <w:pPr>
              <w:numPr>
                <w:ilvl w:val="0"/>
                <w:numId w:val="1"/>
              </w:numPr>
              <w:autoSpaceDN w:val="0"/>
              <w:spacing w:line="400" w:lineRule="exact"/>
              <w:ind w:left="720" w:leftChars="0" w:hanging="720" w:firstLineChars="0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改革管理有序推进。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441" w:type="dxa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整体支出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绩效定量目标及实施计划完成情况</w:t>
            </w:r>
          </w:p>
        </w:tc>
        <w:tc>
          <w:tcPr>
            <w:tcW w:w="2966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评价内容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绩效目标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完成情况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产出目标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（部门工作实绩，包含上级部门和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县委县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政府布置的重点工作、实事任务等，根据部门实际进行调整细化）</w:t>
            </w: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质量指标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40" w:lineRule="exact"/>
              <w:ind w:left="-13" w:leftChars="-6" w:firstLine="12" w:firstLineChars="5"/>
              <w:jc w:val="left"/>
              <w:textAlignment w:val="center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指标1：财政收入提质增长。</w:t>
            </w:r>
          </w:p>
          <w:p>
            <w:pPr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财政收入提质增长。一是增幅合理，二是质量提升，三是结构优化。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指标2：社会事业全面进步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集中财力用于经济社会发展重点领域，加大民生支出投入。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数量指标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指标1：财政收入迈上新台阶。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全年财政总收入完成10.7亿元，增长6%；地方收入完成6.23亿元，增长7.3%；地方税收收入完成4.3亿元，增长16.9%。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61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时效指标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指标1：综合运用资金、政策等手段，支持县域经济稳定发展。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最大限度争取转移支付和专项转移支付收入，支持重点项目建设，促进社会事业全面进步。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成本指标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指标1：加强财政监督，严控支出管理。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大力压减三公经费等一般性支出，实现公务支出大量减少。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……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restart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效益目标</w:t>
            </w:r>
          </w:p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（预期实现的效益）</w:t>
            </w: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指标1：统筹财政资金，控制压缩政府行政成本；保障教育、医疗、公共交通、养老助残等民生项目支出</w:t>
            </w:r>
          </w:p>
          <w:p>
            <w:pPr>
              <w:autoSpaceDN w:val="0"/>
              <w:spacing w:line="34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400" w:lineRule="exact"/>
              <w:textAlignment w:val="center"/>
              <w:rPr>
                <w:rFonts w:hint="eastAsia" w:ascii="仿宋_GB2312" w:hAnsi="仿宋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大力压减三公经费等一般性公务支出，集中财力用于经济社会发展的重点领域和薄弱环节。加大民生支出投入力度，一批重点民生问题得到了有效解决。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经济效益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指标1：发挥财政资金引导作用及财政政策宏观调控作用，服务县域经济发展</w:t>
            </w:r>
          </w:p>
          <w:p>
            <w:pPr>
              <w:autoSpaceDN w:val="0"/>
              <w:spacing w:line="34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指标2：</w:t>
            </w: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优化支出结构，着力保障改善民生。推进各项财政改革，加强预算绩效管理，提高财政资金使用效益。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生态效益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指标1：社会事业全面进步</w:t>
            </w:r>
          </w:p>
          <w:p>
            <w:pPr>
              <w:autoSpaceDN w:val="0"/>
              <w:spacing w:line="34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保障文明县城、城乡绿化行动、水利攻坚行动、农村环境整治等重点民生项目建设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454" w:hRule="atLeast"/>
          <w:jc w:val="center"/>
        </w:trPr>
        <w:tc>
          <w:tcPr>
            <w:tcW w:w="1441" w:type="dxa"/>
            <w:vMerge w:val="continue"/>
            <w:noWrap w:val="0"/>
            <w:vAlign w:val="center"/>
          </w:tcPr>
          <w:p>
            <w:pPr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549" w:type="dxa"/>
            <w:gridSpan w:val="4"/>
            <w:vMerge w:val="continue"/>
            <w:noWrap w:val="0"/>
            <w:vAlign w:val="center"/>
          </w:tcPr>
          <w:p>
            <w:pPr>
              <w:autoSpaceDN w:val="0"/>
              <w:spacing w:line="320" w:lineRule="exact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1417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社会公众或服务对象满意度</w:t>
            </w:r>
          </w:p>
        </w:tc>
        <w:tc>
          <w:tcPr>
            <w:tcW w:w="2709" w:type="dxa"/>
            <w:gridSpan w:val="4"/>
            <w:noWrap w:val="0"/>
            <w:vAlign w:val="center"/>
          </w:tcPr>
          <w:p>
            <w:pPr>
              <w:autoSpaceDN w:val="0"/>
              <w:spacing w:line="34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指标1：提高社会服务能力，促进县域经济社会和谐发展。</w:t>
            </w:r>
          </w:p>
          <w:p>
            <w:pPr>
              <w:autoSpaceDN w:val="0"/>
              <w:spacing w:line="34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2684" w:type="dxa"/>
            <w:gridSpan w:val="6"/>
            <w:noWrap w:val="0"/>
            <w:vAlign w:val="center"/>
          </w:tcPr>
          <w:p>
            <w:pPr>
              <w:autoSpaceDN w:val="0"/>
              <w:spacing w:line="400" w:lineRule="exact"/>
              <w:jc w:val="left"/>
              <w:textAlignment w:val="center"/>
              <w:rPr>
                <w:rFonts w:hint="eastAsia" w:ascii="仿宋_GB2312" w:hAnsi="仿宋_GB2312" w:eastAsia="宋体" w:cs="Times New Roman"/>
                <w:b/>
                <w:bCs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保障企业生产安全运营、居民日常生活需求，提高社会服务能力，争取服务对象满意度达100%。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绩效自评综合得分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98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2990" w:type="dxa"/>
            <w:gridSpan w:val="5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评价等次</w:t>
            </w:r>
          </w:p>
        </w:tc>
        <w:tc>
          <w:tcPr>
            <w:tcW w:w="6810" w:type="dxa"/>
            <w:gridSpan w:val="1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val="en-US" w:eastAsia="zh-CN"/>
              </w:rPr>
              <w:t>优秀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8"/>
                <w:szCs w:val="28"/>
              </w:rPr>
              <w:t>四、评价人员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567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姓  名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职务/职称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单  位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签  字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沈道政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副局长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华容县财政局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陈志军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办公室主任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华容县财政局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彭婧</w:t>
            </w: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会计</w:t>
            </w: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lang w:eastAsia="zh-CN"/>
              </w:rPr>
              <w:t>华容县财政局</w:t>
            </w: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680" w:hRule="atLeast"/>
          <w:jc w:val="center"/>
        </w:trPr>
        <w:tc>
          <w:tcPr>
            <w:tcW w:w="1654" w:type="dxa"/>
            <w:gridSpan w:val="2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561" w:type="dxa"/>
            <w:gridSpan w:val="6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1479" w:type="dxa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  <w:tc>
          <w:tcPr>
            <w:tcW w:w="3106" w:type="dxa"/>
            <w:gridSpan w:val="8"/>
            <w:noWrap w:val="0"/>
            <w:vAlign w:val="center"/>
          </w:tcPr>
          <w:p>
            <w:pPr>
              <w:autoSpaceDN w:val="0"/>
              <w:spacing w:line="32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评价组组长（签字）：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22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>部门（单位）意见：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部门（单位）负责人（签章）：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</w:rPr>
              <w:t xml:space="preserve">                                                           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5" w:type="dxa"/>
            <w:bottom w:w="0" w:type="dxa"/>
            <w:right w:w="15" w:type="dxa"/>
          </w:tblCellMar>
        </w:tblPrEx>
        <w:trPr>
          <w:trHeight w:val="2794" w:hRule="atLeast"/>
          <w:jc w:val="center"/>
        </w:trPr>
        <w:tc>
          <w:tcPr>
            <w:tcW w:w="9800" w:type="dxa"/>
            <w:gridSpan w:val="17"/>
            <w:noWrap w:val="0"/>
            <w:vAlign w:val="center"/>
          </w:tcPr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财政部门归口业务科室意见：</w:t>
            </w: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</w:p>
          <w:p>
            <w:pPr>
              <w:spacing w:line="320" w:lineRule="exact"/>
              <w:rPr>
                <w:rFonts w:hint="eastAsia"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财政部门归口业务科室负责人（签章）：</w:t>
            </w:r>
          </w:p>
          <w:p>
            <w:pPr>
              <w:autoSpaceDN w:val="0"/>
              <w:spacing w:line="32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000000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                                                    年    月   日</w:t>
            </w:r>
          </w:p>
        </w:tc>
      </w:tr>
    </w:tbl>
    <w:p>
      <w:pPr>
        <w:rPr>
          <w:rFonts w:hint="default" w:eastAsia="仿宋_GB2312" w:cs="仿宋_GB2312"/>
          <w:bCs/>
          <w:sz w:val="28"/>
          <w:szCs w:val="28"/>
          <w:lang w:val="en-US" w:eastAsia="zh-CN"/>
        </w:rPr>
      </w:pPr>
      <w:r>
        <w:rPr>
          <w:rFonts w:hint="eastAsia" w:eastAsia="仿宋_GB2312" w:cs="仿宋_GB2312"/>
          <w:bCs/>
          <w:sz w:val="28"/>
          <w:szCs w:val="28"/>
        </w:rPr>
        <w:t xml:space="preserve">填报人（签名）：     </w:t>
      </w:r>
      <w:r>
        <w:rPr>
          <w:rFonts w:hint="eastAsia" w:eastAsia="仿宋_GB2312" w:cs="仿宋_GB2312"/>
          <w:bCs/>
          <w:sz w:val="28"/>
          <w:szCs w:val="28"/>
          <w:lang w:eastAsia="zh-CN"/>
        </w:rPr>
        <w:t>彭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 xml:space="preserve"> </w:t>
      </w:r>
      <w:r>
        <w:rPr>
          <w:rFonts w:hint="eastAsia" w:eastAsia="仿宋_GB2312" w:cs="仿宋_GB2312"/>
          <w:bCs/>
          <w:sz w:val="28"/>
          <w:szCs w:val="28"/>
          <w:lang w:eastAsia="zh-CN"/>
        </w:rPr>
        <w:t>婧</w:t>
      </w:r>
      <w:r>
        <w:rPr>
          <w:rFonts w:hint="eastAsia" w:eastAsia="仿宋_GB2312" w:cs="仿宋_GB2312"/>
          <w:bCs/>
          <w:sz w:val="28"/>
          <w:szCs w:val="28"/>
        </w:rPr>
        <w:t xml:space="preserve">                     联系电话：</w:t>
      </w:r>
      <w:r>
        <w:rPr>
          <w:rFonts w:hint="eastAsia" w:eastAsia="仿宋_GB2312" w:cs="仿宋_GB2312"/>
          <w:bCs/>
          <w:sz w:val="28"/>
          <w:szCs w:val="28"/>
          <w:lang w:val="en-US" w:eastAsia="zh-CN"/>
        </w:rPr>
        <w:t>4211636</w:t>
      </w:r>
    </w:p>
    <w:tbl>
      <w:tblPr>
        <w:tblStyle w:val="6"/>
        <w:tblW w:w="9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98" w:hRule="atLeast"/>
          <w:jc w:val="center"/>
        </w:trPr>
        <w:tc>
          <w:tcPr>
            <w:tcW w:w="9558" w:type="dxa"/>
            <w:noWrap w:val="0"/>
            <w:vAlign w:val="top"/>
          </w:tcPr>
          <w:p>
            <w:pPr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五、评价报告综述（文字部分）</w:t>
            </w:r>
          </w:p>
          <w:p>
            <w:pPr>
              <w:spacing w:line="440" w:lineRule="exact"/>
              <w:ind w:firstLine="640" w:firstLineChars="200"/>
              <w:rPr>
                <w:rFonts w:hint="eastAsia" w:eastAsia="仿宋_GB2312"/>
                <w:sz w:val="32"/>
                <w:szCs w:val="32"/>
              </w:rPr>
            </w:pP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一、部门（单位）概况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（一）部门（单位）基本情况</w:t>
            </w:r>
          </w:p>
          <w:p>
            <w:pPr>
              <w:pStyle w:val="10"/>
              <w:tabs>
                <w:tab w:val="left" w:pos="420"/>
                <w:tab w:val="left" w:pos="840"/>
                <w:tab w:val="left" w:pos="1260"/>
                <w:tab w:val="left" w:pos="1680"/>
                <w:tab w:val="left" w:pos="2100"/>
                <w:tab w:val="left" w:pos="2520"/>
                <w:tab w:val="left" w:pos="2940"/>
                <w:tab w:val="left" w:pos="3360"/>
                <w:tab w:val="left" w:pos="3780"/>
                <w:tab w:val="left" w:pos="4200"/>
                <w:tab w:val="left" w:pos="4620"/>
                <w:tab w:val="left" w:pos="5040"/>
                <w:tab w:val="left" w:pos="5460"/>
                <w:tab w:val="left" w:pos="5880"/>
              </w:tabs>
              <w:spacing w:beforeLines="0" w:afterLines="0" w:line="620" w:lineRule="exact"/>
              <w:ind w:firstLine="560" w:firstLineChars="200"/>
              <w:jc w:val="both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  <w:lang w:val="en-US"/>
              </w:rPr>
              <w:t>县财政局包括财政局机关24个内设机构及3个二级机构。二级机构分别是乡镇财政服务中心、国库集中支付管理中心、财政事务中心。县财政局包括财政局机关及3个二级机构。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华容县财政系统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现有人员编制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141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名，(其中：行政编制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24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名；事业全额编制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114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名;事业差额编制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名；自收自支编制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名；工勤编制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3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名)；实有人员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140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人（其中：全额人员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140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人；差额人员</w:t>
            </w:r>
            <w:r>
              <w:rPr>
                <w:rFonts w:hint="eastAsia" w:ascii="仿宋" w:hAnsi="仿宋" w:eastAsia="仿宋" w:cs="仿宋"/>
                <w:color w:val="000000"/>
                <w:sz w:val="28"/>
                <w:szCs w:val="28"/>
              </w:rPr>
              <w:t>0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人）。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</w:p>
          <w:p>
            <w:pPr>
              <w:spacing w:line="560" w:lineRule="exact"/>
              <w:ind w:firstLine="562" w:firstLineChars="200"/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bCs w:val="0"/>
                <w:sz w:val="28"/>
                <w:szCs w:val="28"/>
              </w:rPr>
              <w:t>二、部门（单位）整体支出管理及使用情况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（一）基本支出</w:t>
            </w:r>
          </w:p>
          <w:p>
            <w:pPr>
              <w:autoSpaceDE w:val="0"/>
              <w:autoSpaceDN w:val="0"/>
              <w:adjustRightInd w:val="0"/>
              <w:spacing w:beforeLines="0" w:afterLine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zh-CN" w:eastAsia="zh-CN"/>
              </w:rPr>
              <w:t>2019年度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财政拨款基本支出1,653.96万元，其中:人员经费1,344.41万元，占基本支出81.29%，主要包括基本工资、津贴补贴、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zh-CN" w:eastAsia="zh-CN"/>
              </w:rPr>
              <w:t>奖金、伙食补助费、绩效工资、机关事业单位基本养老保险缴费、职业年金缴费、职工基本医疗保险缴费、公务员医疗补助缴费、其他社会保障缴费、住房公积金、医疗费、其他工资福利支出、离休费、退休费、抚恤金、生活补助、医疗费补助、奖励金、其他对个人和家庭的补助；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公用经费309.55万元，占基本支出18.71%，主要包括办公费、印刷费、咨询费、手续费、水费、电费、邮电费、取暖费、物业管理费、差旅费、因公出国（境）费用、维修（护）</w:t>
            </w:r>
          </w:p>
          <w:p>
            <w:pPr>
              <w:autoSpaceDE w:val="0"/>
              <w:autoSpaceDN w:val="0"/>
              <w:adjustRightInd w:val="0"/>
              <w:spacing w:beforeLines="0" w:afterLine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费、租赁费、会议费、培训费、公务接待费、专用材料费、劳务费、委托业务费、工会经费、福利费、公务用车运行维护费、其他交通费用、其他商品和服务支出、办公设备购置、专用设备购置、信息网络及软件购置更新、公务用车购置、无形资产购置、其他资本性支出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三、部门（单位）专项组织实施情况</w:t>
            </w:r>
          </w:p>
          <w:p>
            <w:pPr>
              <w:autoSpaceDE w:val="0"/>
              <w:autoSpaceDN w:val="0"/>
              <w:adjustRightInd w:val="0"/>
              <w:spacing w:beforeLines="0" w:afterLine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（一）专项组织情况分析</w:t>
            </w:r>
          </w:p>
          <w:p>
            <w:pPr>
              <w:autoSpaceDE w:val="0"/>
              <w:autoSpaceDN w:val="0"/>
              <w:adjustRightInd w:val="0"/>
              <w:spacing w:beforeLines="0" w:afterLine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按照财政支出项目绩效评价工作要求，我局高度重视，坚持公平、公正、公开和综合分析，统筹安排的原则，成立了由分管局长为组长、纪检书记、财务股长为成员的绩效自评小组，对2019年度部门整体支出进行了绩效评价。</w:t>
            </w:r>
          </w:p>
          <w:p>
            <w:pPr>
              <w:spacing w:line="560" w:lineRule="exact"/>
              <w:ind w:firstLine="560" w:firstLineChars="200"/>
              <w:rPr>
                <w:rFonts w:hint="eastAsia" w:ascii="仿宋_GB2312" w:hAnsi="仿宋_GB2312" w:eastAsia="仿宋_GB2312" w:cs="仿宋_GB2312"/>
                <w:bCs/>
                <w:sz w:val="28"/>
                <w:szCs w:val="28"/>
              </w:rPr>
            </w:pPr>
          </w:p>
          <w:p>
            <w:pPr>
              <w:numPr>
                <w:ilvl w:val="0"/>
                <w:numId w:val="2"/>
              </w:numPr>
              <w:spacing w:line="560" w:lineRule="exact"/>
              <w:ind w:firstLine="560" w:firstLineChars="200"/>
              <w:rPr>
                <w:rFonts w:hint="eastAsia" w:ascii="仿宋" w:hAnsi="仿宋" w:eastAsia="仿宋" w:cs="仿宋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</w:rPr>
              <w:t>部门（单位）整体支出绩效情况</w:t>
            </w:r>
          </w:p>
          <w:p>
            <w:pPr>
              <w:spacing w:line="600" w:lineRule="exact"/>
              <w:ind w:firstLine="560" w:firstLineChars="200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2019年，全县财政系统坚持以习近平新时代中国特色社会主义思想为指导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，不忘初心、牢记使命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，全面贯彻落实中央、省、市、县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高质量发展和“六稳”系列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决策部署，</w:t>
            </w:r>
            <w:r>
              <w:rPr>
                <w:rFonts w:hint="eastAsia" w:ascii="仿宋" w:hAnsi="仿宋" w:eastAsia="仿宋" w:cs="仿宋"/>
                <w:kern w:val="0"/>
                <w:sz w:val="28"/>
                <w:szCs w:val="28"/>
              </w:rPr>
              <w:t>在县委、县政府的坚强领导和县人大、县政协的有力监督下，紧紧围绕打好“三大攻坚战”、服务“六大工程”、支持“乡村振兴”战略，牢固树立过“紧日子”思想，大力压减一般性支出，将“三保”尤其是“保工资”作为重中之重，防范化解重大风险，深入实施创新引领开放崛起战略，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知难而进、迎难而上，财政运行稳中有进、稳中调优、稳中提质，有力服务了全县经济社会改革发展稳定大局。</w:t>
            </w:r>
          </w:p>
          <w:p>
            <w:pPr>
              <w:pStyle w:val="2"/>
              <w:spacing w:before="0" w:beforeAutospacing="0" w:after="0" w:line="590" w:lineRule="exact"/>
              <w:ind w:firstLine="641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坚持量质并举抓收入，财政实力进一步增强。</w:t>
            </w:r>
          </w:p>
          <w:p>
            <w:pPr>
              <w:pStyle w:val="2"/>
              <w:spacing w:before="0" w:beforeAutospacing="0" w:after="0" w:line="600" w:lineRule="exact"/>
              <w:ind w:firstLine="64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一是财政收入迈上新台阶。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全年财政总收入完成10.7亿元，增长6%；地方收入完成6.23亿元，增长7.3%；地方税收收入完成4.3亿元，增长16.9%。</w:t>
            </w:r>
          </w:p>
          <w:p>
            <w:pPr>
              <w:pStyle w:val="2"/>
              <w:spacing w:before="0" w:beforeAutospacing="0" w:after="0" w:line="600" w:lineRule="exact"/>
              <w:ind w:firstLine="64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二是收入质量大幅提升。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做实地方收入工作，收到了良好成效。全口径税比82.3%，首次突破80点大关；全年非税收入累计完成1.9亿元，非税占比下降到30.5%，三年连降13.9个百分点，“收入质量提升三年行动计划”顺利收官，财税收入步入高质量发展新阶段。</w:t>
            </w:r>
          </w:p>
          <w:p>
            <w:pPr>
              <w:pStyle w:val="2"/>
              <w:spacing w:before="0" w:beforeAutospacing="0" w:after="0" w:line="600" w:lineRule="exact"/>
              <w:ind w:firstLine="64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三是争项争资成效明显。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全年中央、省级财政共下达我县各类补助35.39亿元，增长17.73%。争取新增债券3.49亿元。不断增强的财力为改革和发展放稳了“压舱石”，也为华容经济跑出“加速度”蓄积了“正能量”。</w:t>
            </w:r>
          </w:p>
          <w:p>
            <w:pPr>
              <w:pStyle w:val="2"/>
              <w:spacing w:before="0" w:beforeAutospacing="0" w:after="0" w:line="590" w:lineRule="exact"/>
              <w:ind w:firstLine="641"/>
              <w:rPr>
                <w:rFonts w:hint="eastAsia" w:ascii="仿宋" w:hAnsi="仿宋" w:eastAsia="仿宋" w:cs="仿宋"/>
                <w:b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抓收支，量质并举紧平衡。</w:t>
            </w:r>
          </w:p>
          <w:p>
            <w:pPr>
              <w:pStyle w:val="2"/>
              <w:spacing w:before="0" w:beforeAutospacing="0" w:after="0" w:line="590" w:lineRule="exact"/>
              <w:ind w:firstLine="64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按照新发展理念和高质量发展要求，坚持量质并举抓收入，调整支出、优化结构。</w:t>
            </w:r>
          </w:p>
          <w:p>
            <w:pPr>
              <w:pStyle w:val="2"/>
              <w:spacing w:before="0" w:beforeAutospacing="0" w:after="0" w:line="590" w:lineRule="exact"/>
              <w:ind w:firstLine="641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一是确保完成收入目标。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2020年，我县财政收入预期目标为11.5亿元。其中：税收收入9.54亿元，非税收入1.96亿元，税比82.96%；基金预算收入预期目标为20亿元，其中：耕地指标交易收入16亿元，矿产资源交易收入2亿元。要加强协调联动，一手抓财政扶持优惠政策落实落地，做到应减尽减，一手抓收入征管，做到应收尽收。着力抓好重点税源企业一对一帮扶和“税收倍增计划”企业辅导，着力抓好“旱改水”耕地指标和矿产资源交易，加快已收储土地流转和棚改资金回笼，确保圆满完成全年收入目标任务。</w:t>
            </w:r>
          </w:p>
          <w:p>
            <w:pPr>
              <w:pStyle w:val="2"/>
              <w:spacing w:before="0" w:beforeAutospacing="0" w:after="0" w:line="590" w:lineRule="exact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二是继续开展暂付款清理。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严控增量、消化存量，完成省定1.12亿元的暂付款清理目标，通过三年时间的努力，应收款项全部清零，确保支出及时拨付。</w:t>
            </w:r>
          </w:p>
          <w:p>
            <w:pPr>
              <w:pStyle w:val="2"/>
              <w:spacing w:before="0" w:beforeAutospacing="0" w:after="0" w:line="590" w:lineRule="exact"/>
              <w:ind w:firstLine="641"/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</w:rPr>
              <w:t>三是下大力气压减一般性支出。</w:t>
            </w:r>
            <w:r>
              <w:rPr>
                <w:rFonts w:hint="eastAsia" w:ascii="仿宋" w:hAnsi="仿宋" w:eastAsia="仿宋" w:cs="仿宋"/>
                <w:kern w:val="2"/>
                <w:sz w:val="28"/>
                <w:szCs w:val="28"/>
                <w:lang w:val="en-US" w:eastAsia="zh-CN" w:bidi="ar-SA"/>
              </w:rPr>
              <w:t>从严落实中央“八项规定”及其实施细则，牢固树立过“紧日子”思想，进一步压减一般性支出。全县“三公”经费同比再下降5个百分点，按照“有保有压”的原则出台零基预算的“硬核”措施，调整支出结构，大幅压减非刚性、非重点项目支出、低效无效支出和标准过高的支出，确保年度平衡。</w:t>
            </w:r>
          </w:p>
          <w:p>
            <w:pPr>
              <w:spacing w:line="640" w:lineRule="exact"/>
              <w:ind w:left="325" w:leftChars="155" w:firstLine="579" w:firstLineChars="207"/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根据绩效考核要求，我局认真开展了绩效评估自查。认真填写了《华容县财政支出项目绩效评价自评报告》、《华容县财政支出项目绩效自评表》。自评得分</w:t>
            </w:r>
            <w:r>
              <w:rPr>
                <w:rFonts w:hint="eastAsia" w:ascii="仿宋" w:hAnsi="仿宋" w:eastAsia="仿宋" w:cs="仿宋"/>
                <w:sz w:val="28"/>
                <w:szCs w:val="28"/>
                <w:lang w:val="en-US" w:eastAsia="zh-CN"/>
              </w:rPr>
              <w:t>98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分，考评等级为“优秀”。</w:t>
            </w:r>
          </w:p>
          <w:p>
            <w:pPr>
              <w:pStyle w:val="2"/>
              <w:ind w:left="0" w:leftChars="0" w:firstLine="0" w:firstLineChars="0"/>
              <w:rPr>
                <w:rFonts w:hint="eastAsia" w:ascii="仿宋" w:hAnsi="仿宋" w:eastAsia="仿宋" w:cs="仿宋"/>
                <w:sz w:val="28"/>
                <w:szCs w:val="28"/>
              </w:rPr>
            </w:pPr>
          </w:p>
          <w:p>
            <w:pPr>
              <w:numPr>
                <w:ilvl w:val="0"/>
                <w:numId w:val="2"/>
              </w:numPr>
              <w:spacing w:line="560" w:lineRule="exact"/>
              <w:ind w:left="0" w:leftChars="0"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存在的主要问题</w:t>
            </w:r>
          </w:p>
          <w:p>
            <w:pPr>
              <w:autoSpaceDE w:val="0"/>
              <w:autoSpaceDN w:val="0"/>
              <w:adjustRightInd w:val="0"/>
              <w:spacing w:beforeLines="0" w:afterLine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在充分肯定成绩的同时，更要清醒认识财政工作还存在一些突出的问题和困难：收入增长后劲不足，收入结构有待一步改善；财政支出增长较快，收支矛盾有待进一步缓解，财政责任持续加重，防控力度有待进一步加强；问效问责倒逼改革，改革举措有待进一步落实；转变作风任务艰巨，工作效能有待进一步提升。</w:t>
            </w:r>
          </w:p>
          <w:p>
            <w:pPr>
              <w:numPr>
                <w:ilvl w:val="0"/>
                <w:numId w:val="0"/>
              </w:numPr>
              <w:spacing w:line="560" w:lineRule="exact"/>
              <w:ind w:left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</w:p>
          <w:p>
            <w:pPr>
              <w:spacing w:line="560" w:lineRule="exact"/>
              <w:ind w:firstLine="560" w:firstLineChars="200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Cs/>
                <w:sz w:val="28"/>
                <w:szCs w:val="28"/>
              </w:rPr>
              <w:t>六、改进措施和有关建议</w:t>
            </w:r>
          </w:p>
          <w:p>
            <w:pPr>
              <w:autoSpaceDE w:val="0"/>
              <w:autoSpaceDN w:val="0"/>
              <w:adjustRightInd w:val="0"/>
              <w:spacing w:beforeLines="0" w:afterLines="0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根据新常态下的新形势，财政部门必须统筹兼兼顾，积极谋求财政工作新发展。坚持稳中求进工作总基调，深入保障和改善发生，构建民生财政；着力强化绩效管理，构建绩效财政，为推进我县经济社会平稳较快发展和提供有力的财政保障，重点在以下方面努力：</w:t>
            </w:r>
          </w:p>
          <w:p>
            <w:pPr>
              <w:autoSpaceDE w:val="0"/>
              <w:autoSpaceDN w:val="0"/>
              <w:adjustRightInd w:val="0"/>
              <w:spacing w:beforeLines="0" w:afterLines="0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收入征收管理上精准发力。一是坚持依法治税，二是强化非税征管；三是加强基金征缴；四是规范资产处置。</w:t>
            </w:r>
          </w:p>
          <w:p>
            <w:pPr>
              <w:autoSpaceDE w:val="0"/>
              <w:autoSpaceDN w:val="0"/>
              <w:adjustRightInd w:val="0"/>
              <w:spacing w:beforeLines="0" w:afterLines="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服和区域经济上精准发力。推进供给侧结构性改革，全力支持“三去一降一补”，用足、用活政策创新完善财政专项资金扶持方式。</w:t>
            </w:r>
          </w:p>
          <w:p>
            <w:pPr>
              <w:autoSpaceDE w:val="0"/>
              <w:autoSpaceDN w:val="0"/>
              <w:adjustRightInd w:val="0"/>
              <w:spacing w:beforeLines="0" w:afterLines="0"/>
              <w:ind w:firstLine="560" w:firstLineChars="200"/>
              <w:jc w:val="left"/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优化支出机构上精准发力。进一步完善和落实好民生政策，坚持“雪中送炭”，不搞“锦上添花”。支持脱贫攻坚，加大资金整合力度。保证人员工资发放和行政事业机构正常运转，进一步盘活存量资金，完善支出管理制度，使财政资金配置更加科学，运行更加安全，使用更加高效。</w:t>
            </w:r>
          </w:p>
          <w:p>
            <w:pPr>
              <w:autoSpaceDE w:val="0"/>
              <w:autoSpaceDN w:val="0"/>
              <w:adjustRightInd w:val="0"/>
              <w:spacing w:beforeLines="0" w:afterLines="0"/>
              <w:ind w:firstLine="560" w:firstLineChars="200"/>
              <w:jc w:val="left"/>
              <w:rPr>
                <w:rFonts w:eastAsia="楷体_GB2312"/>
                <w:bCs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8"/>
                <w:szCs w:val="28"/>
                <w:lang w:val="en-US" w:eastAsia="zh-CN"/>
              </w:rPr>
              <w:t>深化财税改革上精准发力。根据新《预算法》和《湖南省全面深化财税体制改革实施方案》所确定的重点改革任务，围绕改革重点抓落实，按照时间节点抓推进，加强组织协调，加快改革进程。</w:t>
            </w:r>
          </w:p>
        </w:tc>
      </w:tr>
    </w:tbl>
    <w:p>
      <w:pPr>
        <w:spacing w:line="200" w:lineRule="exact"/>
        <w:jc w:val="both"/>
        <w:rPr>
          <w:rFonts w:hint="eastAsia" w:eastAsia="仿宋_GB2312"/>
          <w:sz w:val="32"/>
        </w:rPr>
      </w:pPr>
      <w:bookmarkStart w:id="0" w:name="_GoBack"/>
      <w:bookmarkEnd w:id="0"/>
    </w:p>
    <w:sectPr>
      <w:footerReference r:id="rId5" w:type="default"/>
      <w:footerReference r:id="rId6" w:type="even"/>
      <w:pgSz w:w="11906" w:h="16838"/>
      <w:pgMar w:top="1588" w:right="1588" w:bottom="1588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???-18030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8"/>
        <w:sz w:val="24"/>
        <w:szCs w:val="24"/>
      </w:rPr>
    </w:pPr>
    <w:r>
      <w:rPr>
        <w:rStyle w:val="8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8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8"/>
        <w:sz w:val="24"/>
        <w:szCs w:val="24"/>
      </w:rPr>
      <w:t>1</w:t>
    </w:r>
    <w:r>
      <w:rPr>
        <w:sz w:val="24"/>
        <w:szCs w:val="24"/>
      </w:rPr>
      <w:fldChar w:fldCharType="end"/>
    </w:r>
    <w:r>
      <w:rPr>
        <w:rStyle w:val="8"/>
        <w:rFonts w:hint="eastAsia"/>
        <w:sz w:val="24"/>
        <w:szCs w:val="24"/>
      </w:rPr>
      <w:t xml:space="preserve"> —</w:t>
    </w:r>
  </w:p>
  <w:p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framePr w:wrap="around" w:vAnchor="text" w:hAnchor="margin" w:xAlign="outside" w:y="1"/>
    </w:pPr>
    <w:r>
      <w:fldChar w:fldCharType="begin"/>
    </w:r>
    <w:r>
      <w:instrText xml:space="preserve">PAGE  </w:instrText>
    </w:r>
    <w:r>
      <w:fldChar w:fldCharType="separate"/>
    </w:r>
    <w:r>
      <w:t>- 15 -</w:t>
    </w:r>
    <w:r>
      <w:fldChar w:fldCharType="end"/>
    </w:r>
  </w:p>
  <w:p>
    <w:pPr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8"/>
        <w:sz w:val="24"/>
        <w:szCs w:val="24"/>
      </w:rPr>
    </w:pPr>
    <w:r>
      <w:rPr>
        <w:rStyle w:val="8"/>
        <w:rFonts w:hint="eastAsia"/>
        <w:sz w:val="24"/>
        <w:szCs w:val="24"/>
      </w:rPr>
      <w:t xml:space="preserve">— </w:t>
    </w:r>
    <w:r>
      <w:rPr>
        <w:sz w:val="24"/>
        <w:szCs w:val="24"/>
      </w:rPr>
      <w:fldChar w:fldCharType="begin"/>
    </w:r>
    <w:r>
      <w:rPr>
        <w:rStyle w:val="8"/>
        <w:sz w:val="24"/>
        <w:szCs w:val="24"/>
      </w:rPr>
      <w:instrText xml:space="preserve">PAGE  </w:instrText>
    </w:r>
    <w:r>
      <w:rPr>
        <w:sz w:val="24"/>
        <w:szCs w:val="24"/>
      </w:rPr>
      <w:fldChar w:fldCharType="separate"/>
    </w:r>
    <w:r>
      <w:rPr>
        <w:rStyle w:val="8"/>
        <w:sz w:val="24"/>
        <w:szCs w:val="24"/>
      </w:rPr>
      <w:t>18</w:t>
    </w:r>
    <w:r>
      <w:rPr>
        <w:sz w:val="24"/>
        <w:szCs w:val="24"/>
      </w:rPr>
      <w:fldChar w:fldCharType="end"/>
    </w:r>
    <w:r>
      <w:rPr>
        <w:rStyle w:val="8"/>
        <w:rFonts w:hint="eastAsia"/>
        <w:sz w:val="24"/>
        <w:szCs w:val="24"/>
      </w:rPr>
      <w:t xml:space="preserve"> —</w:t>
    </w:r>
  </w:p>
  <w:p>
    <w:pPr>
      <w:pStyle w:val="5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outside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>
    <w:pPr>
      <w:pStyle w:val="5"/>
      <w:ind w:right="360" w:firstLine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FEC2DB1"/>
    <w:multiLevelType w:val="singleLevel"/>
    <w:tmpl w:val="DFEC2DB1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E8138A6"/>
    <w:multiLevelType w:val="multilevel"/>
    <w:tmpl w:val="5E8138A6"/>
    <w:lvl w:ilvl="0" w:tentative="0">
      <w:start w:val="1"/>
      <w:numFmt w:val="decimal"/>
      <w:lvlText w:val="%1、"/>
      <w:lvlJc w:val="left"/>
      <w:pPr>
        <w:ind w:left="720" w:hanging="720"/>
      </w:pPr>
      <w:rPr>
        <w:rFonts w:ascii="仿宋_GB2312" w:hAnsi="仿宋_GB2312" w:eastAsia="仿宋_GB2312" w:cs="仿宋_GB2312"/>
      </w:rPr>
    </w:lvl>
    <w:lvl w:ilvl="1" w:tentative="0">
      <w:start w:val="1"/>
      <w:numFmt w:val="lowerLetter"/>
      <w:lvlText w:val="%2)"/>
      <w:lvlJc w:val="left"/>
      <w:pPr>
        <w:ind w:left="1265" w:hanging="420"/>
      </w:pPr>
    </w:lvl>
    <w:lvl w:ilvl="2" w:tentative="0">
      <w:start w:val="1"/>
      <w:numFmt w:val="lowerRoman"/>
      <w:lvlText w:val="%3."/>
      <w:lvlJc w:val="right"/>
      <w:pPr>
        <w:ind w:left="1685" w:hanging="420"/>
      </w:pPr>
    </w:lvl>
    <w:lvl w:ilvl="3" w:tentative="0">
      <w:start w:val="1"/>
      <w:numFmt w:val="decimal"/>
      <w:lvlText w:val="%4."/>
      <w:lvlJc w:val="left"/>
      <w:pPr>
        <w:ind w:left="2105" w:hanging="420"/>
      </w:pPr>
    </w:lvl>
    <w:lvl w:ilvl="4" w:tentative="0">
      <w:start w:val="1"/>
      <w:numFmt w:val="lowerLetter"/>
      <w:lvlText w:val="%5)"/>
      <w:lvlJc w:val="left"/>
      <w:pPr>
        <w:ind w:left="2525" w:hanging="420"/>
      </w:pPr>
    </w:lvl>
    <w:lvl w:ilvl="5" w:tentative="0">
      <w:start w:val="1"/>
      <w:numFmt w:val="lowerRoman"/>
      <w:lvlText w:val="%6."/>
      <w:lvlJc w:val="right"/>
      <w:pPr>
        <w:ind w:left="2945" w:hanging="420"/>
      </w:pPr>
    </w:lvl>
    <w:lvl w:ilvl="6" w:tentative="0">
      <w:start w:val="1"/>
      <w:numFmt w:val="decimal"/>
      <w:lvlText w:val="%7."/>
      <w:lvlJc w:val="left"/>
      <w:pPr>
        <w:ind w:left="3365" w:hanging="420"/>
      </w:pPr>
    </w:lvl>
    <w:lvl w:ilvl="7" w:tentative="0">
      <w:start w:val="1"/>
      <w:numFmt w:val="lowerLetter"/>
      <w:lvlText w:val="%8)"/>
      <w:lvlJc w:val="left"/>
      <w:pPr>
        <w:ind w:left="3785" w:hanging="420"/>
      </w:pPr>
    </w:lvl>
    <w:lvl w:ilvl="8" w:tentative="0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E55C20"/>
    <w:rsid w:val="007B2063"/>
    <w:rsid w:val="083749E7"/>
    <w:rsid w:val="0DE528CD"/>
    <w:rsid w:val="18725427"/>
    <w:rsid w:val="1C423C3E"/>
    <w:rsid w:val="1DA65AC2"/>
    <w:rsid w:val="263C173A"/>
    <w:rsid w:val="2A1201F3"/>
    <w:rsid w:val="2CA33441"/>
    <w:rsid w:val="2CE55C20"/>
    <w:rsid w:val="2F287302"/>
    <w:rsid w:val="30426D13"/>
    <w:rsid w:val="341064CB"/>
    <w:rsid w:val="35D57051"/>
    <w:rsid w:val="37354181"/>
    <w:rsid w:val="3A43255A"/>
    <w:rsid w:val="3D6201A1"/>
    <w:rsid w:val="40A63D90"/>
    <w:rsid w:val="477245B4"/>
    <w:rsid w:val="4E4F0BB0"/>
    <w:rsid w:val="4FD3547E"/>
    <w:rsid w:val="52B122DC"/>
    <w:rsid w:val="5BE95901"/>
    <w:rsid w:val="6A0A15CD"/>
    <w:rsid w:val="6DF352BD"/>
    <w:rsid w:val="705E3E6D"/>
    <w:rsid w:val="71C1048A"/>
    <w:rsid w:val="73F35F5B"/>
    <w:rsid w:val="79C04582"/>
    <w:rsid w:val="7D1F0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BodyText"/>
    <w:basedOn w:val="1"/>
    <w:next w:val="3"/>
    <w:qFormat/>
    <w:uiPriority w:val="0"/>
    <w:pPr>
      <w:widowControl/>
      <w:spacing w:before="100" w:beforeAutospacing="1" w:after="120" w:line="560" w:lineRule="exact"/>
      <w:ind w:firstLine="640" w:firstLineChars="200"/>
      <w:textAlignment w:val="baseline"/>
    </w:pPr>
    <w:rPr>
      <w:rFonts w:eastAsia="仿宋_GB2312"/>
      <w:sz w:val="32"/>
      <w:szCs w:val="32"/>
    </w:rPr>
  </w:style>
  <w:style w:type="paragraph" w:customStyle="1" w:styleId="3">
    <w:name w:val="UserStyle_3"/>
    <w:basedOn w:val="1"/>
    <w:qFormat/>
    <w:uiPriority w:val="0"/>
    <w:pPr>
      <w:widowControl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  <w:spacing w:before="100" w:beforeAutospacing="1" w:after="100" w:afterAutospacing="1" w:line="560" w:lineRule="exact"/>
      <w:ind w:firstLine="640" w:firstLineChars="200"/>
      <w:jc w:val="center"/>
      <w:textAlignment w:val="baseline"/>
    </w:pPr>
    <w:rPr>
      <w:rFonts w:ascii="???-18030" w:hAnsi="???-18030" w:eastAsia="仿宋_GB2312"/>
      <w:kern w:val="0"/>
      <w:sz w:val="32"/>
    </w:rPr>
  </w:style>
  <w:style w:type="paragraph" w:styleId="4">
    <w:name w:val="Body Text Indent 2"/>
    <w:basedOn w:val="1"/>
    <w:unhideWhenUsed/>
    <w:qFormat/>
    <w:uiPriority w:val="0"/>
    <w:pPr>
      <w:ind w:firstLine="588" w:firstLineChars="200"/>
    </w:pPr>
    <w:rPr>
      <w:rFonts w:ascii="仿宋_GB2312" w:hAnsi="Calibri" w:eastAsia="仿宋_GB2312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character" w:styleId="8">
    <w:name w:val="page number"/>
    <w:qFormat/>
    <w:uiPriority w:val="0"/>
  </w:style>
  <w:style w:type="character" w:customStyle="1" w:styleId="9">
    <w:name w:val="标题 3 Char Char"/>
    <w:qFormat/>
    <w:uiPriority w:val="0"/>
    <w:rPr>
      <w:rFonts w:eastAsia="楷体_GB2312"/>
      <w:b/>
      <w:kern w:val="2"/>
      <w:sz w:val="32"/>
      <w:szCs w:val="24"/>
      <w:lang w:val="en-US" w:eastAsia="zh-CN" w:bidi="ar-SA"/>
    </w:rPr>
  </w:style>
  <w:style w:type="paragraph" w:customStyle="1" w:styleId="10">
    <w:name w:val="[Normal]"/>
    <w:unhideWhenUsed/>
    <w:qFormat/>
    <w:uiPriority w:val="0"/>
    <w:pPr>
      <w:spacing w:beforeLines="0" w:afterLines="0"/>
    </w:pPr>
    <w:rPr>
      <w:rFonts w:hint="eastAsia" w:ascii="宋体" w:hAnsi="宋体" w:eastAsia="宋体" w:cs="Times New Roman"/>
      <w:sz w:val="24"/>
      <w:lang w:val="zh-CN" w:eastAsia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2019-05-08T01:00:00Z</dcterms:created>
  <dc:creator>Administrator</dc:creator>
  <cp:lastModifiedBy>Administrator</cp:lastModifiedBy>
  <cp:lastPrinted>2020-12-04T05:08:00Z</cp:lastPrinted>
  <dcterms:modified xsi:type="dcterms:W3CDTF">2020-12-10T01:01:31Z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