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w:t>
      </w:r>
      <w:r>
        <w:rPr>
          <w:rFonts w:hint="eastAsia" w:eastAsia="方正小标宋简体"/>
          <w:bCs/>
          <w:sz w:val="46"/>
          <w:szCs w:val="46"/>
          <w:u w:val="single"/>
        </w:rPr>
        <w:t>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华容县商务粮食局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600001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bookmarkStart w:id="0" w:name="_GoBack"/>
      <w:bookmarkEnd w:id="0"/>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 20</w:t>
      </w:r>
      <w:r>
        <w:rPr>
          <w:rFonts w:hint="eastAsia" w:eastAsia="仿宋_GB2312"/>
          <w:sz w:val="32"/>
          <w:lang w:val="en-US" w:eastAsia="zh-CN"/>
        </w:rPr>
        <w:t>20</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16</w:t>
      </w:r>
      <w:r>
        <w:rPr>
          <w:rFonts w:hint="eastAsia" w:eastAsia="仿宋_GB2312"/>
          <w:sz w:val="32"/>
        </w:rPr>
        <w:t xml:space="preserve">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6"/>
        <w:tblW w:w="98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603"/>
        <w:gridCol w:w="102"/>
        <w:gridCol w:w="196"/>
        <w:gridCol w:w="259"/>
        <w:gridCol w:w="1080"/>
        <w:gridCol w:w="265"/>
        <w:gridCol w:w="139"/>
        <w:gridCol w:w="465"/>
        <w:gridCol w:w="5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91"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肖芳</w:t>
            </w:r>
          </w:p>
        </w:tc>
        <w:tc>
          <w:tcPr>
            <w:tcW w:w="1603"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073"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15873095677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w:t>
            </w:r>
          </w:p>
        </w:tc>
        <w:tc>
          <w:tcPr>
            <w:tcW w:w="1603"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073"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629"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237" w:type="dxa"/>
            <w:gridSpan w:val="15"/>
            <w:vAlign w:val="center"/>
          </w:tcPr>
          <w:p>
            <w:pPr>
              <w:spacing w:line="590" w:lineRule="exact"/>
              <w:ind w:firstLine="480" w:firstLineChars="200"/>
              <w:rPr>
                <w:rFonts w:ascii="仿宋_GB2312" w:eastAsia="仿宋_GB2312"/>
                <w:sz w:val="24"/>
              </w:rPr>
            </w:pPr>
            <w:r>
              <w:rPr>
                <w:rFonts w:hint="eastAsia" w:ascii="仿宋_GB2312" w:eastAsia="仿宋_GB2312"/>
                <w:sz w:val="24"/>
              </w:rPr>
              <w:t>（一）贯彻执行国家和省市对外开放、利用外资和国际经济合作以及国内贸易发展战略、方针、政策，拟订全县外向型经济发展和国内贸易发展战略，制定具体的实施办法。贯彻执行国家和省有关口岸工作政策法规。</w:t>
            </w:r>
          </w:p>
          <w:p>
            <w:pPr>
              <w:spacing w:line="590" w:lineRule="exact"/>
              <w:ind w:firstLine="480" w:firstLineChars="200"/>
              <w:rPr>
                <w:rFonts w:ascii="仿宋_GB2312" w:eastAsia="仿宋_GB2312"/>
                <w:sz w:val="24"/>
              </w:rPr>
            </w:pPr>
            <w:r>
              <w:rPr>
                <w:rFonts w:hint="eastAsia" w:ascii="仿宋_GB2312" w:eastAsia="仿宋_GB2312"/>
                <w:sz w:val="24"/>
              </w:rPr>
              <w:t>（二）负责推进商贸流通产业结构调整，指导全县商贸服务业、社区商业发展；指导中心城区标准化菜市场建设改造，提出促进商贸中小企业发展的政策建议，推动流通标准化和连锁经营、商业特许经营、物流配送、电子商务等现代流通方式发展。</w:t>
            </w:r>
          </w:p>
          <w:p>
            <w:pPr>
              <w:spacing w:line="590" w:lineRule="exact"/>
              <w:ind w:firstLine="480" w:firstLineChars="200"/>
              <w:rPr>
                <w:rFonts w:ascii="仿宋_GB2312" w:eastAsia="仿宋_GB2312"/>
                <w:sz w:val="24"/>
              </w:rPr>
            </w:pPr>
            <w:r>
              <w:rPr>
                <w:rFonts w:hint="eastAsia" w:ascii="仿宋_GB2312" w:eastAsia="仿宋_GB2312"/>
                <w:sz w:val="24"/>
              </w:rPr>
              <w:t>（三）拟订全县商贸服务业行业规范、全县成品油分销体系和餐饮发展规划。指导商务领域品牌建设、绿色消费工作，提出促进商贸中小企业发展政策建议。组织我县企业参加各种内外贸交易会、展销会、洽谈会、博览会。</w:t>
            </w:r>
          </w:p>
          <w:p>
            <w:pPr>
              <w:spacing w:line="590" w:lineRule="exact"/>
              <w:ind w:firstLine="480" w:firstLineChars="200"/>
              <w:rPr>
                <w:rFonts w:ascii="仿宋_GB2312" w:eastAsia="仿宋_GB2312"/>
                <w:sz w:val="24"/>
              </w:rPr>
            </w:pPr>
            <w:r>
              <w:rPr>
                <w:rFonts w:hint="eastAsia" w:ascii="仿宋_GB2312" w:eastAsia="仿宋_GB2312"/>
                <w:sz w:val="24"/>
              </w:rPr>
              <w:t>（四）负责全县商贸经济指标编报、统计、监督和管理工作；组织实施我县重要消费品市场调控和流通管理工作，负责建立健全全县生活必需品市场供应应急管理机制，监测分析市场运行、商品供求状况，调查分析商品价格信息，进行预警和信息引导，按分工负责重要消费品储备管理工作。</w:t>
            </w:r>
          </w:p>
          <w:p>
            <w:pPr>
              <w:spacing w:line="590" w:lineRule="exact"/>
              <w:ind w:firstLine="480" w:firstLineChars="200"/>
              <w:rPr>
                <w:rFonts w:ascii="仿宋_GB2312" w:eastAsia="仿宋_GB2312"/>
                <w:sz w:val="24"/>
              </w:rPr>
            </w:pPr>
            <w:r>
              <w:rPr>
                <w:rFonts w:hint="eastAsia" w:ascii="仿宋_GB2312" w:eastAsia="仿宋_GB2312"/>
                <w:sz w:val="24"/>
              </w:rPr>
              <w:t>（五）负责商务领域信用体系建设；参与打击侵犯知识产权、打击假冒伪劣商品等扰乱市场秩序行为。承担全县单用途商业预付卡发卡企业备案管理工作。负责拍卖、旧货流通、再生资源回收、成品油等行业监督管理。</w:t>
            </w:r>
          </w:p>
          <w:p>
            <w:pPr>
              <w:spacing w:line="590" w:lineRule="exact"/>
              <w:ind w:firstLine="480" w:firstLineChars="200"/>
              <w:rPr>
                <w:rFonts w:ascii="仿宋_GB2312" w:eastAsia="仿宋_GB2312"/>
                <w:sz w:val="24"/>
              </w:rPr>
            </w:pPr>
            <w:r>
              <w:rPr>
                <w:rFonts w:hint="eastAsia" w:ascii="仿宋_GB2312" w:eastAsia="仿宋_GB2312"/>
                <w:sz w:val="24"/>
              </w:rPr>
              <w:t>（六）执行重要商品进出口管理、加工贸易管理办法、进出口商品配额管理和对外技术贸易、进出口管制以及鼓励技术和成套设备进出口的贸易政策。拟定和执行全县促进外贸增长政策措施。指导全县进出口业务工作，指导贸易促进活动和外贸促进体系建设，配合全县口岸建设。</w:t>
            </w:r>
          </w:p>
          <w:p>
            <w:pPr>
              <w:spacing w:line="590" w:lineRule="exact"/>
              <w:ind w:firstLine="480" w:firstLineChars="200"/>
              <w:rPr>
                <w:rFonts w:ascii="仿宋_GB2312" w:eastAsia="仿宋_GB2312"/>
                <w:sz w:val="24"/>
              </w:rPr>
            </w:pPr>
            <w:r>
              <w:rPr>
                <w:rFonts w:hint="eastAsia" w:ascii="仿宋_GB2312" w:eastAsia="仿宋_GB2312"/>
                <w:sz w:val="24"/>
              </w:rPr>
              <w:t>（七）组织协调反倾销、反补贴、保障措施及其他进出口公平贸易相关的工作，建立进出口公平贸易预警机制，组织全县产业损害调查。</w:t>
            </w:r>
          </w:p>
          <w:p>
            <w:pPr>
              <w:spacing w:line="590" w:lineRule="exact"/>
              <w:ind w:firstLine="480" w:firstLineChars="200"/>
              <w:rPr>
                <w:rFonts w:ascii="仿宋_GB2312" w:eastAsia="仿宋_GB2312"/>
                <w:sz w:val="24"/>
              </w:rPr>
            </w:pPr>
            <w:r>
              <w:rPr>
                <w:rFonts w:hint="eastAsia" w:ascii="仿宋_GB2312" w:eastAsia="仿宋_GB2312"/>
                <w:sz w:val="24"/>
              </w:rPr>
              <w:t>（八）负责我县外商投资企业设立、变更审批和转报工作；依法监督检查全县外商投资企业执行有关法律、法规、规章、合同章程情况，并协调处理有关问题。</w:t>
            </w:r>
          </w:p>
          <w:p>
            <w:pPr>
              <w:spacing w:line="590" w:lineRule="exact"/>
              <w:ind w:firstLine="480" w:firstLineChars="200"/>
              <w:rPr>
                <w:rFonts w:ascii="仿宋_GB2312" w:eastAsia="仿宋_GB2312"/>
                <w:sz w:val="24"/>
              </w:rPr>
            </w:pPr>
            <w:r>
              <w:rPr>
                <w:rFonts w:hint="eastAsia" w:ascii="仿宋_GB2312" w:eastAsia="仿宋_GB2312"/>
                <w:sz w:val="24"/>
              </w:rPr>
              <w:t>（九）负责依法管理和监督全县境外投资、对外承包工程、对外劳务合作等；指导企业对外经济技术合作与交流。</w:t>
            </w:r>
          </w:p>
          <w:p>
            <w:pPr>
              <w:spacing w:line="590" w:lineRule="exact"/>
              <w:ind w:firstLine="480" w:firstLineChars="200"/>
              <w:rPr>
                <w:rFonts w:ascii="仿宋_GB2312" w:eastAsia="仿宋_GB2312"/>
                <w:sz w:val="24"/>
              </w:rPr>
            </w:pPr>
            <w:r>
              <w:rPr>
                <w:rFonts w:hint="eastAsia" w:ascii="仿宋_GB2312" w:eastAsia="仿宋_GB2312"/>
                <w:sz w:val="24"/>
              </w:rPr>
              <w:t>（十）拟订全县电子商务发展规划和政策措施并组织实施，推动电子商务基础设施、物流网络和标准体系建设。负责推动电子商务的应用和发展，建立符合电子商务特点的协同管理体系和市场治理体系，促进全县电子商务发展。</w:t>
            </w:r>
          </w:p>
          <w:p>
            <w:pPr>
              <w:spacing w:line="590" w:lineRule="exact"/>
              <w:ind w:firstLine="480" w:firstLineChars="200"/>
              <w:rPr>
                <w:rFonts w:ascii="仿宋_GB2312" w:eastAsia="仿宋_GB2312"/>
                <w:sz w:val="24"/>
              </w:rPr>
            </w:pPr>
            <w:r>
              <w:rPr>
                <w:rFonts w:hint="eastAsia" w:ascii="仿宋_GB2312" w:eastAsia="仿宋_GB2312"/>
                <w:sz w:val="24"/>
              </w:rPr>
              <w:t>（十一）贯彻执行有关粮食流通和粮油储备的法律法规和政策措施；起草全县粮食流通和粮油储备管理的法律法规草案；研究提出粮食流通和粮油储备体制改革方案并组织实施；具体落实粮食安全行政首长负责制</w:t>
            </w:r>
            <w:r>
              <w:rPr>
                <w:rFonts w:ascii="仿宋_GB2312" w:eastAsia="仿宋_GB2312"/>
                <w:sz w:val="24"/>
              </w:rPr>
              <w:t>;</w:t>
            </w:r>
            <w:r>
              <w:rPr>
                <w:rFonts w:hint="eastAsia" w:ascii="仿宋_GB2312" w:eastAsia="仿宋_GB2312"/>
                <w:sz w:val="24"/>
              </w:rPr>
              <w:t>负责粮食收购资格许可的审批和检查；建立和完善地方粮食储备制度，承担县级和地方储备粮油管理工作；编制全县粮食流通、仓储、加工设施建设规划，管理有关粮食流通设施的政府投资项目，加快粮食流通基础设施建设；负责全县粮食流通的行业管理，拟定全县粮食行业发展规划、政策和粮食收购市场准入标准、粮食流通标准、粮食质量标准并组织实施；审批并核查粮食收购资格。</w:t>
            </w:r>
          </w:p>
          <w:p>
            <w:pPr>
              <w:spacing w:line="590" w:lineRule="exact"/>
              <w:ind w:firstLine="480" w:firstLineChars="200"/>
              <w:rPr>
                <w:rFonts w:ascii="仿宋_GB2312" w:eastAsia="仿宋_GB2312"/>
                <w:sz w:val="24"/>
              </w:rPr>
            </w:pPr>
            <w:r>
              <w:rPr>
                <w:rFonts w:hint="eastAsia" w:ascii="仿宋_GB2312" w:eastAsia="仿宋_GB2312"/>
                <w:sz w:val="24"/>
              </w:rPr>
              <w:t>（十二）拟订全县粮食产业化发展规划，提出目标和措施并组织实施；指导和监督从事粮食收购、销售、储存、加工的粮食经营者以及饲料、工业用粮企业执行国家粮食流通政策。加强粮食质量管理和检测体系建设，负责粮食流通、加工行业安全生产工作的监督管理，负责粮食收购、储存、运输环节粮食质量安全和原粮卫生的监督管理，以及执行国家粮食流通统计制度的情况进行监督检查；组织实施全县粮食库存检查工作。</w:t>
            </w:r>
            <w:r>
              <w:rPr>
                <w:rFonts w:ascii="仿宋_GB2312" w:eastAsia="仿宋_GB2312"/>
                <w:sz w:val="24"/>
              </w:rPr>
              <w:t xml:space="preserve"> </w:t>
            </w:r>
          </w:p>
          <w:p>
            <w:pPr>
              <w:spacing w:line="590" w:lineRule="exact"/>
              <w:ind w:firstLine="480" w:firstLineChars="200"/>
              <w:rPr>
                <w:rFonts w:ascii="仿宋_GB2312" w:eastAsia="仿宋_GB2312"/>
                <w:sz w:val="24"/>
              </w:rPr>
            </w:pPr>
            <w:r>
              <w:rPr>
                <w:rFonts w:hint="eastAsia" w:ascii="仿宋_GB2312" w:eastAsia="仿宋_GB2312"/>
                <w:sz w:val="24"/>
              </w:rPr>
              <w:t>（十三）负责管理局属企事业单位；负责县委县政府划定范围的商贸流通行业安全生产工作。</w:t>
            </w:r>
          </w:p>
          <w:p>
            <w:pPr>
              <w:spacing w:line="590" w:lineRule="exact"/>
              <w:ind w:firstLine="480" w:firstLineChars="200"/>
              <w:rPr>
                <w:rFonts w:ascii="仿宋_GB2312" w:eastAsia="仿宋_GB2312"/>
                <w:sz w:val="24"/>
              </w:rPr>
            </w:pPr>
            <w:r>
              <w:rPr>
                <w:rFonts w:hint="eastAsia" w:ascii="仿宋_GB2312" w:eastAsia="仿宋_GB2312"/>
                <w:sz w:val="24"/>
              </w:rPr>
              <w:t>（十四）完成上级交办的其他任务。</w:t>
            </w:r>
          </w:p>
          <w:p>
            <w:pPr>
              <w:spacing w:line="590" w:lineRule="exact"/>
              <w:ind w:firstLine="480" w:firstLineChars="200"/>
              <w:rPr>
                <w:rFonts w:ascii="仿宋_GB2312" w:eastAsia="仿宋_GB2312"/>
                <w:sz w:val="24"/>
              </w:rPr>
            </w:pPr>
            <w:r>
              <w:rPr>
                <w:rFonts w:hint="eastAsia" w:ascii="仿宋_GB2312" w:eastAsia="仿宋_GB2312"/>
                <w:sz w:val="24"/>
              </w:rPr>
              <w:t>（十五）商务粮食部门与市场监督管理部门的有关职责分工。</w:t>
            </w:r>
          </w:p>
          <w:p>
            <w:pPr>
              <w:spacing w:line="590" w:lineRule="exact"/>
              <w:ind w:firstLine="480" w:firstLineChars="200"/>
              <w:rPr>
                <w:rFonts w:ascii="仿宋_GB2312" w:eastAsia="仿宋_GB2312"/>
                <w:sz w:val="24"/>
              </w:rPr>
            </w:pPr>
            <w:r>
              <w:rPr>
                <w:rFonts w:hint="eastAsia" w:ascii="仿宋_GB2312" w:eastAsia="仿宋_GB2312"/>
                <w:sz w:val="24"/>
              </w:rPr>
              <w:t>商务粮食部门负责拟订全县餐饮、酒类和药品流通发展规划和政策，市场监督管理部门负责餐饮、酒类和药品流通监督管理。</w:t>
            </w:r>
          </w:p>
          <w:p>
            <w:pPr>
              <w:spacing w:line="590" w:lineRule="exact"/>
              <w:ind w:firstLine="480" w:firstLineChars="200"/>
              <w:rPr>
                <w:rFonts w:ascii="仿宋_GB2312" w:eastAsia="仿宋_GB2312"/>
                <w:sz w:val="24"/>
              </w:rPr>
            </w:pPr>
            <w:r>
              <w:rPr>
                <w:rFonts w:hint="eastAsia" w:ascii="仿宋_GB2312" w:eastAsia="仿宋_GB2312"/>
                <w:sz w:val="24"/>
              </w:rPr>
              <w:t>商务粮食部门负责已取得商务行政许可和备案的商贸流通企业行业管理，市场监督管理部门负责违法线索受理、违法认定和违法处罚；商务粮食部门负责单用途商业预付卡发卡企业的备案管理，市场监督管理部门负责违法线索受理、违法认定和违法处罚。</w:t>
            </w:r>
          </w:p>
          <w:p>
            <w:pPr>
              <w:spacing w:line="590" w:lineRule="exact"/>
              <w:ind w:firstLine="480" w:firstLineChars="200"/>
              <w:rPr>
                <w:rFonts w:ascii="仿宋_GB2312" w:eastAsia="仿宋_GB2312"/>
                <w:sz w:val="24"/>
              </w:rPr>
            </w:pPr>
            <w:r>
              <w:rPr>
                <w:rFonts w:hint="eastAsia" w:ascii="仿宋_GB2312" w:eastAsia="仿宋_GB2312"/>
                <w:sz w:val="24"/>
              </w:rPr>
              <w:t>（十六）关于成品油市场管理职责分工。</w:t>
            </w:r>
          </w:p>
          <w:p>
            <w:pPr>
              <w:spacing w:line="590" w:lineRule="exact"/>
              <w:ind w:firstLine="480" w:firstLineChars="200"/>
              <w:rPr>
                <w:rFonts w:ascii="仿宋_GB2312" w:eastAsia="仿宋_GB2312"/>
                <w:sz w:val="24"/>
              </w:rPr>
            </w:pPr>
            <w:r>
              <w:rPr>
                <w:rFonts w:hint="eastAsia" w:ascii="仿宋_GB2312" w:eastAsia="仿宋_GB2312"/>
                <w:sz w:val="24"/>
              </w:rPr>
              <w:t>商务粮食部门负责对取得成品油经营批准证书的成品油经营企业进行监督管理，市场监管综合执法机构负责违法线索受理、违法认定和违法处罚；市场监管、公安、生态环境、交通、应急等部门依据职责负责打击和查处成品油非法经营行为。</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02"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237" w:type="dxa"/>
            <w:gridSpan w:val="15"/>
            <w:vAlign w:val="center"/>
          </w:tcPr>
          <w:p>
            <w:pPr>
              <w:spacing w:line="640" w:lineRule="exact"/>
              <w:ind w:firstLine="424" w:firstLineChars="177"/>
              <w:rPr>
                <w:rFonts w:ascii="仿宋_GB2312" w:hAnsi="宋体" w:eastAsia="仿宋_GB2312" w:cs="仿宋_GB2312"/>
                <w:color w:val="000000" w:themeColor="text1"/>
                <w:sz w:val="24"/>
                <w:szCs w:val="24"/>
              </w:rPr>
            </w:pPr>
            <w:r>
              <w:rPr>
                <w:rFonts w:hint="eastAsia" w:ascii="仿宋_GB2312" w:hAnsi="宋体" w:eastAsia="仿宋_GB2312" w:cs="仿宋_GB2312"/>
                <w:color w:val="000000" w:themeColor="text1"/>
                <w:sz w:val="24"/>
                <w:szCs w:val="24"/>
              </w:rPr>
              <w:t>1、全力发展开放型经济工作，完成外贸进出口目标任务，建议在县委经济工作会议上进行部署安排。</w:t>
            </w:r>
          </w:p>
          <w:p>
            <w:pPr>
              <w:spacing w:line="640" w:lineRule="exact"/>
              <w:ind w:firstLine="424" w:firstLineChars="177"/>
              <w:rPr>
                <w:rFonts w:ascii="仿宋_GB2312" w:hAnsi="宋体" w:eastAsia="仿宋_GB2312" w:cs="仿宋_GB2312"/>
                <w:color w:val="000000" w:themeColor="text1"/>
                <w:sz w:val="24"/>
                <w:szCs w:val="24"/>
              </w:rPr>
            </w:pPr>
            <w:r>
              <w:rPr>
                <w:rFonts w:hint="eastAsia" w:ascii="仿宋_GB2312" w:hAnsi="宋体" w:eastAsia="仿宋_GB2312" w:cs="仿宋_GB2312"/>
                <w:color w:val="000000" w:themeColor="text1"/>
                <w:sz w:val="24"/>
                <w:szCs w:val="24"/>
              </w:rPr>
              <w:t>2、重点推进</w:t>
            </w:r>
            <w:r>
              <w:rPr>
                <w:rFonts w:hint="eastAsia" w:ascii="仿宋_GB2312" w:hAnsi="仿宋_GB2312" w:eastAsia="仿宋_GB2312" w:cs="仿宋_GB2312"/>
                <w:color w:val="000000" w:themeColor="text1"/>
                <w:sz w:val="24"/>
                <w:szCs w:val="24"/>
              </w:rPr>
              <w:t>华容智慧商贸物流园项目</w:t>
            </w:r>
            <w:r>
              <w:rPr>
                <w:rFonts w:hint="eastAsia" w:ascii="仿宋_GB2312" w:eastAsia="仿宋_GB2312"/>
                <w:color w:val="000000" w:themeColor="text1"/>
                <w:sz w:val="24"/>
                <w:szCs w:val="24"/>
              </w:rPr>
              <w:t>建设工作，建议</w:t>
            </w:r>
            <w:r>
              <w:rPr>
                <w:rFonts w:hint="eastAsia" w:ascii="仿宋_GB2312" w:hAnsi="宋体" w:eastAsia="仿宋_GB2312" w:cs="仿宋_GB2312"/>
                <w:color w:val="000000" w:themeColor="text1"/>
                <w:sz w:val="24"/>
                <w:szCs w:val="24"/>
              </w:rPr>
              <w:t>在县委经济工作会议上进行部署安排。</w:t>
            </w:r>
          </w:p>
          <w:p>
            <w:pPr>
              <w:spacing w:line="640" w:lineRule="exact"/>
              <w:ind w:firstLine="424" w:firstLineChars="177"/>
              <w:rPr>
                <w:rFonts w:ascii="仿宋_GB2312" w:hAnsi="宋体" w:eastAsia="仿宋_GB2312" w:cs="仿宋_GB2312"/>
                <w:color w:val="000000" w:themeColor="text1"/>
                <w:sz w:val="24"/>
                <w:szCs w:val="24"/>
              </w:rPr>
            </w:pPr>
            <w:r>
              <w:rPr>
                <w:rFonts w:hint="eastAsia" w:ascii="仿宋_GB2312" w:hAnsi="宋体" w:eastAsia="仿宋_GB2312" w:cs="仿宋_GB2312"/>
                <w:color w:val="000000" w:themeColor="text1"/>
                <w:sz w:val="24"/>
                <w:szCs w:val="24"/>
              </w:rPr>
              <w:t>3、大力推进电子商务发展，加快推进电商扶贫工作。</w:t>
            </w:r>
          </w:p>
          <w:p>
            <w:pPr>
              <w:spacing w:line="640" w:lineRule="exact"/>
              <w:ind w:firstLine="424" w:firstLineChars="177"/>
              <w:rPr>
                <w:rFonts w:ascii="仿宋_GB2312" w:hAnsi="宋体" w:eastAsia="仿宋_GB2312" w:cs="仿宋_GB2312"/>
                <w:color w:val="000000" w:themeColor="text1"/>
                <w:sz w:val="24"/>
                <w:szCs w:val="24"/>
              </w:rPr>
            </w:pPr>
            <w:r>
              <w:rPr>
                <w:rFonts w:hint="eastAsia" w:ascii="仿宋_GB2312" w:hAnsi="宋体" w:eastAsia="仿宋_GB2312" w:cs="仿宋_GB2312"/>
                <w:color w:val="000000" w:themeColor="text1"/>
                <w:sz w:val="24"/>
                <w:szCs w:val="24"/>
              </w:rPr>
              <w:t>4、按照《华容县“中国好粮油”行动示范工程实施方案》，继续实施优质粮食工程。</w:t>
            </w:r>
          </w:p>
          <w:p>
            <w:pPr>
              <w:spacing w:line="640" w:lineRule="exact"/>
              <w:ind w:firstLine="424" w:firstLineChars="177"/>
              <w:rPr>
                <w:rFonts w:ascii="仿宋_GB2312" w:hAnsi="宋体" w:eastAsia="仿宋_GB2312" w:cs="仿宋_GB2312"/>
                <w:color w:val="000000" w:themeColor="text1"/>
                <w:sz w:val="24"/>
                <w:szCs w:val="24"/>
              </w:rPr>
            </w:pPr>
            <w:r>
              <w:rPr>
                <w:rFonts w:hint="eastAsia" w:ascii="仿宋_GB2312" w:hAnsi="宋体" w:eastAsia="仿宋_GB2312" w:cs="仿宋_GB2312"/>
                <w:color w:val="000000" w:themeColor="text1"/>
                <w:sz w:val="24"/>
                <w:szCs w:val="24"/>
              </w:rPr>
              <w:t>5、继续做好小康指标的统计、报送工作。</w:t>
            </w:r>
          </w:p>
          <w:p>
            <w:pPr>
              <w:spacing w:line="640" w:lineRule="exact"/>
              <w:ind w:firstLine="424" w:firstLineChars="177"/>
              <w:rPr>
                <w:rFonts w:ascii="仿宋_GB2312" w:hAnsi="宋体" w:eastAsia="仿宋_GB2312" w:cs="仿宋_GB2312"/>
                <w:color w:val="000000" w:themeColor="text1"/>
                <w:sz w:val="24"/>
                <w:szCs w:val="24"/>
              </w:rPr>
            </w:pPr>
            <w:r>
              <w:rPr>
                <w:rFonts w:hint="eastAsia" w:ascii="仿宋_GB2312" w:hAnsi="宋体" w:eastAsia="仿宋_GB2312" w:cs="仿宋_GB2312"/>
                <w:color w:val="000000" w:themeColor="text1"/>
                <w:sz w:val="24"/>
                <w:szCs w:val="24"/>
              </w:rPr>
              <w:t>6、全面从严治党，继续抓好党建工作。</w:t>
            </w:r>
          </w:p>
          <w:p>
            <w:pPr>
              <w:spacing w:line="640" w:lineRule="exact"/>
              <w:ind w:firstLine="424" w:firstLineChars="177"/>
              <w:rPr>
                <w:rFonts w:ascii="仿宋_GB2312" w:hAnsi="宋体" w:eastAsia="仿宋_GB2312" w:cs="仿宋_GB2312"/>
                <w:color w:val="000000" w:themeColor="text1"/>
                <w:sz w:val="24"/>
                <w:szCs w:val="24"/>
              </w:rPr>
            </w:pPr>
            <w:r>
              <w:rPr>
                <w:rFonts w:hint="eastAsia" w:ascii="仿宋_GB2312" w:hAnsi="宋体" w:eastAsia="仿宋_GB2312" w:cs="仿宋_GB2312"/>
                <w:color w:val="000000" w:themeColor="text1"/>
                <w:sz w:val="24"/>
                <w:szCs w:val="24"/>
              </w:rPr>
              <w:t>7、继续协调三产业重大项目建设工作。</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52"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237" w:type="dxa"/>
            <w:gridSpan w:val="15"/>
            <w:vAlign w:val="center"/>
          </w:tcPr>
          <w:p>
            <w:pPr>
              <w:spacing w:line="640" w:lineRule="exact"/>
              <w:ind w:firstLine="424" w:firstLineChars="177"/>
              <w:rPr>
                <w:rFonts w:ascii="黑体" w:hAnsi="黑体" w:eastAsia="黑体" w:cs="仿宋_GB2312"/>
                <w:color w:val="000000" w:themeColor="text1"/>
                <w:sz w:val="24"/>
              </w:rPr>
            </w:pPr>
            <w:r>
              <w:rPr>
                <w:rFonts w:hint="eastAsia" w:ascii="黑体" w:hAnsi="黑体" w:eastAsia="黑体" w:cs="仿宋_GB2312"/>
                <w:color w:val="000000" w:themeColor="text1"/>
                <w:sz w:val="24"/>
              </w:rPr>
              <w:t>一、各项经济指标运行情况</w:t>
            </w:r>
          </w:p>
          <w:p>
            <w:pPr>
              <w:spacing w:line="640" w:lineRule="exact"/>
              <w:ind w:firstLine="424" w:firstLineChars="177"/>
              <w:rPr>
                <w:rFonts w:hint="eastAsia" w:ascii="仿宋_GB2312" w:hAnsi="宋体" w:eastAsia="仿宋_GB2312" w:cs="仿宋_GB2312"/>
                <w:color w:val="000000" w:themeColor="text1"/>
                <w:sz w:val="24"/>
                <w:lang w:eastAsia="zh-CN"/>
              </w:rPr>
            </w:pPr>
            <w:r>
              <w:rPr>
                <w:rFonts w:ascii="仿宋_GB2312" w:hAnsi="宋体" w:eastAsia="仿宋_GB2312" w:cs="仿宋_GB2312"/>
                <w:color w:val="000000" w:themeColor="text1"/>
                <w:sz w:val="24"/>
              </w:rPr>
              <w:t>201</w:t>
            </w:r>
            <w:r>
              <w:rPr>
                <w:rFonts w:hint="eastAsia" w:ascii="仿宋_GB2312" w:hAnsi="宋体" w:eastAsia="仿宋_GB2312" w:cs="仿宋_GB2312"/>
                <w:color w:val="000000" w:themeColor="text1"/>
                <w:sz w:val="24"/>
                <w:lang w:val="en-US" w:eastAsia="zh-CN"/>
              </w:rPr>
              <w:t>9</w:t>
            </w:r>
            <w:r>
              <w:rPr>
                <w:rFonts w:hint="eastAsia" w:ascii="仿宋_GB2312" w:hAnsi="宋体" w:eastAsia="仿宋_GB2312" w:cs="仿宋_GB2312"/>
                <w:color w:val="000000" w:themeColor="text1"/>
                <w:sz w:val="24"/>
              </w:rPr>
              <w:t>年社会商品零售总额</w:t>
            </w:r>
            <w:r>
              <w:rPr>
                <w:rFonts w:hint="eastAsia" w:ascii="仿宋_GB2312" w:hAnsi="宋体" w:eastAsia="仿宋_GB2312" w:cs="仿宋_GB2312"/>
                <w:color w:val="000000" w:themeColor="text1"/>
                <w:sz w:val="24"/>
                <w:lang w:val="en-US" w:eastAsia="zh-CN"/>
              </w:rPr>
              <w:t xml:space="preserve"> 125.4</w:t>
            </w:r>
            <w:r>
              <w:rPr>
                <w:rFonts w:hint="eastAsia" w:ascii="仿宋_GB2312" w:hAnsi="宋体" w:eastAsia="仿宋_GB2312" w:cs="仿宋_GB2312"/>
                <w:color w:val="000000" w:themeColor="text1"/>
                <w:sz w:val="24"/>
              </w:rPr>
              <w:t>亿元，同比增长</w:t>
            </w:r>
            <w:r>
              <w:rPr>
                <w:rFonts w:hint="eastAsia" w:ascii="仿宋_GB2312" w:hAnsi="宋体" w:eastAsia="仿宋_GB2312" w:cs="仿宋_GB2312"/>
                <w:color w:val="000000" w:themeColor="text1"/>
                <w:sz w:val="24"/>
                <w:lang w:val="en-US" w:eastAsia="zh-CN"/>
              </w:rPr>
              <w:t xml:space="preserve"> 10.4</w:t>
            </w:r>
            <w:r>
              <w:rPr>
                <w:rFonts w:ascii="仿宋_GB2312" w:hAnsi="宋体" w:eastAsia="仿宋_GB2312" w:cs="仿宋_GB2312"/>
                <w:color w:val="000000" w:themeColor="text1"/>
                <w:sz w:val="24"/>
              </w:rPr>
              <w:t>%</w:t>
            </w:r>
            <w:r>
              <w:rPr>
                <w:rFonts w:hint="eastAsia" w:ascii="仿宋_GB2312" w:hAnsi="宋体" w:eastAsia="仿宋_GB2312" w:cs="仿宋_GB2312"/>
                <w:color w:val="000000" w:themeColor="text1"/>
                <w:sz w:val="24"/>
              </w:rPr>
              <w:t>。</w:t>
            </w:r>
            <w:r>
              <w:rPr>
                <w:rFonts w:ascii="仿宋_GB2312" w:hAnsi="宋体" w:eastAsia="仿宋_GB2312" w:cs="仿宋_GB2312"/>
                <w:color w:val="000000" w:themeColor="text1"/>
                <w:sz w:val="24"/>
              </w:rPr>
              <w:t>201</w:t>
            </w:r>
            <w:r>
              <w:rPr>
                <w:rFonts w:hint="eastAsia" w:ascii="仿宋_GB2312" w:hAnsi="宋体" w:eastAsia="仿宋_GB2312" w:cs="仿宋_GB2312"/>
                <w:color w:val="000000" w:themeColor="text1"/>
                <w:sz w:val="24"/>
                <w:lang w:val="en-US" w:eastAsia="zh-CN"/>
              </w:rPr>
              <w:t>9</w:t>
            </w:r>
            <w:r>
              <w:rPr>
                <w:rFonts w:hint="eastAsia" w:ascii="仿宋_GB2312" w:hAnsi="宋体" w:eastAsia="仿宋_GB2312" w:cs="仿宋_GB2312"/>
                <w:color w:val="000000" w:themeColor="text1"/>
                <w:sz w:val="24"/>
              </w:rPr>
              <w:t>年外贸进出口总额</w:t>
            </w:r>
            <w:r>
              <w:rPr>
                <w:rFonts w:hint="eastAsia" w:ascii="仿宋_GB2312" w:hAnsi="宋体" w:eastAsia="仿宋_GB2312" w:cs="仿宋_GB2312"/>
                <w:color w:val="000000" w:themeColor="text1"/>
                <w:sz w:val="24"/>
                <w:lang w:val="en-US" w:eastAsia="zh-CN"/>
              </w:rPr>
              <w:t>2300</w:t>
            </w:r>
            <w:r>
              <w:rPr>
                <w:rFonts w:hint="eastAsia" w:ascii="仿宋_GB2312" w:hAnsi="宋体" w:eastAsia="仿宋_GB2312" w:cs="仿宋_GB2312"/>
                <w:color w:val="000000" w:themeColor="text1"/>
                <w:sz w:val="24"/>
              </w:rPr>
              <w:t>万美元，提前超额完成了目标任务</w:t>
            </w:r>
            <w:r>
              <w:rPr>
                <w:rFonts w:hint="eastAsia" w:ascii="仿宋_GB2312" w:hAnsi="宋体" w:eastAsia="仿宋_GB2312" w:cs="仿宋_GB2312"/>
                <w:color w:val="000000" w:themeColor="text1"/>
                <w:sz w:val="24"/>
                <w:lang w:eastAsia="zh-CN"/>
              </w:rPr>
              <w:t>。</w:t>
            </w:r>
            <w:r>
              <w:rPr>
                <w:rFonts w:hint="eastAsia" w:ascii="仿宋_GB2312" w:hAnsi="宋体" w:eastAsia="仿宋_GB2312" w:cs="仿宋_GB2312"/>
                <w:color w:val="000000" w:themeColor="text1"/>
                <w:sz w:val="24"/>
              </w:rPr>
              <w:t>小康指标实现程度</w:t>
            </w:r>
            <w:r>
              <w:rPr>
                <w:rFonts w:hint="eastAsia" w:ascii="仿宋_GB2312" w:hAnsi="宋体" w:eastAsia="仿宋_GB2312" w:cs="仿宋_GB2312"/>
                <w:color w:val="000000" w:themeColor="text1"/>
                <w:sz w:val="24"/>
                <w:lang w:val="en-US" w:eastAsia="zh-CN"/>
              </w:rPr>
              <w:t>96</w:t>
            </w:r>
            <w:r>
              <w:rPr>
                <w:rFonts w:hint="eastAsia" w:ascii="仿宋_GB2312" w:hAnsi="宋体" w:eastAsia="仿宋_GB2312" w:cs="仿宋_GB2312"/>
                <w:color w:val="FF0000"/>
                <w:sz w:val="24"/>
                <w:lang w:val="en-US" w:eastAsia="zh-CN"/>
              </w:rPr>
              <w:t xml:space="preserve"> </w:t>
            </w:r>
            <w:r>
              <w:rPr>
                <w:rFonts w:hint="eastAsia" w:ascii="仿宋_GB2312" w:hAnsi="宋体" w:eastAsia="仿宋_GB2312" w:cs="仿宋_GB2312"/>
                <w:color w:val="000000" w:themeColor="text1"/>
                <w:sz w:val="24"/>
              </w:rPr>
              <w:t>%</w:t>
            </w:r>
            <w:r>
              <w:rPr>
                <w:rFonts w:hint="eastAsia" w:ascii="仿宋_GB2312" w:hAnsi="宋体" w:eastAsia="仿宋_GB2312" w:cs="仿宋_GB2312"/>
                <w:color w:val="000000" w:themeColor="text1"/>
                <w:sz w:val="24"/>
                <w:lang w:eastAsia="zh-CN"/>
              </w:rPr>
              <w:t>。</w:t>
            </w:r>
          </w:p>
          <w:p>
            <w:pPr>
              <w:spacing w:line="640" w:lineRule="exact"/>
              <w:ind w:firstLine="424" w:firstLineChars="177"/>
              <w:rPr>
                <w:rFonts w:ascii="仿宋_GB2312" w:hAnsi="宋体" w:eastAsia="仿宋_GB2312" w:cs="仿宋_GB2312"/>
                <w:color w:val="000000" w:themeColor="text1"/>
                <w:sz w:val="24"/>
              </w:rPr>
            </w:pPr>
            <w:r>
              <w:rPr>
                <w:rFonts w:hint="eastAsia" w:ascii="黑体" w:hAnsi="黑体" w:eastAsia="黑体" w:cs="仿宋_GB2312"/>
                <w:color w:val="000000" w:themeColor="text1"/>
                <w:sz w:val="24"/>
              </w:rPr>
              <w:t>二、特色工作和亮点工作</w:t>
            </w:r>
          </w:p>
          <w:p>
            <w:pPr>
              <w:spacing w:line="640" w:lineRule="exact"/>
              <w:ind w:firstLine="426" w:firstLineChars="177"/>
              <w:rPr>
                <w:rFonts w:ascii="仿宋_GB2312" w:hAnsi="楷体_GB2312" w:eastAsia="仿宋_GB2312" w:cs="楷体_GB2312"/>
                <w:color w:val="000000" w:themeColor="text1"/>
                <w:sz w:val="24"/>
              </w:rPr>
            </w:pPr>
            <w:r>
              <w:rPr>
                <w:rFonts w:hint="eastAsia" w:ascii="仿宋_GB2312" w:hAnsi="黑体" w:eastAsia="仿宋_GB2312" w:cs="仿宋_GB2312"/>
                <w:b/>
                <w:color w:val="000000" w:themeColor="text1"/>
                <w:sz w:val="24"/>
              </w:rPr>
              <w:t>1、“中国好粮油”工程。</w:t>
            </w:r>
            <w:r>
              <w:rPr>
                <w:rFonts w:hint="eastAsia" w:ascii="仿宋_GB2312" w:hAnsi="楷体_GB2312" w:eastAsia="仿宋_GB2312" w:cs="楷体_GB2312"/>
                <w:color w:val="000000" w:themeColor="text1"/>
                <w:sz w:val="24"/>
              </w:rPr>
              <w:t>201</w:t>
            </w:r>
            <w:r>
              <w:rPr>
                <w:rFonts w:hint="eastAsia" w:ascii="仿宋_GB2312" w:hAnsi="楷体_GB2312" w:eastAsia="仿宋_GB2312" w:cs="楷体_GB2312"/>
                <w:color w:val="000000" w:themeColor="text1"/>
                <w:sz w:val="24"/>
                <w:lang w:val="en-US" w:eastAsia="zh-CN"/>
              </w:rPr>
              <w:t>9</w:t>
            </w:r>
            <w:r>
              <w:rPr>
                <w:rFonts w:hint="eastAsia" w:ascii="仿宋_GB2312" w:hAnsi="楷体_GB2312" w:eastAsia="仿宋_GB2312" w:cs="楷体_GB2312"/>
                <w:color w:val="000000" w:themeColor="text1"/>
                <w:sz w:val="24"/>
              </w:rPr>
              <w:t>年，我局牵头打造“华容稻”区域公共品牌，我县</w:t>
            </w:r>
            <w:r>
              <w:rPr>
                <w:rFonts w:hint="eastAsia" w:ascii="仿宋_GB2312" w:hAnsi="宋体" w:eastAsia="仿宋_GB2312" w:cs="仿宋_GB2312"/>
                <w:color w:val="000000" w:themeColor="text1"/>
                <w:sz w:val="24"/>
              </w:rPr>
              <w:t>粮食产业正由资源优势逐步向产品优势发展，优质优价的产业体系正在逐步形成。</w:t>
            </w:r>
            <w:r>
              <w:rPr>
                <w:rFonts w:hint="eastAsia" w:ascii="仿宋_GB2312" w:hAnsi="黑体" w:eastAsia="仿宋_GB2312" w:cs="仿宋_GB2312"/>
                <w:color w:val="000000" w:themeColor="text1"/>
                <w:sz w:val="24"/>
              </w:rPr>
              <w:t>“</w:t>
            </w:r>
            <w:r>
              <w:rPr>
                <w:rFonts w:hint="eastAsia" w:ascii="仿宋_GB2312" w:hAnsi="黑体" w:eastAsia="仿宋_GB2312" w:cs="仿宋_GB2312"/>
                <w:color w:val="000000" w:themeColor="text1"/>
                <w:sz w:val="24"/>
                <w:lang w:eastAsia="zh-CN"/>
              </w:rPr>
              <w:t>优质粮油工程</w:t>
            </w:r>
            <w:r>
              <w:rPr>
                <w:rFonts w:hint="eastAsia" w:ascii="仿宋_GB2312" w:hAnsi="黑体" w:eastAsia="仿宋_GB2312" w:cs="仿宋_GB2312"/>
                <w:color w:val="000000" w:themeColor="text1"/>
                <w:sz w:val="24"/>
              </w:rPr>
              <w:t>”</w:t>
            </w:r>
            <w:r>
              <w:rPr>
                <w:rFonts w:hint="eastAsia" w:ascii="仿宋_GB2312" w:hAnsi="黑体" w:eastAsia="仿宋_GB2312" w:cs="仿宋_GB2312"/>
                <w:color w:val="000000" w:themeColor="text1"/>
                <w:sz w:val="24"/>
                <w:lang w:eastAsia="zh-CN"/>
              </w:rPr>
              <w:t>正稳步推进。</w:t>
            </w:r>
            <w:r>
              <w:rPr>
                <w:rFonts w:hint="eastAsia" w:ascii="仿宋_GB2312" w:hAnsi="宋体" w:eastAsia="仿宋_GB2312" w:cs="仿宋_GB2312"/>
                <w:color w:val="000000" w:themeColor="text1"/>
                <w:sz w:val="24"/>
              </w:rPr>
              <w:t>20</w:t>
            </w:r>
            <w:r>
              <w:rPr>
                <w:rFonts w:hint="eastAsia" w:ascii="仿宋_GB2312" w:hAnsi="宋体" w:eastAsia="仿宋_GB2312" w:cs="仿宋_GB2312"/>
                <w:color w:val="000000" w:themeColor="text1"/>
                <w:sz w:val="24"/>
                <w:lang w:val="en-US" w:eastAsia="zh-CN"/>
              </w:rPr>
              <w:t>20</w:t>
            </w:r>
            <w:r>
              <w:rPr>
                <w:rFonts w:hint="eastAsia" w:ascii="仿宋_GB2312" w:hAnsi="宋体" w:eastAsia="仿宋_GB2312" w:cs="仿宋_GB2312"/>
                <w:color w:val="000000" w:themeColor="text1"/>
                <w:sz w:val="24"/>
              </w:rPr>
              <w:t>年，上级主管部门继续对我县优质粮食工程进行资金支持。</w:t>
            </w:r>
          </w:p>
          <w:p>
            <w:pPr>
              <w:pStyle w:val="5"/>
              <w:shd w:val="clear" w:color="auto" w:fill="FFFFFF"/>
              <w:spacing w:line="640" w:lineRule="exact"/>
              <w:ind w:firstLine="426" w:firstLineChars="177"/>
              <w:jc w:val="both"/>
              <w:rPr>
                <w:rFonts w:ascii="仿宋_GB2312" w:eastAsia="仿宋_GB2312"/>
                <w:color w:val="000000" w:themeColor="text1"/>
              </w:rPr>
            </w:pPr>
            <w:r>
              <w:rPr>
                <w:rFonts w:hint="eastAsia" w:ascii="仿宋_GB2312" w:hAnsi="Arial" w:eastAsia="仿宋_GB2312" w:cs="Arial"/>
                <w:b/>
                <w:color w:val="000000" w:themeColor="text1"/>
                <w:shd w:val="clear" w:color="auto" w:fill="FFFFFF"/>
              </w:rPr>
              <w:t>2</w:t>
            </w:r>
            <w:r>
              <w:rPr>
                <w:rFonts w:hint="eastAsia" w:ascii="仿宋_GB2312" w:eastAsia="仿宋_GB2312" w:cs="楷体_GB2312"/>
                <w:b/>
                <w:bCs/>
                <w:color w:val="000000" w:themeColor="text1"/>
              </w:rPr>
              <w:t>、开放型经济工作。</w:t>
            </w:r>
            <w:r>
              <w:rPr>
                <w:rFonts w:hint="eastAsia" w:ascii="仿宋_GB2312" w:eastAsia="仿宋_GB2312"/>
                <w:color w:val="000000" w:themeColor="text1"/>
              </w:rPr>
              <w:t>目前我县超额完成了外贸进出口任务，其中</w:t>
            </w:r>
            <w:r>
              <w:rPr>
                <w:rFonts w:hint="eastAsia" w:ascii="仿宋_GB2312" w:eastAsia="仿宋_GB2312"/>
                <w:color w:val="000000" w:themeColor="text1"/>
                <w:lang w:eastAsia="zh-CN"/>
              </w:rPr>
              <w:t>我县龙头企业明贡蜂业和宝丽纺织</w:t>
            </w:r>
            <w:r>
              <w:rPr>
                <w:rFonts w:hint="eastAsia" w:ascii="仿宋_GB2312" w:eastAsia="仿宋_GB2312"/>
                <w:color w:val="000000" w:themeColor="text1"/>
              </w:rPr>
              <w:t>，</w:t>
            </w:r>
            <w:r>
              <w:rPr>
                <w:rFonts w:hint="eastAsia" w:ascii="仿宋_GB2312" w:eastAsia="仿宋_GB2312"/>
                <w:color w:val="000000" w:themeColor="text1"/>
                <w:lang w:eastAsia="zh-CN"/>
              </w:rPr>
              <w:t>完成进出口贸易全年目标任务</w:t>
            </w:r>
            <w:r>
              <w:rPr>
                <w:rFonts w:hint="eastAsia" w:ascii="仿宋_GB2312" w:eastAsia="仿宋_GB2312"/>
                <w:color w:val="000000" w:themeColor="text1"/>
                <w:lang w:val="en-US" w:eastAsia="zh-CN"/>
              </w:rPr>
              <w:t>60%。</w:t>
            </w:r>
          </w:p>
          <w:p>
            <w:pPr>
              <w:spacing w:line="640" w:lineRule="exact"/>
              <w:ind w:firstLine="426" w:firstLineChars="177"/>
              <w:rPr>
                <w:rFonts w:ascii="仿宋_GB2312" w:hAnsi="宋体" w:eastAsia="仿宋_GB2312" w:cs="宋体"/>
                <w:b/>
                <w:color w:val="000000" w:themeColor="text1"/>
                <w:kern w:val="0"/>
                <w:sz w:val="24"/>
              </w:rPr>
            </w:pPr>
            <w:r>
              <w:rPr>
                <w:rFonts w:hint="eastAsia" w:ascii="仿宋_GB2312" w:eastAsia="仿宋_GB2312"/>
                <w:b/>
                <w:color w:val="000000" w:themeColor="text1"/>
                <w:sz w:val="24"/>
                <w:shd w:val="clear" w:color="auto" w:fill="FFFFFF"/>
              </w:rPr>
              <w:t>3、电子商务和电商扶贫工作</w:t>
            </w:r>
            <w:r>
              <w:rPr>
                <w:rFonts w:hint="eastAsia" w:ascii="仿宋_GB2312" w:eastAsia="仿宋_GB2312"/>
                <w:b/>
                <w:color w:val="000000" w:themeColor="text1"/>
                <w:sz w:val="24"/>
                <w:shd w:val="clear" w:color="auto" w:fill="FFFFFF"/>
                <w:lang w:eastAsia="zh-CN"/>
              </w:rPr>
              <w:t>。</w:t>
            </w:r>
            <w:r>
              <w:rPr>
                <w:rFonts w:hint="eastAsia" w:ascii="仿宋_GB2312" w:eastAsia="仿宋_GB2312"/>
                <w:sz w:val="24"/>
                <w:lang w:val="en-US" w:eastAsia="zh-CN"/>
              </w:rPr>
              <w:t>328</w:t>
            </w:r>
            <w:r>
              <w:rPr>
                <w:rFonts w:hint="eastAsia" w:ascii="仿宋_GB2312" w:eastAsia="仿宋_GB2312"/>
                <w:sz w:val="24"/>
              </w:rPr>
              <w:t>个行政村都建设了电商扶贫小店。</w:t>
            </w:r>
            <w:r>
              <w:rPr>
                <w:rFonts w:hint="eastAsia" w:ascii="仿宋_GB2312" w:eastAsia="仿宋_GB2312"/>
                <w:color w:val="000000" w:themeColor="text1"/>
                <w:sz w:val="24"/>
                <w:shd w:val="clear" w:color="auto" w:fill="FFFFFF"/>
              </w:rPr>
              <w:t>我局组织了</w:t>
            </w:r>
            <w:r>
              <w:rPr>
                <w:rFonts w:hint="eastAsia" w:ascii="仿宋_GB2312" w:eastAsia="仿宋_GB2312"/>
                <w:color w:val="000000" w:themeColor="text1"/>
                <w:sz w:val="24"/>
                <w:shd w:val="clear" w:color="auto" w:fill="FFFFFF"/>
                <w:lang w:val="en-US" w:eastAsia="zh-CN"/>
              </w:rPr>
              <w:t>5</w:t>
            </w:r>
            <w:r>
              <w:rPr>
                <w:rFonts w:hint="eastAsia" w:ascii="仿宋_GB2312" w:eastAsia="仿宋_GB2312"/>
                <w:color w:val="000000" w:themeColor="text1"/>
                <w:sz w:val="24"/>
                <w:shd w:val="clear" w:color="auto" w:fill="FFFFFF"/>
              </w:rPr>
              <w:t>次电商扶贫培训，</w:t>
            </w:r>
            <w:r>
              <w:rPr>
                <w:rFonts w:hint="eastAsia" w:ascii="仿宋_GB2312" w:hAnsi="Arial" w:eastAsia="仿宋_GB2312" w:cs="Arial"/>
                <w:color w:val="000000" w:themeColor="text1"/>
                <w:sz w:val="24"/>
                <w:shd w:val="clear" w:color="auto" w:fill="FFFFFF"/>
              </w:rPr>
              <w:t>提高了各级公务人员对电商精准扶贫工作的认识，进一步提高了业务水平，我县的电商扶贫工作在全省名列前茅。</w:t>
            </w:r>
            <w:r>
              <w:rPr>
                <w:rFonts w:hint="eastAsia" w:ascii="仿宋_GB2312" w:hAnsi="Arial" w:eastAsia="仿宋_GB2312" w:cs="Arial"/>
                <w:color w:val="000000" w:themeColor="text1"/>
                <w:sz w:val="24"/>
                <w:shd w:val="clear" w:color="auto" w:fill="FFFFFF"/>
                <w:lang w:val="en-US" w:eastAsia="zh-CN"/>
              </w:rPr>
              <w:t>328</w:t>
            </w:r>
            <w:r>
              <w:rPr>
                <w:rFonts w:hint="eastAsia" w:ascii="仿宋_GB2312" w:hAnsi="Arial" w:eastAsia="仿宋_GB2312" w:cs="Arial"/>
                <w:color w:val="000000" w:themeColor="text1"/>
                <w:sz w:val="24"/>
                <w:shd w:val="clear" w:color="auto" w:fill="FFFFFF"/>
              </w:rPr>
              <w:t>个行政村的扶贫小店正在加强建设之中。</w:t>
            </w:r>
          </w:p>
          <w:p>
            <w:pPr>
              <w:spacing w:line="640" w:lineRule="exact"/>
              <w:ind w:firstLine="426" w:firstLineChars="177"/>
              <w:rPr>
                <w:rFonts w:ascii="仿宋_GB2312" w:eastAsia="仿宋_GB2312"/>
                <w:color w:val="000000" w:themeColor="text1"/>
                <w:sz w:val="24"/>
              </w:rPr>
            </w:pPr>
            <w:r>
              <w:rPr>
                <w:rFonts w:hint="eastAsia" w:ascii="仿宋_GB2312" w:eastAsia="仿宋_GB2312"/>
                <w:b/>
                <w:color w:val="000000" w:themeColor="text1"/>
                <w:sz w:val="24"/>
              </w:rPr>
              <w:t>4、信访维稳工作。</w:t>
            </w:r>
            <w:r>
              <w:rPr>
                <w:rFonts w:hint="eastAsia" w:ascii="仿宋_GB2312" w:eastAsia="仿宋_GB2312"/>
                <w:color w:val="000000" w:themeColor="text1"/>
                <w:sz w:val="24"/>
              </w:rPr>
              <w:t>商务粮食局人员构成复杂，改制遗留问题多，信访维稳压力大，特别是涉军信访占全县三分之二。但我们坚持抓住源头预防，突出重点，依法开展信访维稳工作，全年接访</w:t>
            </w:r>
            <w:r>
              <w:rPr>
                <w:rFonts w:hint="eastAsia" w:ascii="仿宋_GB2312" w:eastAsia="仿宋_GB2312"/>
                <w:color w:val="000000" w:themeColor="text1"/>
                <w:sz w:val="24"/>
                <w:lang w:val="en-US" w:eastAsia="zh-CN"/>
              </w:rPr>
              <w:t>120</w:t>
            </w:r>
            <w:r>
              <w:rPr>
                <w:rFonts w:hint="eastAsia" w:ascii="仿宋_GB2312" w:eastAsia="仿宋_GB2312"/>
                <w:color w:val="000000" w:themeColor="text1"/>
                <w:sz w:val="24"/>
              </w:rPr>
              <w:t>人次，回复率100%，对商务粮食系统重点涉军信访处理及时。</w:t>
            </w:r>
          </w:p>
          <w:p>
            <w:pPr>
              <w:ind w:firstLine="480" w:firstLineChars="200"/>
              <w:rPr>
                <w:rFonts w:ascii="仿宋" w:hAnsi="仿宋" w:eastAsia="仿宋"/>
                <w:sz w:val="24"/>
              </w:rPr>
            </w:pPr>
          </w:p>
          <w:p>
            <w:pPr>
              <w:ind w:firstLine="482" w:firstLineChars="200"/>
              <w:rPr>
                <w:rFonts w:ascii="仿宋_GB2312" w:hAnsi="宋体" w:eastAsia="仿宋_GB2312" w:cs="仿宋_GB2312"/>
                <w:b/>
                <w:sz w:val="24"/>
              </w:rPr>
            </w:pP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91"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91"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111"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171"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3</w:t>
            </w:r>
            <w:r>
              <w:rPr>
                <w:rFonts w:hint="eastAsia" w:ascii="仿宋_GB2312" w:hAnsi="仿宋_GB2312" w:eastAsia="仿宋_GB2312" w:cs="仿宋_GB2312"/>
                <w:color w:val="000000"/>
                <w:sz w:val="24"/>
                <w:lang w:val="en-US" w:eastAsia="zh-CN"/>
              </w:rPr>
              <w:t>020.1</w:t>
            </w:r>
          </w:p>
        </w:tc>
        <w:tc>
          <w:tcPr>
            <w:tcW w:w="1355" w:type="dxa"/>
            <w:gridSpan w:val="2"/>
            <w:tcBorders>
              <w:left w:val="single" w:color="auto" w:sz="4" w:space="0"/>
            </w:tcBorders>
            <w:vAlign w:val="center"/>
          </w:tcPr>
          <w:p>
            <w:pPr>
              <w:autoSpaceDN w:val="0"/>
              <w:spacing w:line="320" w:lineRule="exact"/>
              <w:jc w:val="both"/>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3020.1</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71"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3</w:t>
            </w:r>
            <w:r>
              <w:rPr>
                <w:rFonts w:hint="eastAsia" w:ascii="仿宋_GB2312" w:hAnsi="仿宋_GB2312" w:eastAsia="仿宋_GB2312" w:cs="仿宋_GB2312"/>
                <w:color w:val="000000"/>
                <w:sz w:val="24"/>
                <w:lang w:val="en-US" w:eastAsia="zh-CN"/>
              </w:rPr>
              <w:t>020.1</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3020.1</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71"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71"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71"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91"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436"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869"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567"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869"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567"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3020.1</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1088.67</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921.83</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166.84</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1931.43</w:t>
            </w:r>
          </w:p>
        </w:tc>
        <w:tc>
          <w:tcPr>
            <w:tcW w:w="869"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567"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3020.1</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1088.67</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921.83</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166.84</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1931.43</w:t>
            </w:r>
          </w:p>
        </w:tc>
        <w:tc>
          <w:tcPr>
            <w:tcW w:w="869"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567"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869"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567"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869"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567"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111"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516"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4.28</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516"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4.28</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516"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516"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516"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32"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1032"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4829.69</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267</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4007.69</w:t>
            </w:r>
          </w:p>
        </w:tc>
        <w:tc>
          <w:tcPr>
            <w:tcW w:w="103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4829.69</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267</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4007.69</w:t>
            </w:r>
          </w:p>
        </w:tc>
        <w:tc>
          <w:tcPr>
            <w:tcW w:w="103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3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3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32" w:hRule="atLeast"/>
          <w:jc w:val="center"/>
        </w:trPr>
        <w:tc>
          <w:tcPr>
            <w:tcW w:w="9891"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676"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147"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目标1：提升社会消费品零售总额</w:t>
            </w:r>
            <w:r>
              <w:rPr>
                <w:rFonts w:hint="eastAsia" w:ascii="仿宋_GB2312" w:hAnsi="仿宋_GB2312" w:eastAsia="仿宋_GB2312" w:cs="仿宋_GB2312"/>
                <w:color w:val="000000"/>
                <w:sz w:val="24"/>
                <w:lang w:val="en-US" w:eastAsia="zh-CN"/>
              </w:rPr>
              <w:t>10.4</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目标2：外贸进出口总额</w:t>
            </w:r>
            <w:r>
              <w:rPr>
                <w:rFonts w:hint="eastAsia" w:ascii="仿宋_GB2312" w:hAnsi="仿宋_GB2312" w:eastAsia="仿宋_GB2312" w:cs="仿宋_GB2312"/>
                <w:color w:val="000000"/>
                <w:sz w:val="24"/>
                <w:lang w:val="en-US" w:eastAsia="zh-CN"/>
              </w:rPr>
              <w:t>2300</w:t>
            </w:r>
            <w:r>
              <w:rPr>
                <w:rFonts w:hint="eastAsia" w:ascii="仿宋_GB2312" w:hAnsi="仿宋_GB2312" w:eastAsia="仿宋_GB2312" w:cs="仿宋_GB2312"/>
                <w:color w:val="000000"/>
                <w:sz w:val="24"/>
              </w:rPr>
              <w:t>万美元。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目标3：提升小康指标程度</w:t>
            </w:r>
            <w:r>
              <w:rPr>
                <w:rFonts w:hint="eastAsia" w:ascii="仿宋_GB2312" w:hAnsi="仿宋_GB2312" w:eastAsia="仿宋_GB2312" w:cs="仿宋_GB2312"/>
                <w:color w:val="000000"/>
                <w:sz w:val="24"/>
                <w:lang w:val="en-US" w:eastAsia="zh-CN"/>
              </w:rPr>
              <w:t>96</w:t>
            </w:r>
            <w:r>
              <w:rPr>
                <w:rFonts w:hint="eastAsia" w:ascii="仿宋_GB2312" w:hAnsi="仿宋_GB2312" w:eastAsia="仿宋_GB2312" w:cs="仿宋_GB2312"/>
                <w:color w:val="000000"/>
                <w:sz w:val="24"/>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目标4：打造“华容稻”区域公共品牌，</w:t>
            </w:r>
            <w:r>
              <w:rPr>
                <w:rFonts w:hint="eastAsia" w:ascii="仿宋_GB2312" w:hAnsi="仿宋_GB2312" w:eastAsia="仿宋_GB2312" w:cs="仿宋_GB2312"/>
                <w:color w:val="000000"/>
                <w:sz w:val="24"/>
                <w:lang w:eastAsia="zh-CN"/>
              </w:rPr>
              <w:t>“优质粮油工程”稳步推进。</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目标5：对接搞好开放型经济工作。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目标6：电子商务和电商扶贫工作。</w:t>
            </w:r>
          </w:p>
          <w:p>
            <w:pPr>
              <w:autoSpaceDN w:val="0"/>
              <w:spacing w:line="320" w:lineRule="exact"/>
              <w:jc w:val="left"/>
              <w:textAlignment w:val="center"/>
              <w:rPr>
                <w:rFonts w:hint="eastAsia" w:ascii="仿宋_GB2312" w:hAnsi="宋体" w:eastAsia="仿宋_GB2312" w:cs="仿宋_GB2312"/>
                <w:color w:val="000000" w:themeColor="text1"/>
                <w:sz w:val="24"/>
                <w:szCs w:val="24"/>
                <w:lang w:eastAsia="zh-CN"/>
              </w:rPr>
            </w:pPr>
            <w:r>
              <w:rPr>
                <w:rFonts w:hint="eastAsia" w:ascii="仿宋_GB2312" w:hAnsi="宋体" w:eastAsia="仿宋_GB2312" w:cs="仿宋_GB2312"/>
                <w:color w:val="000000" w:themeColor="text1"/>
                <w:sz w:val="24"/>
                <w:szCs w:val="24"/>
                <w:lang w:eastAsia="zh-CN"/>
              </w:rPr>
              <w:t>目标</w:t>
            </w:r>
            <w:r>
              <w:rPr>
                <w:rFonts w:hint="eastAsia" w:ascii="仿宋_GB2312" w:hAnsi="宋体" w:eastAsia="仿宋_GB2312" w:cs="仿宋_GB2312"/>
                <w:color w:val="000000" w:themeColor="text1"/>
                <w:sz w:val="24"/>
                <w:szCs w:val="24"/>
                <w:lang w:val="en-US" w:eastAsia="zh-CN"/>
              </w:rPr>
              <w:t>7：</w:t>
            </w:r>
            <w:r>
              <w:rPr>
                <w:rFonts w:hint="eastAsia" w:ascii="仿宋_GB2312" w:hAnsi="宋体" w:eastAsia="仿宋_GB2312" w:cs="仿宋_GB2312"/>
                <w:color w:val="000000" w:themeColor="text1"/>
                <w:sz w:val="24"/>
                <w:szCs w:val="24"/>
              </w:rPr>
              <w:t>全面从严治党，抓好党建工作</w:t>
            </w:r>
            <w:r>
              <w:rPr>
                <w:rFonts w:hint="eastAsia" w:ascii="仿宋_GB2312" w:hAnsi="宋体" w:eastAsia="仿宋_GB2312" w:cs="仿宋_GB2312"/>
                <w:color w:val="000000" w:themeColor="text1"/>
                <w:sz w:val="24"/>
                <w:szCs w:val="24"/>
                <w:lang w:eastAsia="zh-CN"/>
              </w:rPr>
              <w:t>。</w:t>
            </w:r>
          </w:p>
          <w:p>
            <w:pPr>
              <w:autoSpaceDN w:val="0"/>
              <w:spacing w:line="320" w:lineRule="exact"/>
              <w:jc w:val="left"/>
              <w:textAlignment w:val="center"/>
              <w:rPr>
                <w:rFonts w:hint="eastAsia" w:ascii="仿宋_GB2312" w:hAnsi="宋体" w:eastAsia="仿宋_GB2312" w:cs="仿宋_GB2312"/>
                <w:color w:val="000000" w:themeColor="text1"/>
                <w:sz w:val="24"/>
                <w:szCs w:val="24"/>
                <w:lang w:eastAsia="zh-CN"/>
              </w:rPr>
            </w:pPr>
            <w:r>
              <w:rPr>
                <w:rFonts w:hint="eastAsia" w:ascii="仿宋_GB2312" w:hAnsi="宋体" w:eastAsia="仿宋_GB2312" w:cs="仿宋_GB2312"/>
                <w:color w:val="000000" w:themeColor="text1"/>
                <w:sz w:val="24"/>
                <w:szCs w:val="24"/>
                <w:lang w:eastAsia="zh-CN"/>
              </w:rPr>
              <w:t>目标</w:t>
            </w:r>
            <w:r>
              <w:rPr>
                <w:rFonts w:hint="eastAsia" w:ascii="仿宋_GB2312" w:hAnsi="宋体" w:eastAsia="仿宋_GB2312" w:cs="仿宋_GB2312"/>
                <w:color w:val="000000" w:themeColor="text1"/>
                <w:sz w:val="24"/>
                <w:szCs w:val="24"/>
                <w:lang w:val="en-US" w:eastAsia="zh-CN"/>
              </w:rPr>
              <w:t>8：</w:t>
            </w:r>
            <w:r>
              <w:rPr>
                <w:rFonts w:hint="eastAsia" w:ascii="仿宋_GB2312" w:hAnsi="宋体" w:eastAsia="仿宋_GB2312" w:cs="仿宋_GB2312"/>
                <w:color w:val="000000" w:themeColor="text1"/>
                <w:sz w:val="24"/>
                <w:szCs w:val="24"/>
              </w:rPr>
              <w:t>继续协调三产业重大项目建设工作。</w:t>
            </w:r>
          </w:p>
        </w:tc>
        <w:tc>
          <w:tcPr>
            <w:tcW w:w="4676" w:type="dxa"/>
            <w:gridSpan w:val="9"/>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目标1：完成社会消费品零售总额</w:t>
            </w:r>
            <w:r>
              <w:rPr>
                <w:rFonts w:hint="eastAsia" w:ascii="仿宋_GB2312" w:hAnsi="仿宋_GB2312" w:eastAsia="仿宋_GB2312" w:cs="仿宋_GB2312"/>
                <w:color w:val="000000"/>
                <w:sz w:val="24"/>
                <w:lang w:val="en-US" w:eastAsia="zh-CN"/>
              </w:rPr>
              <w:t>125.4</w:t>
            </w:r>
            <w:r>
              <w:rPr>
                <w:rFonts w:hint="eastAsia" w:ascii="仿宋_GB2312" w:hAnsi="仿宋_GB2312" w:eastAsia="仿宋_GB2312" w:cs="仿宋_GB2312"/>
                <w:color w:val="000000"/>
                <w:sz w:val="24"/>
              </w:rPr>
              <w:t>亿元，同比增长10</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目标2：我县提前两个月超额完成外贸进出口任务，总额</w:t>
            </w:r>
            <w:r>
              <w:rPr>
                <w:rFonts w:hint="eastAsia" w:ascii="仿宋_GB2312" w:hAnsi="仿宋_GB2312" w:eastAsia="仿宋_GB2312" w:cs="仿宋_GB2312"/>
                <w:color w:val="000000"/>
                <w:sz w:val="24"/>
                <w:lang w:val="en-US" w:eastAsia="zh-CN"/>
              </w:rPr>
              <w:t>2300</w:t>
            </w:r>
            <w:r>
              <w:rPr>
                <w:rFonts w:hint="eastAsia" w:ascii="仿宋_GB2312" w:hAnsi="仿宋_GB2312" w:eastAsia="仿宋_GB2312" w:cs="仿宋_GB2312"/>
                <w:color w:val="000000"/>
                <w:sz w:val="24"/>
              </w:rPr>
              <w:t>万美元</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目标3：小康指标实现程度</w:t>
            </w:r>
            <w:r>
              <w:rPr>
                <w:rFonts w:hint="eastAsia" w:ascii="仿宋_GB2312" w:hAnsi="仿宋_GB2312" w:eastAsia="仿宋_GB2312" w:cs="仿宋_GB2312"/>
                <w:color w:val="000000"/>
                <w:sz w:val="24"/>
                <w:lang w:val="en-US" w:eastAsia="zh-CN"/>
              </w:rPr>
              <w:t>96</w:t>
            </w:r>
            <w:r>
              <w:rPr>
                <w:rFonts w:hint="eastAsia" w:ascii="仿宋_GB2312" w:hAnsi="仿宋_GB2312" w:eastAsia="仿宋_GB2312" w:cs="仿宋_GB2312"/>
                <w:color w:val="000000"/>
                <w:sz w:val="24"/>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目标4：打造“华容稻”区域公共品牌，</w:t>
            </w:r>
            <w:r>
              <w:rPr>
                <w:rFonts w:hint="eastAsia" w:ascii="仿宋_GB2312" w:hAnsi="仿宋_GB2312" w:eastAsia="仿宋_GB2312" w:cs="仿宋_GB2312"/>
                <w:color w:val="000000"/>
                <w:sz w:val="24"/>
                <w:lang w:eastAsia="zh-CN"/>
              </w:rPr>
              <w:t>“优质粮油工程”稳步推进。</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目标5：开放型经济工作被评为全市先进单位。</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目标6：电子商务和电商扶贫工作在全省名列前茅。</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机关党建工作得到好评。</w:t>
            </w:r>
          </w:p>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宋体" w:eastAsia="仿宋_GB2312" w:cs="仿宋_GB2312"/>
                <w:color w:val="000000" w:themeColor="text1"/>
                <w:sz w:val="24"/>
                <w:szCs w:val="24"/>
                <w:lang w:eastAsia="zh-CN"/>
              </w:rPr>
              <w:t>目标</w:t>
            </w:r>
            <w:r>
              <w:rPr>
                <w:rFonts w:hint="eastAsia" w:ascii="仿宋_GB2312" w:hAnsi="宋体" w:eastAsia="仿宋_GB2312" w:cs="仿宋_GB2312"/>
                <w:color w:val="000000" w:themeColor="text1"/>
                <w:sz w:val="24"/>
                <w:szCs w:val="24"/>
                <w:lang w:val="en-US" w:eastAsia="zh-CN"/>
              </w:rPr>
              <w:t>8：</w:t>
            </w:r>
            <w:r>
              <w:rPr>
                <w:rFonts w:hint="eastAsia" w:ascii="仿宋_GB2312" w:hAnsi="宋体" w:eastAsia="仿宋_GB2312" w:cs="仿宋_GB2312"/>
                <w:color w:val="000000" w:themeColor="text1"/>
                <w:sz w:val="24"/>
                <w:szCs w:val="24"/>
              </w:rPr>
              <w:t>三产业重大项</w:t>
            </w:r>
            <w:r>
              <w:rPr>
                <w:rFonts w:hint="eastAsia" w:ascii="仿宋_GB2312" w:hAnsi="宋体" w:eastAsia="仿宋_GB2312" w:cs="仿宋_GB2312"/>
                <w:color w:val="000000" w:themeColor="text1"/>
                <w:sz w:val="24"/>
                <w:szCs w:val="24"/>
                <w:lang w:eastAsia="zh-CN"/>
              </w:rPr>
              <w:t>目工作稳步推进。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“华容稻”区域公用品牌建设如期完成。</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6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指标2：开放型经济工作被评为全市先进单位。</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775" w:type="dxa"/>
            <w:gridSpan w:val="6"/>
            <w:vAlign w:val="center"/>
          </w:tcPr>
          <w:p>
            <w:pPr>
              <w:autoSpaceDN w:val="0"/>
              <w:spacing w:line="320" w:lineRule="exact"/>
              <w:jc w:val="both"/>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社会消费品零售总额</w:t>
            </w:r>
            <w:r>
              <w:rPr>
                <w:rFonts w:hint="eastAsia" w:ascii="仿宋_GB2312" w:hAnsi="仿宋_GB2312" w:eastAsia="仿宋_GB2312" w:cs="仿宋_GB2312"/>
                <w:color w:val="000000"/>
                <w:sz w:val="24"/>
                <w:lang w:eastAsia="zh-CN"/>
              </w:rPr>
              <w:t>完成</w:t>
            </w:r>
            <w:r>
              <w:rPr>
                <w:rFonts w:hint="eastAsia" w:ascii="仿宋_GB2312" w:hAnsi="仿宋_GB2312" w:eastAsia="仿宋_GB2312" w:cs="仿宋_GB2312"/>
                <w:color w:val="000000"/>
                <w:sz w:val="24"/>
                <w:lang w:val="en-US" w:eastAsia="zh-CN"/>
              </w:rPr>
              <w:t>100%。</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指标2：完成外贸进出口任务，总额</w:t>
            </w:r>
            <w:r>
              <w:rPr>
                <w:rFonts w:hint="eastAsia" w:ascii="仿宋_GB2312" w:hAnsi="仿宋_GB2312" w:eastAsia="仿宋_GB2312" w:cs="仿宋_GB2312"/>
                <w:color w:val="000000"/>
                <w:sz w:val="24"/>
                <w:lang w:val="en-US" w:eastAsia="zh-CN"/>
              </w:rPr>
              <w:t>2300</w:t>
            </w:r>
            <w:r>
              <w:rPr>
                <w:rFonts w:hint="eastAsia" w:ascii="仿宋_GB2312" w:hAnsi="仿宋_GB2312" w:eastAsia="仿宋_GB2312" w:cs="仿宋_GB2312"/>
                <w:color w:val="000000"/>
                <w:sz w:val="24"/>
              </w:rPr>
              <w:t>万美元</w:t>
            </w:r>
            <w:r>
              <w:rPr>
                <w:rFonts w:hint="eastAsia" w:ascii="仿宋_GB2312" w:hAnsi="仿宋_GB2312" w:eastAsia="仿宋_GB2312" w:cs="仿宋_GB2312"/>
                <w:color w:val="000000"/>
                <w:sz w:val="24"/>
                <w:lang w:eastAsia="zh-CN"/>
              </w:rPr>
              <w:t>。</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超额完成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指标3：小康指标实现程度</w:t>
            </w:r>
            <w:r>
              <w:rPr>
                <w:rFonts w:hint="eastAsia" w:ascii="仿宋_GB2312" w:hAnsi="仿宋_GB2312" w:eastAsia="仿宋_GB2312" w:cs="仿宋_GB2312"/>
                <w:color w:val="000000"/>
                <w:sz w:val="24"/>
                <w:lang w:val="en-US" w:eastAsia="zh-CN"/>
              </w:rPr>
              <w:t>96</w:t>
            </w:r>
            <w:r>
              <w:rPr>
                <w:rFonts w:hint="eastAsia" w:ascii="仿宋_GB2312" w:hAnsi="仿宋_GB2312" w:eastAsia="仿宋_GB2312" w:cs="仿宋_GB2312"/>
                <w:color w:val="000000"/>
                <w:sz w:val="24"/>
              </w:rPr>
              <w:t>%。</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指标1：泰和五星级酒店及沃尔玛购物广场已完成了全部土建工程。</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指标1：经费预算</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控制在预算内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18"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：搞好中农联华容农产品电商物流园的各项工作。</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项目建成后可提供就业岗位2000个。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9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指标1：华都国际家居建材市场工作有序开展。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指标2：电子商务和电商扶贫工作在全省名列前茅。</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指标1：提高业主经济效益。</w:t>
            </w:r>
          </w:p>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指标2：提高人均收入。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指标1：继续抓好湘北汽车城、正诚综合市场各项工作。</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确保环境良好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指标1：群众满意率</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指标2：项目开发商满意率</w:t>
            </w:r>
          </w:p>
        </w:tc>
        <w:tc>
          <w:tcPr>
            <w:tcW w:w="2775"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901"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901"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91"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603"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073"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徐昌红</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副局长、评价组组长</w:t>
            </w:r>
          </w:p>
        </w:tc>
        <w:tc>
          <w:tcPr>
            <w:tcW w:w="1603"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商务粮食局</w:t>
            </w:r>
          </w:p>
        </w:tc>
        <w:tc>
          <w:tcPr>
            <w:tcW w:w="3073"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王卫红</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副局长</w:t>
            </w:r>
          </w:p>
        </w:tc>
        <w:tc>
          <w:tcPr>
            <w:tcW w:w="1603"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商务粮食局</w:t>
            </w:r>
          </w:p>
        </w:tc>
        <w:tc>
          <w:tcPr>
            <w:tcW w:w="3073"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杨  振</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纪委派驻组组长</w:t>
            </w:r>
          </w:p>
        </w:tc>
        <w:tc>
          <w:tcPr>
            <w:tcW w:w="1603"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县纪检监察委</w:t>
            </w:r>
          </w:p>
        </w:tc>
        <w:tc>
          <w:tcPr>
            <w:tcW w:w="3073"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黎  革</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603"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商务粮食局</w:t>
            </w:r>
          </w:p>
        </w:tc>
        <w:tc>
          <w:tcPr>
            <w:tcW w:w="3073"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91"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67" w:hRule="atLeast"/>
          <w:jc w:val="center"/>
        </w:trPr>
        <w:tc>
          <w:tcPr>
            <w:tcW w:w="9891"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93" w:hRule="atLeast"/>
          <w:jc w:val="center"/>
        </w:trPr>
        <w:tc>
          <w:tcPr>
            <w:tcW w:w="9891"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w:t>
            </w:r>
          </w:p>
          <w:p>
            <w:pPr>
              <w:spacing w:line="320" w:lineRule="exact"/>
              <w:ind w:firstLine="4320" w:firstLineChars="1800"/>
              <w:rPr>
                <w:rFonts w:eastAsia="仿宋_GB2312"/>
                <w:sz w:val="24"/>
              </w:rPr>
            </w:pPr>
            <w:r>
              <w:rPr>
                <w:rFonts w:hint="eastAsia" w:eastAsia="仿宋_GB2312"/>
                <w:sz w:val="24"/>
              </w:rPr>
              <w:t>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4"/>
        </w:rPr>
      </w:pPr>
      <w:r>
        <w:rPr>
          <w:rFonts w:hint="eastAsia" w:eastAsia="仿宋_GB2312" w:cs="仿宋_GB2312"/>
          <w:bCs/>
          <w:sz w:val="24"/>
        </w:rPr>
        <w:t>填报人（签名）： 肖芳                  联系电话：15873095677</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32"/>
                <w:szCs w:val="32"/>
              </w:rPr>
            </w:pPr>
          </w:p>
          <w:p>
            <w:pPr>
              <w:jc w:val="center"/>
              <w:rPr>
                <w:rFonts w:ascii="黑体" w:hAnsi="黑体" w:eastAsia="黑体" w:cs="黑体"/>
                <w:bCs/>
                <w:sz w:val="32"/>
                <w:szCs w:val="32"/>
              </w:rPr>
            </w:pPr>
            <w:r>
              <w:rPr>
                <w:rFonts w:hint="eastAsia" w:ascii="黑体" w:hAnsi="黑体" w:eastAsia="黑体" w:cs="黑体"/>
                <w:bCs/>
                <w:sz w:val="32"/>
                <w:szCs w:val="32"/>
              </w:rPr>
              <w:t>五、评价报告综述（文字部分）</w:t>
            </w:r>
          </w:p>
          <w:p>
            <w:pPr>
              <w:spacing w:line="440" w:lineRule="exact"/>
              <w:ind w:firstLine="640" w:firstLineChars="200"/>
              <w:rPr>
                <w:rFonts w:eastAsia="仿宋_GB2312"/>
                <w:sz w:val="32"/>
                <w:szCs w:val="32"/>
              </w:rPr>
            </w:pPr>
            <w:r>
              <w:rPr>
                <w:rFonts w:hint="eastAsia" w:eastAsia="仿宋_GB2312"/>
                <w:sz w:val="32"/>
                <w:szCs w:val="32"/>
              </w:rPr>
              <w:t>华容县商务粮食局201</w:t>
            </w:r>
            <w:r>
              <w:rPr>
                <w:rFonts w:hint="eastAsia" w:eastAsia="仿宋_GB2312"/>
                <w:sz w:val="32"/>
                <w:szCs w:val="32"/>
                <w:lang w:val="en-US" w:eastAsia="zh-CN"/>
              </w:rPr>
              <w:t>9</w:t>
            </w:r>
            <w:r>
              <w:rPr>
                <w:rFonts w:hint="eastAsia" w:eastAsia="仿宋_GB2312"/>
                <w:sz w:val="32"/>
                <w:szCs w:val="32"/>
              </w:rPr>
              <w:t>年度部门整体支出绩效</w:t>
            </w:r>
            <w:r>
              <w:rPr>
                <w:rFonts w:hint="eastAsia" w:eastAsia="仿宋_GB2312"/>
                <w:sz w:val="32"/>
                <w:szCs w:val="32"/>
                <w:lang w:eastAsia="zh-CN"/>
              </w:rPr>
              <w:t>评价</w:t>
            </w:r>
            <w:r>
              <w:rPr>
                <w:rFonts w:hint="eastAsia" w:eastAsia="仿宋_GB2312"/>
                <w:sz w:val="32"/>
                <w:szCs w:val="32"/>
              </w:rPr>
              <w:t>报告</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（一）部门（单位）基本情况</w:t>
            </w:r>
          </w:p>
          <w:p>
            <w:pPr>
              <w:shd w:val="clear" w:color="auto" w:fill="FFFFFF"/>
              <w:spacing w:line="413" w:lineRule="atLeast"/>
              <w:ind w:firstLine="640"/>
              <w:rPr>
                <w:rFonts w:hint="eastAsia" w:asciiTheme="minorEastAsia" w:hAnsiTheme="minorEastAsia" w:eastAsiaTheme="minorEastAsia" w:cstheme="minorEastAsia"/>
                <w:color w:val="000000"/>
                <w:sz w:val="28"/>
                <w:szCs w:val="28"/>
              </w:rPr>
            </w:pPr>
            <w:r>
              <w:rPr>
                <w:rFonts w:asciiTheme="minorEastAsia" w:hAnsiTheme="minorEastAsia" w:eastAsiaTheme="minorEastAsia"/>
                <w:b/>
                <w:color w:val="000000"/>
                <w:sz w:val="28"/>
                <w:szCs w:val="28"/>
              </w:rPr>
              <w:t>1.</w:t>
            </w:r>
            <w:r>
              <w:rPr>
                <w:rFonts w:hint="eastAsia" w:asciiTheme="minorEastAsia" w:hAnsiTheme="minorEastAsia" w:eastAsiaTheme="minorEastAsia"/>
                <w:b/>
                <w:color w:val="000000"/>
                <w:sz w:val="28"/>
                <w:szCs w:val="28"/>
              </w:rPr>
              <w:t>基本情况</w:t>
            </w:r>
            <w:r>
              <w:rPr>
                <w:rFonts w:hint="eastAsia" w:asciiTheme="minorEastAsia" w:hAnsiTheme="minorEastAsia" w:eastAsiaTheme="minorEastAsia"/>
                <w:color w:val="000000"/>
                <w:sz w:val="28"/>
                <w:szCs w:val="28"/>
              </w:rPr>
              <w:t>。商务粮食局是政府对内经外贸、商贸流通、粮食流通和储备实施一体化管理的综合职能部门，是财政全额预算拨款的行政单位。内设股室</w:t>
            </w:r>
            <w:r>
              <w:rPr>
                <w:rFonts w:hint="eastAsia" w:asciiTheme="minorEastAsia" w:hAnsiTheme="minorEastAsia" w:eastAsiaTheme="minorEastAsia"/>
                <w:color w:val="000000"/>
                <w:sz w:val="28"/>
                <w:szCs w:val="28"/>
                <w:lang w:val="en-US" w:eastAsia="zh-CN"/>
              </w:rPr>
              <w:t>8</w:t>
            </w:r>
            <w:r>
              <w:rPr>
                <w:rFonts w:hint="eastAsia" w:asciiTheme="minorEastAsia" w:hAnsiTheme="minorEastAsia" w:eastAsiaTheme="minorEastAsia"/>
                <w:color w:val="000000"/>
                <w:sz w:val="28"/>
                <w:szCs w:val="28"/>
              </w:rPr>
              <w:t>个。即：</w:t>
            </w:r>
            <w:r>
              <w:rPr>
                <w:rFonts w:hint="eastAsia" w:asciiTheme="minorEastAsia" w:hAnsiTheme="minorEastAsia" w:eastAsiaTheme="minorEastAsia" w:cstheme="minorEastAsia"/>
                <w:color w:val="000000"/>
                <w:sz w:val="28"/>
                <w:szCs w:val="28"/>
                <w:shd w:val="clear" w:color="auto" w:fill="FFFFFF"/>
              </w:rPr>
              <w:t>办公室（加挂政策法规股）、财务审计股（加挂国有资产管理股）、人事股、市场运行和消费促进股（加挂成品油管理股）、市场体系建设和秩序股、商贸服务股（加挂电子商务股）、外经外贸股（加挂对外劳务服务股）、粮食调控和物资储备股、粮食行业发展和监督检查股。</w:t>
            </w:r>
            <w:r>
              <w:rPr>
                <w:rFonts w:hint="eastAsia" w:asciiTheme="minorEastAsia" w:hAnsiTheme="minorEastAsia" w:eastAsiaTheme="minorEastAsia" w:cstheme="minorEastAsia"/>
                <w:color w:val="000000"/>
                <w:sz w:val="28"/>
                <w:szCs w:val="28"/>
              </w:rPr>
              <w:t>现有人员编制</w:t>
            </w:r>
            <w:r>
              <w:rPr>
                <w:rFonts w:hint="eastAsia" w:asciiTheme="minorEastAsia" w:hAnsiTheme="minorEastAsia" w:eastAsiaTheme="minorEastAsia" w:cstheme="minorEastAsia"/>
                <w:color w:val="000000"/>
                <w:sz w:val="28"/>
                <w:szCs w:val="28"/>
                <w:lang w:val="en-US" w:eastAsia="zh-CN"/>
              </w:rPr>
              <w:t>44</w:t>
            </w:r>
            <w:r>
              <w:rPr>
                <w:rFonts w:hint="eastAsia" w:asciiTheme="minorEastAsia" w:hAnsiTheme="minorEastAsia" w:eastAsiaTheme="minorEastAsia" w:cstheme="minorEastAsia"/>
                <w:color w:val="000000"/>
                <w:sz w:val="28"/>
                <w:szCs w:val="28"/>
              </w:rPr>
              <w:t>名，(其中：行政编制23名</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工勤编制4名</w:t>
            </w:r>
            <w:r>
              <w:rPr>
                <w:rFonts w:hint="eastAsia" w:asciiTheme="minorEastAsia" w:hAnsiTheme="minorEastAsia" w:eastAsiaTheme="minorEastAsia" w:cstheme="minorEastAsia"/>
                <w:color w:val="000000"/>
                <w:sz w:val="28"/>
                <w:szCs w:val="28"/>
                <w:lang w:eastAsia="zh-CN"/>
              </w:rPr>
              <w:t>、事业编制</w:t>
            </w:r>
            <w:r>
              <w:rPr>
                <w:rFonts w:hint="eastAsia" w:asciiTheme="minorEastAsia" w:hAnsiTheme="minorEastAsia" w:eastAsiaTheme="minorEastAsia" w:cstheme="minorEastAsia"/>
                <w:color w:val="000000"/>
                <w:sz w:val="28"/>
                <w:szCs w:val="28"/>
                <w:lang w:val="en-US" w:eastAsia="zh-CN"/>
              </w:rPr>
              <w:t>17名</w:t>
            </w:r>
            <w:r>
              <w:rPr>
                <w:rFonts w:hint="eastAsia" w:asciiTheme="minorEastAsia" w:hAnsiTheme="minorEastAsia" w:eastAsiaTheme="minorEastAsia" w:cstheme="minorEastAsia"/>
                <w:color w:val="000000"/>
                <w:sz w:val="28"/>
                <w:szCs w:val="28"/>
              </w:rPr>
              <w:t>)；实有人数156人。</w:t>
            </w:r>
          </w:p>
          <w:p>
            <w:pPr>
              <w:spacing w:line="520" w:lineRule="exact"/>
              <w:ind w:firstLine="422" w:firstLineChars="150"/>
              <w:rPr>
                <w:rFonts w:asciiTheme="minorEastAsia" w:hAnsiTheme="minorEastAsia" w:eastAsiaTheme="minorEastAsia"/>
                <w:color w:val="000000"/>
                <w:sz w:val="28"/>
                <w:szCs w:val="28"/>
              </w:rPr>
            </w:pPr>
            <w:r>
              <w:rPr>
                <w:rFonts w:asciiTheme="minorEastAsia" w:hAnsiTheme="minorEastAsia" w:eastAsiaTheme="minorEastAsia"/>
                <w:b/>
                <w:color w:val="000000"/>
                <w:sz w:val="28"/>
                <w:szCs w:val="28"/>
              </w:rPr>
              <w:t>2.</w:t>
            </w:r>
            <w:r>
              <w:rPr>
                <w:rFonts w:hint="eastAsia" w:asciiTheme="minorEastAsia" w:hAnsiTheme="minorEastAsia" w:eastAsiaTheme="minorEastAsia"/>
                <w:b/>
                <w:color w:val="000000"/>
                <w:sz w:val="28"/>
                <w:szCs w:val="28"/>
              </w:rPr>
              <w:t>主要职责</w:t>
            </w:r>
            <w:r>
              <w:rPr>
                <w:rFonts w:hint="eastAsia" w:asciiTheme="minorEastAsia" w:hAnsiTheme="minorEastAsia" w:eastAsiaTheme="minorEastAsia"/>
                <w:color w:val="000000"/>
                <w:sz w:val="28"/>
                <w:szCs w:val="28"/>
              </w:rPr>
              <w:t>：</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（一）贯彻执行国家和省市对外开放、利用外资和国际经济合作以及国内贸易发展战略、方针、政策。</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（二）负责推进商贸流通产业结构调整。</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（三）拟订全县商贸服务业行业规范、全县成品油分销体系和餐饮发展规划。</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（四）负责全县商贸经济指标编报、统计、监督和管理工作。</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（五）负责商务领域信用体系建设。</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（六）执行重要商品进出口管理、加工贸易管理办法。</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（七）组织协调反倾销、反补贴、保障措施及其他进出口公平贸易相关的工作。</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（八）负责我县外商投资企业设立、变更审批和转报工作。</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（九）负责依法管理和监督全县境外投资、对外承包工程、对外劳务合作等。</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（十）拟订全县电子商务发展规划和政策措施并组织实施。</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（十一）贯彻执行有关粮食流通和粮油储备的法律法规和政策措施。</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（十二）拟订全县粮食产业化发展规划，提出目标和措施并组织实施。</w:t>
            </w:r>
            <w:r>
              <w:rPr>
                <w:rFonts w:asciiTheme="minorEastAsia" w:hAnsiTheme="minorEastAsia" w:eastAsiaTheme="minorEastAsia"/>
                <w:sz w:val="28"/>
                <w:szCs w:val="28"/>
              </w:rPr>
              <w:t xml:space="preserve"> </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（十三）负责管理局属企事业单位；负责县委县政府划定范围的商贸流通行业安全生产工作。</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（十四）完成上级交办的其他任务。</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（二）部门（单位）整体支出规模、使用方向和主要内容、涉及范围等</w:t>
            </w:r>
          </w:p>
          <w:p>
            <w:pPr>
              <w:spacing w:line="520" w:lineRule="exact"/>
              <w:ind w:firstLine="971" w:firstLineChars="347"/>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201</w:t>
            </w:r>
            <w:r>
              <w:rPr>
                <w:rFonts w:hint="eastAsia" w:asciiTheme="minorEastAsia" w:hAnsiTheme="minorEastAsia" w:eastAsiaTheme="minorEastAsia"/>
                <w:color w:val="000000"/>
                <w:sz w:val="28"/>
                <w:szCs w:val="28"/>
                <w:lang w:val="en-US" w:eastAsia="zh-CN"/>
              </w:rPr>
              <w:t>9</w:t>
            </w:r>
            <w:r>
              <w:rPr>
                <w:rFonts w:hint="eastAsia" w:asciiTheme="minorEastAsia" w:hAnsiTheme="minorEastAsia" w:eastAsiaTheme="minorEastAsia"/>
                <w:color w:val="000000"/>
                <w:sz w:val="28"/>
                <w:szCs w:val="28"/>
              </w:rPr>
              <w:t>年我局公共预算财政拨款</w:t>
            </w:r>
            <w:r>
              <w:rPr>
                <w:rFonts w:hint="eastAsia" w:asciiTheme="minorEastAsia" w:hAnsiTheme="minorEastAsia" w:eastAsiaTheme="minorEastAsia"/>
                <w:color w:val="000000"/>
                <w:sz w:val="28"/>
                <w:szCs w:val="28"/>
                <w:lang w:val="en-US" w:eastAsia="zh-CN"/>
              </w:rPr>
              <w:t>3020.1</w:t>
            </w:r>
            <w:r>
              <w:rPr>
                <w:rFonts w:hint="eastAsia" w:asciiTheme="minorEastAsia" w:hAnsiTheme="minorEastAsia" w:eastAsiaTheme="minorEastAsia"/>
                <w:color w:val="000000"/>
                <w:sz w:val="28"/>
                <w:szCs w:val="28"/>
              </w:rPr>
              <w:t>万元：其中基本支出拨款</w:t>
            </w:r>
            <w:r>
              <w:rPr>
                <w:rFonts w:hint="eastAsia" w:asciiTheme="minorEastAsia" w:hAnsiTheme="minorEastAsia" w:eastAsiaTheme="minorEastAsia"/>
                <w:color w:val="000000"/>
                <w:sz w:val="28"/>
                <w:szCs w:val="28"/>
                <w:lang w:val="en-US" w:eastAsia="zh-CN"/>
              </w:rPr>
              <w:t>1088.67</w:t>
            </w:r>
            <w:r>
              <w:rPr>
                <w:rFonts w:hint="eastAsia" w:asciiTheme="minorEastAsia" w:hAnsiTheme="minorEastAsia" w:eastAsiaTheme="minorEastAsia"/>
                <w:color w:val="000000"/>
                <w:sz w:val="28"/>
                <w:szCs w:val="28"/>
              </w:rPr>
              <w:t>万元，项目支出拨款</w:t>
            </w:r>
            <w:r>
              <w:rPr>
                <w:rFonts w:hint="eastAsia" w:asciiTheme="minorEastAsia" w:hAnsiTheme="minorEastAsia" w:eastAsiaTheme="minorEastAsia"/>
                <w:color w:val="000000"/>
                <w:sz w:val="28"/>
                <w:szCs w:val="28"/>
                <w:lang w:val="en-US" w:eastAsia="zh-CN"/>
              </w:rPr>
              <w:t>1931.43</w:t>
            </w:r>
            <w:r>
              <w:rPr>
                <w:rFonts w:hint="eastAsia" w:asciiTheme="minorEastAsia" w:hAnsiTheme="minorEastAsia" w:eastAsiaTheme="minorEastAsia"/>
                <w:color w:val="000000"/>
                <w:sz w:val="28"/>
                <w:szCs w:val="28"/>
              </w:rPr>
              <w:t>万元。</w:t>
            </w:r>
          </w:p>
          <w:p>
            <w:pPr>
              <w:spacing w:line="520" w:lineRule="exact"/>
              <w:ind w:firstLine="971" w:firstLineChars="347"/>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全年总支出</w:t>
            </w:r>
            <w:r>
              <w:rPr>
                <w:rFonts w:hint="eastAsia" w:asciiTheme="minorEastAsia" w:hAnsiTheme="minorEastAsia" w:eastAsiaTheme="minorEastAsia"/>
                <w:color w:val="000000"/>
                <w:sz w:val="28"/>
                <w:szCs w:val="28"/>
                <w:lang w:val="en-US" w:eastAsia="zh-CN"/>
              </w:rPr>
              <w:t>3020.1</w:t>
            </w:r>
            <w:r>
              <w:rPr>
                <w:rFonts w:hint="eastAsia" w:asciiTheme="minorEastAsia" w:hAnsiTheme="minorEastAsia" w:eastAsiaTheme="minorEastAsia"/>
                <w:color w:val="000000"/>
                <w:sz w:val="28"/>
                <w:szCs w:val="28"/>
              </w:rPr>
              <w:t>万元：其中：基本支出</w:t>
            </w:r>
            <w:r>
              <w:rPr>
                <w:rFonts w:hint="eastAsia" w:asciiTheme="minorEastAsia" w:hAnsiTheme="minorEastAsia" w:eastAsiaTheme="minorEastAsia"/>
                <w:color w:val="000000"/>
                <w:sz w:val="28"/>
                <w:szCs w:val="28"/>
                <w:lang w:val="en-US" w:eastAsia="zh-CN"/>
              </w:rPr>
              <w:t>1088.67</w:t>
            </w:r>
            <w:r>
              <w:rPr>
                <w:rFonts w:hint="eastAsia" w:asciiTheme="minorEastAsia" w:hAnsiTheme="minorEastAsia" w:eastAsiaTheme="minorEastAsia"/>
                <w:color w:val="000000"/>
                <w:sz w:val="28"/>
                <w:szCs w:val="28"/>
              </w:rPr>
              <w:t>万元（其中：人员经费支出</w:t>
            </w:r>
            <w:r>
              <w:rPr>
                <w:rFonts w:hint="eastAsia" w:asciiTheme="minorEastAsia" w:hAnsiTheme="minorEastAsia" w:eastAsiaTheme="minorEastAsia"/>
                <w:color w:val="000000"/>
                <w:sz w:val="28"/>
                <w:szCs w:val="28"/>
                <w:lang w:val="en-US" w:eastAsia="zh-CN"/>
              </w:rPr>
              <w:t>921.83</w:t>
            </w:r>
            <w:r>
              <w:rPr>
                <w:rFonts w:hint="eastAsia" w:asciiTheme="minorEastAsia" w:hAnsiTheme="minorEastAsia" w:eastAsiaTheme="minorEastAsia"/>
                <w:color w:val="000000"/>
                <w:sz w:val="28"/>
                <w:szCs w:val="28"/>
              </w:rPr>
              <w:t>万元、公用经费</w:t>
            </w:r>
            <w:r>
              <w:rPr>
                <w:rFonts w:hint="eastAsia" w:asciiTheme="minorEastAsia" w:hAnsiTheme="minorEastAsia" w:eastAsiaTheme="minorEastAsia"/>
                <w:color w:val="000000"/>
                <w:sz w:val="28"/>
                <w:szCs w:val="28"/>
                <w:lang w:val="en-US" w:eastAsia="zh-CN"/>
              </w:rPr>
              <w:t>166.84</w:t>
            </w:r>
            <w:r>
              <w:rPr>
                <w:rFonts w:hint="eastAsia" w:asciiTheme="minorEastAsia" w:hAnsiTheme="minorEastAsia" w:eastAsiaTheme="minorEastAsia"/>
                <w:color w:val="000000"/>
                <w:sz w:val="28"/>
                <w:szCs w:val="28"/>
              </w:rPr>
              <w:t>万元）、项目支</w:t>
            </w:r>
            <w:r>
              <w:rPr>
                <w:rFonts w:hint="eastAsia" w:asciiTheme="minorEastAsia" w:hAnsiTheme="minorEastAsia" w:eastAsiaTheme="minorEastAsia"/>
                <w:color w:val="000000"/>
                <w:sz w:val="28"/>
                <w:szCs w:val="28"/>
                <w:lang w:val="en-US" w:eastAsia="zh-CN"/>
              </w:rPr>
              <w:t>1931.43</w:t>
            </w:r>
            <w:r>
              <w:rPr>
                <w:rFonts w:hint="eastAsia" w:asciiTheme="minorEastAsia" w:hAnsiTheme="minorEastAsia" w:eastAsiaTheme="minorEastAsia"/>
                <w:color w:val="000000"/>
                <w:sz w:val="28"/>
                <w:szCs w:val="28"/>
              </w:rPr>
              <w:t>万元。</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（一）基本支出</w:t>
            </w:r>
          </w:p>
          <w:p>
            <w:pPr>
              <w:spacing w:line="520" w:lineRule="exact"/>
              <w:ind w:firstLine="980" w:firstLineChars="350"/>
              <w:rPr>
                <w:rFonts w:hint="eastAsia" w:asciiTheme="minorEastAsia" w:hAnsiTheme="minorEastAsia" w:eastAsiaTheme="minorEastAsia"/>
                <w:color w:val="000000"/>
                <w:sz w:val="28"/>
                <w:szCs w:val="28"/>
                <w:lang w:val="en-US" w:eastAsia="zh-CN"/>
              </w:rPr>
            </w:pPr>
            <w:r>
              <w:rPr>
                <w:rFonts w:hint="eastAsia" w:asciiTheme="minorEastAsia" w:hAnsiTheme="minorEastAsia" w:eastAsiaTheme="minorEastAsia"/>
                <w:color w:val="000000"/>
                <w:sz w:val="28"/>
                <w:szCs w:val="28"/>
              </w:rPr>
              <w:t>基本支出主要用于为保障机构正常运转、完成日常工作任务而发生的费用支出，包括人员经费支出和公用经费支出。</w:t>
            </w:r>
            <w:r>
              <w:rPr>
                <w:rFonts w:asciiTheme="minorEastAsia" w:hAnsiTheme="minorEastAsia" w:eastAsiaTheme="minorEastAsia"/>
                <w:color w:val="000000"/>
                <w:sz w:val="28"/>
                <w:szCs w:val="28"/>
              </w:rPr>
              <w:t>201</w:t>
            </w:r>
            <w:r>
              <w:rPr>
                <w:rFonts w:hint="eastAsia" w:asciiTheme="minorEastAsia" w:hAnsiTheme="minorEastAsia" w:eastAsiaTheme="minorEastAsia"/>
                <w:color w:val="000000"/>
                <w:sz w:val="28"/>
                <w:szCs w:val="28"/>
                <w:lang w:val="en-US" w:eastAsia="zh-CN"/>
              </w:rPr>
              <w:t>9</w:t>
            </w:r>
            <w:r>
              <w:rPr>
                <w:rFonts w:hint="eastAsia" w:asciiTheme="minorEastAsia" w:hAnsiTheme="minorEastAsia" w:eastAsiaTheme="minorEastAsia"/>
                <w:color w:val="000000"/>
                <w:sz w:val="28"/>
                <w:szCs w:val="28"/>
              </w:rPr>
              <w:t>年基本支出</w:t>
            </w:r>
            <w:r>
              <w:rPr>
                <w:rFonts w:hint="eastAsia" w:asciiTheme="minorEastAsia" w:hAnsiTheme="minorEastAsia" w:eastAsiaTheme="minorEastAsia"/>
                <w:color w:val="000000"/>
                <w:sz w:val="28"/>
                <w:szCs w:val="28"/>
                <w:lang w:val="en-US" w:eastAsia="zh-CN"/>
              </w:rPr>
              <w:t>1088.67</w:t>
            </w:r>
            <w:r>
              <w:rPr>
                <w:rFonts w:hint="eastAsia" w:asciiTheme="minorEastAsia" w:hAnsiTheme="minorEastAsia" w:eastAsiaTheme="minorEastAsia"/>
                <w:color w:val="000000"/>
                <w:sz w:val="28"/>
                <w:szCs w:val="28"/>
              </w:rPr>
              <w:t>万元</w:t>
            </w:r>
            <w:r>
              <w:rPr>
                <w:rFonts w:hint="eastAsia" w:asciiTheme="minorEastAsia" w:hAnsiTheme="minorEastAsia" w:eastAsiaTheme="minorEastAsia"/>
                <w:color w:val="000000"/>
                <w:sz w:val="28"/>
                <w:szCs w:val="28"/>
                <w:lang w:val="en-US" w:eastAsia="zh-CN"/>
              </w:rPr>
              <w:t>.</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（二）专项支出</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1、专项资金安排落实、总投入等情况分析</w:t>
            </w:r>
          </w:p>
          <w:p>
            <w:pPr>
              <w:spacing w:line="520" w:lineRule="exact"/>
              <w:ind w:firstLine="980" w:firstLineChars="35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项目支出是县政府安排的特定行政工作任务而发生的支出，主要包括县第三产办、电子商务专项资金、开放型经济工作专项资金、“</w:t>
            </w:r>
            <w:r>
              <w:rPr>
                <w:rFonts w:hint="eastAsia" w:asciiTheme="minorEastAsia" w:hAnsiTheme="minorEastAsia" w:eastAsiaTheme="minorEastAsia"/>
                <w:color w:val="000000"/>
                <w:sz w:val="28"/>
                <w:szCs w:val="28"/>
                <w:lang w:eastAsia="zh-CN"/>
              </w:rPr>
              <w:t>优质粮油工程</w:t>
            </w:r>
            <w:r>
              <w:rPr>
                <w:rFonts w:hint="eastAsia" w:asciiTheme="minorEastAsia" w:hAnsiTheme="minorEastAsia" w:eastAsiaTheme="minorEastAsia"/>
                <w:color w:val="000000"/>
                <w:sz w:val="28"/>
                <w:szCs w:val="28"/>
              </w:rPr>
              <w:t>”</w:t>
            </w:r>
            <w:r>
              <w:rPr>
                <w:rFonts w:hint="eastAsia" w:asciiTheme="minorEastAsia" w:hAnsiTheme="minorEastAsia" w:eastAsiaTheme="minorEastAsia"/>
                <w:color w:val="000000"/>
                <w:sz w:val="28"/>
                <w:szCs w:val="28"/>
                <w:lang w:eastAsia="zh-CN"/>
              </w:rPr>
              <w:t>专项资金</w:t>
            </w:r>
            <w:r>
              <w:rPr>
                <w:rFonts w:hint="eastAsia" w:asciiTheme="minorEastAsia" w:hAnsiTheme="minorEastAsia" w:eastAsiaTheme="minorEastAsia"/>
                <w:color w:val="000000"/>
                <w:sz w:val="28"/>
                <w:szCs w:val="28"/>
              </w:rPr>
              <w:t>、限上社零企业小康统计等。</w:t>
            </w:r>
            <w:r>
              <w:rPr>
                <w:rFonts w:asciiTheme="minorEastAsia" w:hAnsiTheme="minorEastAsia" w:eastAsiaTheme="minorEastAsia"/>
                <w:color w:val="000000"/>
                <w:sz w:val="28"/>
                <w:szCs w:val="28"/>
              </w:rPr>
              <w:t>201</w:t>
            </w:r>
            <w:r>
              <w:rPr>
                <w:rFonts w:hint="eastAsia" w:asciiTheme="minorEastAsia" w:hAnsiTheme="minorEastAsia" w:eastAsiaTheme="minorEastAsia"/>
                <w:color w:val="000000"/>
                <w:sz w:val="28"/>
                <w:szCs w:val="28"/>
                <w:lang w:val="en-US" w:eastAsia="zh-CN"/>
              </w:rPr>
              <w:t>9</w:t>
            </w:r>
            <w:r>
              <w:rPr>
                <w:rFonts w:hint="eastAsia" w:asciiTheme="minorEastAsia" w:hAnsiTheme="minorEastAsia" w:eastAsiaTheme="minorEastAsia"/>
                <w:color w:val="000000"/>
                <w:sz w:val="28"/>
                <w:szCs w:val="28"/>
              </w:rPr>
              <w:t>年项目总支出</w:t>
            </w:r>
            <w:r>
              <w:rPr>
                <w:rFonts w:hint="eastAsia" w:asciiTheme="minorEastAsia" w:hAnsiTheme="minorEastAsia" w:eastAsiaTheme="minorEastAsia"/>
                <w:color w:val="000000"/>
                <w:sz w:val="28"/>
                <w:szCs w:val="28"/>
                <w:lang w:val="en-US" w:eastAsia="zh-CN"/>
              </w:rPr>
              <w:t>1931.43</w:t>
            </w:r>
            <w:r>
              <w:rPr>
                <w:rFonts w:hint="eastAsia" w:asciiTheme="minorEastAsia" w:hAnsiTheme="minorEastAsia" w:eastAsiaTheme="minorEastAsia"/>
                <w:color w:val="000000"/>
                <w:sz w:val="28"/>
                <w:szCs w:val="28"/>
              </w:rPr>
              <w:t>万元。</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2、专项资金实际使用情况分析</w:t>
            </w:r>
          </w:p>
          <w:p>
            <w:pPr>
              <w:spacing w:line="560" w:lineRule="exact"/>
              <w:ind w:firstLine="840" w:firstLineChars="3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专项资金的使用实行专款专用、专帐管理，没有违规使用的情况。</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3、专项资金管理情况分析</w:t>
            </w:r>
          </w:p>
          <w:p>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对专项资金的管理我局建立了专项资金管理办法，遵循专款专用、单独核算的管理原则</w:t>
            </w:r>
            <w:r>
              <w:rPr>
                <w:rFonts w:asciiTheme="minorEastAsia" w:hAnsiTheme="minorEastAsia" w:eastAsiaTheme="minorEastAsia"/>
                <w:sz w:val="28"/>
                <w:szCs w:val="28"/>
              </w:rPr>
              <w:t>;</w:t>
            </w:r>
            <w:r>
              <w:rPr>
                <w:rFonts w:hint="eastAsia" w:asciiTheme="minorEastAsia" w:hAnsiTheme="minorEastAsia" w:eastAsiaTheme="minorEastAsia"/>
                <w:sz w:val="28"/>
                <w:szCs w:val="28"/>
              </w:rPr>
              <w:t>专项项目的申报严格按照市财政资金管理的要求进行，专项资金财政拨款到位后及时进行了项目的开展和资金的投入。</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（一）专项组织情况分析</w:t>
            </w:r>
          </w:p>
          <w:p>
            <w:pPr>
              <w:spacing w:line="560" w:lineRule="exact"/>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 xml:space="preserve">       我局成立了专项资金管理、审批、监督小组，所有专项情况报县纪委派驻小组。</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（二）专项管理情况分析</w:t>
            </w:r>
          </w:p>
          <w:p>
            <w:pPr>
              <w:ind w:firstLine="840" w:firstLineChars="300"/>
              <w:rPr>
                <w:rFonts w:ascii="宋体"/>
                <w:sz w:val="24"/>
              </w:rPr>
            </w:pPr>
            <w:r>
              <w:rPr>
                <w:rFonts w:hint="eastAsia" w:ascii="宋体" w:hAnsi="宋体"/>
                <w:sz w:val="28"/>
                <w:szCs w:val="28"/>
              </w:rPr>
              <w:t>专项资金中涉及的项目招投标、政府采购事项，我局均严格按照要求</w:t>
            </w:r>
            <w:r>
              <w:rPr>
                <w:rFonts w:hint="eastAsia" w:ascii="宋体" w:hAnsi="宋体"/>
                <w:sz w:val="28"/>
                <w:szCs w:val="28"/>
                <w:lang w:eastAsia="zh-CN"/>
              </w:rPr>
              <w:t>执行政府采购制度</w:t>
            </w:r>
            <w:r>
              <w:rPr>
                <w:rFonts w:hint="eastAsia" w:ascii="宋体" w:hAnsi="宋体"/>
                <w:sz w:val="28"/>
                <w:szCs w:val="28"/>
              </w:rPr>
              <w:t>，做好资金支付的审核审批手续。</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ind w:firstLine="840" w:firstLineChars="30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201</w:t>
            </w:r>
            <w:r>
              <w:rPr>
                <w:rFonts w:hint="eastAsia" w:asciiTheme="minorEastAsia" w:hAnsiTheme="minorEastAsia" w:eastAsiaTheme="minorEastAsia"/>
                <w:color w:val="000000"/>
                <w:sz w:val="28"/>
                <w:szCs w:val="28"/>
                <w:lang w:val="en-US" w:eastAsia="zh-CN"/>
              </w:rPr>
              <w:t>9</w:t>
            </w:r>
            <w:r>
              <w:rPr>
                <w:rFonts w:hint="eastAsia" w:asciiTheme="minorEastAsia" w:hAnsiTheme="minorEastAsia" w:eastAsiaTheme="minorEastAsia"/>
                <w:color w:val="000000"/>
                <w:sz w:val="28"/>
                <w:szCs w:val="28"/>
              </w:rPr>
              <w:t>年，根据局年初工作规划和重点性工作，围绕县委、县政府工作任务，积极履职，强化管理，较好的完成了年度工作目标。通过加强预算收支的管理，不断建立健全内部管理制度，梳理内部管理流程，部门整体支出管理情况得到了提升。在部门整体支出绩效评价指标体系中，我局201</w:t>
            </w:r>
            <w:r>
              <w:rPr>
                <w:rFonts w:hint="eastAsia" w:asciiTheme="minorEastAsia" w:hAnsiTheme="minorEastAsia" w:eastAsiaTheme="minorEastAsia"/>
                <w:color w:val="000000"/>
                <w:sz w:val="28"/>
                <w:szCs w:val="28"/>
                <w:lang w:val="en-US" w:eastAsia="zh-CN"/>
              </w:rPr>
              <w:t>9</w:t>
            </w:r>
            <w:r>
              <w:rPr>
                <w:rFonts w:hint="eastAsia" w:asciiTheme="minorEastAsia" w:hAnsiTheme="minorEastAsia" w:eastAsiaTheme="minorEastAsia"/>
                <w:color w:val="000000"/>
                <w:sz w:val="28"/>
                <w:szCs w:val="28"/>
              </w:rPr>
              <w:t>年度部门整体支出绩效评价得分95分。</w:t>
            </w:r>
          </w:p>
          <w:p>
            <w:pPr>
              <w:spacing w:line="560" w:lineRule="exact"/>
              <w:ind w:firstLine="560" w:firstLineChars="200"/>
              <w:rPr>
                <w:rFonts w:ascii="黑体" w:hAnsi="黑体" w:eastAsia="黑体" w:cs="黑体"/>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520" w:lineRule="exact"/>
              <w:ind w:firstLine="840" w:firstLineChars="3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通过对我局整体支出情况的分析，反映出目前在整体支出的预算编制、执行和管理过程中，依然存在一些问题和不足；针对这些不足，我局将积极采取改进措施，持续改进，不断规范和强化管理。</w:t>
            </w:r>
          </w:p>
          <w:p>
            <w:pPr>
              <w:spacing w:line="520" w:lineRule="exact"/>
              <w:ind w:firstLine="420" w:firstLineChars="15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rPr>
              <w:t>、年度预算编制有待进一步加强，支出严格按预算执行。</w:t>
            </w:r>
          </w:p>
          <w:p>
            <w:pPr>
              <w:spacing w:line="520" w:lineRule="exact"/>
              <w:ind w:firstLine="420" w:firstLineChars="15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2</w:t>
            </w:r>
            <w:r>
              <w:rPr>
                <w:rFonts w:hint="eastAsia" w:asciiTheme="minorEastAsia" w:hAnsiTheme="minorEastAsia" w:eastAsiaTheme="minorEastAsia"/>
                <w:color w:val="000000"/>
                <w:sz w:val="28"/>
                <w:szCs w:val="28"/>
              </w:rPr>
              <w:t>、项目资金申请工作需与财政等相关部门加强联系。</w:t>
            </w:r>
          </w:p>
          <w:p>
            <w:pPr>
              <w:spacing w:line="520" w:lineRule="exact"/>
              <w:ind w:firstLine="420" w:firstLineChars="150"/>
              <w:rPr>
                <w:rFonts w:hint="eastAsia" w:asciiTheme="minorEastAsia" w:hAnsiTheme="minorEastAsia" w:eastAsiaTheme="minorEastAsia"/>
                <w:color w:val="000000"/>
                <w:sz w:val="28"/>
                <w:szCs w:val="28"/>
                <w:lang w:eastAsia="zh-CN"/>
              </w:rPr>
            </w:pP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、单位各项内部控制管理制度有待进一步完善</w:t>
            </w:r>
            <w:r>
              <w:rPr>
                <w:rFonts w:hint="eastAsia" w:asciiTheme="minorEastAsia" w:hAnsiTheme="minorEastAsia" w:eastAsiaTheme="minorEastAsia"/>
                <w:color w:val="000000"/>
                <w:sz w:val="28"/>
                <w:szCs w:val="28"/>
                <w:lang w:eastAsia="zh-CN"/>
              </w:rPr>
              <w:t>。</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520" w:lineRule="exact"/>
              <w:ind w:firstLine="980" w:firstLineChars="35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rPr>
              <w:t>、科学合理编制预算，严格执行预算。建议按照《预算法》及其实施条例的相关规定，参考上一年的预算执行情况和年度的收支预测科学编制预算。同时在编制预算项目时与上年核算科目结合起来。在预算执行中，严格按照预算科目支出，确需调剂的，按规定程序报经批准。</w:t>
            </w:r>
          </w:p>
          <w:p>
            <w:pPr>
              <w:spacing w:line="520" w:lineRule="exact"/>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    2</w:t>
            </w:r>
            <w:r>
              <w:rPr>
                <w:rFonts w:hint="eastAsia" w:asciiTheme="minorEastAsia" w:hAnsiTheme="minorEastAsia" w:eastAsiaTheme="minorEastAsia"/>
                <w:color w:val="000000"/>
                <w:sz w:val="28"/>
                <w:szCs w:val="28"/>
              </w:rPr>
              <w:t>、加强财务管理，严格财务审核，在预算金额内严格控制费用的支出。</w:t>
            </w:r>
          </w:p>
          <w:p>
            <w:pPr>
              <w:spacing w:line="520" w:lineRule="exact"/>
              <w:ind w:firstLine="980" w:firstLineChars="35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、进一步贯彻落实中央“八项规定”，规范支出标准与范围，并严格执行。</w:t>
            </w:r>
          </w:p>
          <w:p>
            <w:pPr>
              <w:spacing w:line="520" w:lineRule="exact"/>
              <w:ind w:firstLine="280" w:firstLineChars="100"/>
              <w:rPr>
                <w:rFonts w:asciiTheme="minorEastAsia" w:hAnsiTheme="minorEastAsia" w:eastAsiaTheme="minorEastAsia"/>
                <w:color w:val="000000"/>
                <w:sz w:val="28"/>
                <w:szCs w:val="28"/>
              </w:rPr>
            </w:pPr>
          </w:p>
          <w:p>
            <w:pPr>
              <w:spacing w:line="560" w:lineRule="exact"/>
              <w:ind w:firstLine="560" w:firstLineChars="200"/>
              <w:rPr>
                <w:rFonts w:cs="黑体" w:asciiTheme="minorEastAsia" w:hAnsiTheme="minorEastAsia" w:eastAsiaTheme="minorEastAsia"/>
                <w:bCs/>
                <w:sz w:val="28"/>
                <w:szCs w:val="28"/>
              </w:rPr>
            </w:pPr>
          </w:p>
          <w:p>
            <w:pPr>
              <w:rPr>
                <w:rFonts w:eastAsia="楷体_GB2312"/>
                <w:bCs/>
                <w:sz w:val="28"/>
                <w:szCs w:val="28"/>
              </w:rPr>
            </w:pPr>
          </w:p>
        </w:tc>
      </w:tr>
    </w:tbl>
    <w:p>
      <w:pPr>
        <w:spacing w:line="348" w:lineRule="auto"/>
        <w:rPr>
          <w:rFonts w:eastAsia="楷体_GB2312"/>
          <w:bCs/>
          <w:sz w:val="28"/>
          <w:szCs w:val="28"/>
        </w:rPr>
      </w:pPr>
    </w:p>
    <w:p>
      <w:pPr>
        <w:spacing w:line="348" w:lineRule="auto"/>
        <w:jc w:val="center"/>
        <w:rPr>
          <w:rFonts w:eastAsia="仿宋_GB2312"/>
          <w:sz w:val="32"/>
        </w:rPr>
      </w:pPr>
      <w:r>
        <w:rPr>
          <w:rFonts w:eastAsia="楷体_GB2312"/>
          <w:bCs/>
          <w:sz w:val="28"/>
          <w:szCs w:val="28"/>
        </w:rPr>
        <w:br w:type="page"/>
      </w:r>
    </w:p>
    <w:p>
      <w:pPr>
        <w:spacing w:line="100" w:lineRule="exact"/>
        <w:jc w:val="center"/>
        <w:rPr>
          <w:rFonts w:eastAsia="仿宋_GB2312"/>
          <w:sz w:val="32"/>
        </w:rPr>
      </w:pPr>
    </w:p>
    <w:p>
      <w:pPr>
        <w:spacing w:line="200" w:lineRule="exact"/>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9</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CE55C20"/>
    <w:rsid w:val="000103CF"/>
    <w:rsid w:val="00023392"/>
    <w:rsid w:val="0004403C"/>
    <w:rsid w:val="00061772"/>
    <w:rsid w:val="00080960"/>
    <w:rsid w:val="00084FE3"/>
    <w:rsid w:val="000934AD"/>
    <w:rsid w:val="000D09C3"/>
    <w:rsid w:val="000F2ACC"/>
    <w:rsid w:val="00126267"/>
    <w:rsid w:val="00133CAD"/>
    <w:rsid w:val="0016554B"/>
    <w:rsid w:val="00177C81"/>
    <w:rsid w:val="0018391A"/>
    <w:rsid w:val="00190642"/>
    <w:rsid w:val="001965AA"/>
    <w:rsid w:val="001B5A3A"/>
    <w:rsid w:val="001C42B2"/>
    <w:rsid w:val="001D7BD2"/>
    <w:rsid w:val="001E3173"/>
    <w:rsid w:val="001F569C"/>
    <w:rsid w:val="001F56DD"/>
    <w:rsid w:val="00221999"/>
    <w:rsid w:val="00233CE0"/>
    <w:rsid w:val="002830B3"/>
    <w:rsid w:val="0028794D"/>
    <w:rsid w:val="002D0BF5"/>
    <w:rsid w:val="002D16FD"/>
    <w:rsid w:val="002E2AC8"/>
    <w:rsid w:val="002E651E"/>
    <w:rsid w:val="002F2AC1"/>
    <w:rsid w:val="002F5A79"/>
    <w:rsid w:val="00305601"/>
    <w:rsid w:val="00307152"/>
    <w:rsid w:val="003253E0"/>
    <w:rsid w:val="003472BA"/>
    <w:rsid w:val="00375B24"/>
    <w:rsid w:val="00382849"/>
    <w:rsid w:val="00386A63"/>
    <w:rsid w:val="00396CDA"/>
    <w:rsid w:val="003B16DA"/>
    <w:rsid w:val="003B7B05"/>
    <w:rsid w:val="003C0CD8"/>
    <w:rsid w:val="003C15F0"/>
    <w:rsid w:val="003D3347"/>
    <w:rsid w:val="003E0182"/>
    <w:rsid w:val="003E5353"/>
    <w:rsid w:val="004329B0"/>
    <w:rsid w:val="00450D62"/>
    <w:rsid w:val="00455DD2"/>
    <w:rsid w:val="00471143"/>
    <w:rsid w:val="0048009C"/>
    <w:rsid w:val="004854A1"/>
    <w:rsid w:val="00490E7A"/>
    <w:rsid w:val="00552C2D"/>
    <w:rsid w:val="00554084"/>
    <w:rsid w:val="00556BE3"/>
    <w:rsid w:val="00564D4E"/>
    <w:rsid w:val="005A2626"/>
    <w:rsid w:val="005A37D7"/>
    <w:rsid w:val="005A402A"/>
    <w:rsid w:val="005A5BEA"/>
    <w:rsid w:val="005E0FFB"/>
    <w:rsid w:val="005E788A"/>
    <w:rsid w:val="005F48CF"/>
    <w:rsid w:val="006210B1"/>
    <w:rsid w:val="0065108A"/>
    <w:rsid w:val="00657D19"/>
    <w:rsid w:val="00664999"/>
    <w:rsid w:val="00675908"/>
    <w:rsid w:val="00677B20"/>
    <w:rsid w:val="006B03E7"/>
    <w:rsid w:val="006B6FC5"/>
    <w:rsid w:val="006C1064"/>
    <w:rsid w:val="006C2DDF"/>
    <w:rsid w:val="006C2E42"/>
    <w:rsid w:val="006D30B1"/>
    <w:rsid w:val="0070238B"/>
    <w:rsid w:val="0070619F"/>
    <w:rsid w:val="00712607"/>
    <w:rsid w:val="007133C5"/>
    <w:rsid w:val="0072436A"/>
    <w:rsid w:val="00741FB4"/>
    <w:rsid w:val="007435B5"/>
    <w:rsid w:val="00794D0A"/>
    <w:rsid w:val="007B2063"/>
    <w:rsid w:val="00803C62"/>
    <w:rsid w:val="008320B9"/>
    <w:rsid w:val="00842794"/>
    <w:rsid w:val="00864F27"/>
    <w:rsid w:val="008826C0"/>
    <w:rsid w:val="008A7D59"/>
    <w:rsid w:val="008C1099"/>
    <w:rsid w:val="008C5F79"/>
    <w:rsid w:val="008C6979"/>
    <w:rsid w:val="008E5AE6"/>
    <w:rsid w:val="009010FD"/>
    <w:rsid w:val="00903E32"/>
    <w:rsid w:val="00920A91"/>
    <w:rsid w:val="00933890"/>
    <w:rsid w:val="00970591"/>
    <w:rsid w:val="0098270A"/>
    <w:rsid w:val="00996615"/>
    <w:rsid w:val="009B1AAF"/>
    <w:rsid w:val="00A13655"/>
    <w:rsid w:val="00A23683"/>
    <w:rsid w:val="00A23C69"/>
    <w:rsid w:val="00A25EF2"/>
    <w:rsid w:val="00A30293"/>
    <w:rsid w:val="00A31931"/>
    <w:rsid w:val="00A63DFD"/>
    <w:rsid w:val="00A92F4F"/>
    <w:rsid w:val="00A96EEA"/>
    <w:rsid w:val="00AA7964"/>
    <w:rsid w:val="00AB1A27"/>
    <w:rsid w:val="00AC058B"/>
    <w:rsid w:val="00AF2847"/>
    <w:rsid w:val="00AF3C1B"/>
    <w:rsid w:val="00AF45D9"/>
    <w:rsid w:val="00AF666F"/>
    <w:rsid w:val="00B05AB3"/>
    <w:rsid w:val="00B30385"/>
    <w:rsid w:val="00B32E07"/>
    <w:rsid w:val="00B46065"/>
    <w:rsid w:val="00B57A8A"/>
    <w:rsid w:val="00B709DC"/>
    <w:rsid w:val="00B73202"/>
    <w:rsid w:val="00B977CE"/>
    <w:rsid w:val="00BA54DB"/>
    <w:rsid w:val="00BA6291"/>
    <w:rsid w:val="00BC79DA"/>
    <w:rsid w:val="00BE6400"/>
    <w:rsid w:val="00C064FA"/>
    <w:rsid w:val="00C34C35"/>
    <w:rsid w:val="00C361C8"/>
    <w:rsid w:val="00C44342"/>
    <w:rsid w:val="00C663F3"/>
    <w:rsid w:val="00C66C85"/>
    <w:rsid w:val="00C7442D"/>
    <w:rsid w:val="00C80E80"/>
    <w:rsid w:val="00CA5D90"/>
    <w:rsid w:val="00CA67EB"/>
    <w:rsid w:val="00CB2B60"/>
    <w:rsid w:val="00CC34FC"/>
    <w:rsid w:val="00CC63C9"/>
    <w:rsid w:val="00D065F1"/>
    <w:rsid w:val="00D367D3"/>
    <w:rsid w:val="00D47E06"/>
    <w:rsid w:val="00D666C4"/>
    <w:rsid w:val="00D751F4"/>
    <w:rsid w:val="00D96EA6"/>
    <w:rsid w:val="00DA6A91"/>
    <w:rsid w:val="00DD2114"/>
    <w:rsid w:val="00E41705"/>
    <w:rsid w:val="00E4492E"/>
    <w:rsid w:val="00E50AB2"/>
    <w:rsid w:val="00E52DE5"/>
    <w:rsid w:val="00E55A75"/>
    <w:rsid w:val="00E62593"/>
    <w:rsid w:val="00E73CB6"/>
    <w:rsid w:val="00E82FB1"/>
    <w:rsid w:val="00EA2CED"/>
    <w:rsid w:val="00EA77F1"/>
    <w:rsid w:val="00EB6F47"/>
    <w:rsid w:val="00ED0BEB"/>
    <w:rsid w:val="00ED35B5"/>
    <w:rsid w:val="00EF286C"/>
    <w:rsid w:val="00EF74CC"/>
    <w:rsid w:val="00F8474D"/>
    <w:rsid w:val="00F92B3B"/>
    <w:rsid w:val="00FB3A1E"/>
    <w:rsid w:val="00FC7617"/>
    <w:rsid w:val="00FF18CF"/>
    <w:rsid w:val="00FF2518"/>
    <w:rsid w:val="00FF3489"/>
    <w:rsid w:val="00FF4E90"/>
    <w:rsid w:val="02AF0464"/>
    <w:rsid w:val="045E5E0E"/>
    <w:rsid w:val="083749E7"/>
    <w:rsid w:val="0DE528CD"/>
    <w:rsid w:val="0DF7197D"/>
    <w:rsid w:val="15795DAB"/>
    <w:rsid w:val="18725427"/>
    <w:rsid w:val="20BB0974"/>
    <w:rsid w:val="250F7D9E"/>
    <w:rsid w:val="2CA33441"/>
    <w:rsid w:val="2CE55C20"/>
    <w:rsid w:val="2F287302"/>
    <w:rsid w:val="30426D13"/>
    <w:rsid w:val="31692065"/>
    <w:rsid w:val="36BA53EA"/>
    <w:rsid w:val="38497402"/>
    <w:rsid w:val="3A43255A"/>
    <w:rsid w:val="3D6201A1"/>
    <w:rsid w:val="3DA8097B"/>
    <w:rsid w:val="468F6223"/>
    <w:rsid w:val="477245B4"/>
    <w:rsid w:val="489B23E9"/>
    <w:rsid w:val="48CB3D13"/>
    <w:rsid w:val="4C0710E8"/>
    <w:rsid w:val="4C5B7F70"/>
    <w:rsid w:val="4DE706A5"/>
    <w:rsid w:val="4E4F0BB0"/>
    <w:rsid w:val="579F3953"/>
    <w:rsid w:val="5BE95901"/>
    <w:rsid w:val="5F49084D"/>
    <w:rsid w:val="61072856"/>
    <w:rsid w:val="6227497C"/>
    <w:rsid w:val="6A0A15CD"/>
    <w:rsid w:val="6DF352BD"/>
    <w:rsid w:val="6F045132"/>
    <w:rsid w:val="705E3E6D"/>
    <w:rsid w:val="70B6136A"/>
    <w:rsid w:val="71C1048A"/>
    <w:rsid w:val="73BD4743"/>
    <w:rsid w:val="73F35F5B"/>
    <w:rsid w:val="77D313D2"/>
    <w:rsid w:val="7C117055"/>
    <w:rsid w:val="7D1F0DA2"/>
    <w:rsid w:val="7FDA6F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1"/>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character" w:customStyle="1" w:styleId="10">
    <w:name w:val="页眉 Char"/>
    <w:basedOn w:val="7"/>
    <w:link w:val="4"/>
    <w:qFormat/>
    <w:uiPriority w:val="0"/>
    <w:rPr>
      <w:kern w:val="2"/>
      <w:sz w:val="18"/>
      <w:szCs w:val="18"/>
    </w:rPr>
  </w:style>
  <w:style w:type="character" w:customStyle="1" w:styleId="11">
    <w:name w:val="HTML 预设格式 Char"/>
    <w:basedOn w:val="7"/>
    <w:link w:val="5"/>
    <w:qFormat/>
    <w:uiPriority w:val="99"/>
    <w:rPr>
      <w:rFonts w:ascii="宋体" w:hAnsi="宋体" w:cs="宋体"/>
      <w:sz w:val="24"/>
      <w:szCs w:val="24"/>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262E15-BF00-454F-893F-05CCBF3A3D63}">
  <ds:schemaRefs/>
</ds:datastoreItem>
</file>

<file path=docProps/app.xml><?xml version="1.0" encoding="utf-8"?>
<Properties xmlns="http://schemas.openxmlformats.org/officeDocument/2006/extended-properties" xmlns:vt="http://schemas.openxmlformats.org/officeDocument/2006/docPropsVTypes">
  <Template>Normal</Template>
  <Pages>27</Pages>
  <Words>2430</Words>
  <Characters>13855</Characters>
  <Lines>115</Lines>
  <Paragraphs>32</Paragraphs>
  <TotalTime>4</TotalTime>
  <ScaleCrop>false</ScaleCrop>
  <LinksUpToDate>false</LinksUpToDate>
  <CharactersWithSpaces>16253</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2020-10-19T01:07:13Z</cp:lastPrinted>
  <dcterms:modified xsi:type="dcterms:W3CDTF">2020-10-19T01:07:30Z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