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napToGrid w:val="0"/>
        <w:spacing w:afterLines="0" w:line="312" w:lineRule="auto"/>
        <w:jc w:val="center"/>
        <w:rPr>
          <w:rFonts w:ascii="宋体" w:cs="宋体"/>
          <w:b/>
          <w:bCs/>
          <w:kern w:val="0"/>
          <w:sz w:val="44"/>
          <w:szCs w:val="44"/>
        </w:rPr>
      </w:pPr>
      <w:bookmarkStart w:id="0" w:name="OLE_LINK1"/>
      <w:bookmarkStart w:id="1" w:name="OLE_LINK4"/>
      <w:bookmarkStart w:id="2" w:name="OLE_LINK2"/>
      <w:bookmarkStart w:id="3" w:name="OLE_LINK3"/>
      <w:r>
        <w:rPr>
          <w:rFonts w:ascii="宋体" w:cs="宋体"/>
          <w:b/>
          <w:bCs/>
          <w:kern w:val="0"/>
          <w:sz w:val="44"/>
          <w:szCs w:val="44"/>
        </w:rPr>
        <mc:AlternateContent>
          <mc:Choice Requires="wps">
            <w:drawing>
              <wp:anchor distT="0" distB="0" distL="114300" distR="114300" simplePos="0" relativeHeight="251658240" behindDoc="0" locked="0" layoutInCell="1" allowOverlap="1">
                <wp:simplePos x="0" y="0"/>
                <wp:positionH relativeFrom="column">
                  <wp:posOffset>52070</wp:posOffset>
                </wp:positionH>
                <wp:positionV relativeFrom="paragraph">
                  <wp:posOffset>3175</wp:posOffset>
                </wp:positionV>
                <wp:extent cx="5082540" cy="108966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082540" cy="1089660"/>
                        </a:xfrm>
                        <a:prstGeom prst="rect">
                          <a:avLst/>
                        </a:prstGeom>
                        <a:noFill/>
                        <a:ln>
                          <a:noFill/>
                        </a:ln>
                      </wps:spPr>
                      <wps:txbx>
                        <w:txbxContent>
                          <w:p>
                            <w:pPr>
                              <w:spacing w:after="312"/>
                              <w:rPr>
                                <w:rFonts w:ascii="新宋体" w:hAnsi="新宋体" w:eastAsia="新宋体"/>
                                <w:b/>
                                <w:color w:val="FF0000"/>
                                <w:spacing w:val="-20"/>
                                <w:sz w:val="100"/>
                                <w:szCs w:val="100"/>
                              </w:rPr>
                            </w:pPr>
                            <w:r>
                              <w:rPr>
                                <w:rFonts w:hint="eastAsia" w:ascii="新宋体" w:hAnsi="新宋体" w:eastAsia="新宋体"/>
                                <w:b/>
                                <w:color w:val="FF0000"/>
                                <w:spacing w:val="-20"/>
                                <w:sz w:val="100"/>
                                <w:szCs w:val="100"/>
                              </w:rPr>
                              <w:t>华容县教育体育局</w:t>
                            </w:r>
                          </w:p>
                        </w:txbxContent>
                      </wps:txbx>
                      <wps:bodyPr upright="1"/>
                    </wps:wsp>
                  </a:graphicData>
                </a:graphic>
              </wp:anchor>
            </w:drawing>
          </mc:Choice>
          <mc:Fallback>
            <w:pict>
              <v:shape id="_x0000_s1026" o:spid="_x0000_s1026" o:spt="202" type="#_x0000_t202" style="position:absolute;left:0pt;margin-left:4.1pt;margin-top:0.25pt;height:85.8pt;width:400.2pt;z-index:251658240;mso-width-relative:page;mso-height-relative:page;" filled="f" stroked="f" coordsize="21600,21600" o:gfxdata="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">
                <v:path/>
                <v:fill on="f" focussize="0,0"/>
                <v:stroke on="f"/>
                <v:imagedata o:title=""/>
                <o:lock v:ext="edit"/>
                <v:textbox>
                  <w:txbxContent>
                    <w:p>
                      <w:pPr>
                        <w:spacing w:after="312"/>
                        <w:rPr>
                          <w:rFonts w:ascii="新宋体" w:hAnsi="新宋体" w:eastAsia="新宋体"/>
                          <w:b/>
                          <w:color w:val="FF0000"/>
                          <w:spacing w:val="-20"/>
                          <w:sz w:val="100"/>
                          <w:szCs w:val="100"/>
                        </w:rPr>
                      </w:pPr>
                      <w:r>
                        <w:rPr>
                          <w:rFonts w:hint="eastAsia" w:ascii="新宋体" w:hAnsi="新宋体" w:eastAsia="新宋体"/>
                          <w:b/>
                          <w:color w:val="FF0000"/>
                          <w:spacing w:val="-20"/>
                          <w:sz w:val="100"/>
                          <w:szCs w:val="100"/>
                        </w:rPr>
                        <w:t>华容县教育体育局</w:t>
                      </w:r>
                    </w:p>
                  </w:txbxContent>
                </v:textbox>
              </v:shape>
            </w:pict>
          </mc:Fallback>
        </mc:AlternateContent>
      </w:r>
    </w:p>
    <w:p>
      <w:pPr>
        <w:widowControl/>
        <w:snapToGrid w:val="0"/>
        <w:spacing w:afterLines="0" w:line="312" w:lineRule="auto"/>
        <w:jc w:val="center"/>
        <w:rPr>
          <w:rFonts w:ascii="宋体" w:cs="宋体"/>
          <w:b/>
          <w:bCs/>
          <w:kern w:val="0"/>
          <w:sz w:val="44"/>
          <w:szCs w:val="44"/>
        </w:rPr>
      </w:pPr>
    </w:p>
    <w:p>
      <w:pPr>
        <w:widowControl/>
        <w:snapToGrid w:val="0"/>
        <w:spacing w:afterLines="0" w:line="312" w:lineRule="auto"/>
        <w:jc w:val="center"/>
        <w:rPr>
          <w:rFonts w:ascii="宋体" w:cs="宋体"/>
          <w:b/>
          <w:bCs/>
          <w:kern w:val="0"/>
          <w:sz w:val="44"/>
          <w:szCs w:val="44"/>
        </w:rPr>
      </w:pPr>
      <w:r>
        <w:rPr>
          <w:rFonts w:ascii="宋体" w:cs="宋体"/>
          <w:b/>
          <w:bCs/>
          <w:kern w:val="0"/>
          <w:sz w:val="44"/>
          <w:szCs w:val="44"/>
        </w:rPr>
        <mc:AlternateContent>
          <mc:Choice Requires="wps">
            <w:drawing>
              <wp:anchor distT="0" distB="0" distL="114300" distR="114300" simplePos="0" relativeHeight="251659264" behindDoc="0" locked="0" layoutInCell="1" allowOverlap="1">
                <wp:simplePos x="0" y="0"/>
                <wp:positionH relativeFrom="column">
                  <wp:posOffset>-23495</wp:posOffset>
                </wp:positionH>
                <wp:positionV relativeFrom="paragraph">
                  <wp:posOffset>278765</wp:posOffset>
                </wp:positionV>
                <wp:extent cx="5486400" cy="0"/>
                <wp:effectExtent l="0" t="19050" r="0" b="19050"/>
                <wp:wrapNone/>
                <wp:docPr id="2" name="直接连接符 2"/>
                <wp:cNvGraphicFramePr/>
                <a:graphic xmlns:a="http://schemas.openxmlformats.org/drawingml/2006/main">
                  <a:graphicData uri="http://schemas.microsoft.com/office/word/2010/wordprocessingShape">
                    <wps:wsp>
                      <wps:cNvSpPr/>
                      <wps:spPr>
                        <a:xfrm>
                          <a:off x="0" y="0"/>
                          <a:ext cx="5486400" cy="0"/>
                        </a:xfrm>
                        <a:prstGeom prst="line">
                          <a:avLst/>
                        </a:prstGeom>
                        <a:ln w="3810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85pt;margin-top:21.95pt;height:0pt;width:432pt;z-index:251659264;mso-width-relative:page;mso-height-relative:page;" coordsize="21600,21600" o:gfxdata="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PYyo32wAAAAgBAAAP&#10;AAAAAAAAAAEAIAAAACIAAABkcnMvZG93bnJldi54bWxQSwECFAAUAAAACACHTuJA2T3fPdwBAACX&#10;AwAADgAAAAAAAAABACAAAAAqAQAAZHJzL2Uyb0RvYy54bWxQSwUGAAAAAAYABgBZAQAAeAUAAAAA&#10;">
                <v:path arrowok="t"/>
                <v:fill focussize="0,0"/>
                <v:stroke weight="3pt" color="#FF0000"/>
                <v:imagedata o:title=""/>
                <o:lock v:ext="edit"/>
              </v:line>
            </w:pict>
          </mc:Fallback>
        </mc:AlternateContent>
      </w:r>
    </w:p>
    <w:bookmarkEnd w:id="0"/>
    <w:bookmarkEnd w:id="1"/>
    <w:bookmarkEnd w:id="2"/>
    <w:bookmarkEnd w:id="3"/>
    <w:p>
      <w:pPr>
        <w:spacing w:line="360" w:lineRule="auto"/>
        <w:jc w:val="center"/>
        <w:rPr>
          <w:rFonts w:hint="eastAsia" w:ascii="宋体" w:hAnsi="宋体" w:eastAsia="宋体"/>
          <w:b/>
          <w:sz w:val="32"/>
          <w:szCs w:val="32"/>
        </w:rPr>
      </w:pPr>
    </w:p>
    <w:p>
      <w:pPr>
        <w:spacing w:line="360" w:lineRule="auto"/>
        <w:jc w:val="center"/>
        <w:rPr>
          <w:rFonts w:ascii="宋体" w:hAnsi="宋体" w:eastAsia="宋体"/>
          <w:b/>
          <w:sz w:val="44"/>
          <w:szCs w:val="44"/>
        </w:rPr>
      </w:pPr>
      <w:r>
        <w:rPr>
          <w:rFonts w:hint="eastAsia" w:ascii="宋体" w:hAnsi="宋体" w:eastAsia="宋体"/>
          <w:b/>
          <w:sz w:val="44"/>
          <w:szCs w:val="44"/>
        </w:rPr>
        <w:t>华容县教育体育局</w:t>
      </w:r>
    </w:p>
    <w:p>
      <w:pPr>
        <w:spacing w:line="360" w:lineRule="auto"/>
        <w:jc w:val="center"/>
        <w:rPr>
          <w:rFonts w:ascii="宋体" w:hAnsi="宋体" w:eastAsia="宋体"/>
          <w:b/>
          <w:sz w:val="44"/>
          <w:szCs w:val="44"/>
        </w:rPr>
      </w:pPr>
      <w:r>
        <w:rPr>
          <w:rFonts w:hint="eastAsia" w:ascii="宋体" w:hAnsi="宋体" w:eastAsia="宋体"/>
          <w:b/>
          <w:sz w:val="44"/>
          <w:szCs w:val="44"/>
        </w:rPr>
        <w:t>关于认真做好新型冠状病毒肺炎疫情防控期间相关工作的通知</w:t>
      </w:r>
    </w:p>
    <w:p>
      <w:pPr>
        <w:spacing w:line="360" w:lineRule="auto"/>
        <w:rPr>
          <w:rFonts w:hint="eastAsia" w:ascii="仿宋" w:hAnsi="仿宋" w:eastAsia="仿宋"/>
          <w:sz w:val="32"/>
          <w:szCs w:val="32"/>
        </w:rPr>
      </w:pPr>
    </w:p>
    <w:p>
      <w:pPr>
        <w:spacing w:line="360" w:lineRule="auto"/>
        <w:rPr>
          <w:rFonts w:ascii="仿宋" w:hAnsi="仿宋" w:eastAsia="仿宋"/>
          <w:sz w:val="32"/>
          <w:szCs w:val="32"/>
        </w:rPr>
      </w:pPr>
      <w:r>
        <w:rPr>
          <w:rFonts w:hint="eastAsia" w:ascii="仿宋" w:hAnsi="仿宋" w:eastAsia="仿宋"/>
          <w:sz w:val="32"/>
          <w:szCs w:val="32"/>
        </w:rPr>
        <w:t>各乡镇中学、县直各学校：</w:t>
      </w:r>
    </w:p>
    <w:p>
      <w:pPr>
        <w:spacing w:line="360" w:lineRule="auto"/>
        <w:ind w:firstLine="640" w:firstLineChars="200"/>
        <w:rPr>
          <w:rFonts w:ascii="仿宋" w:hAnsi="仿宋" w:eastAsia="仿宋"/>
          <w:sz w:val="32"/>
          <w:szCs w:val="32"/>
        </w:rPr>
      </w:pPr>
      <w:r>
        <w:rPr>
          <w:rFonts w:hint="eastAsia" w:ascii="仿宋" w:hAnsi="仿宋" w:eastAsia="仿宋"/>
          <w:sz w:val="32"/>
          <w:szCs w:val="32"/>
        </w:rPr>
        <w:t>为贯彻落实上级加强新型冠状病毒感染肺炎疫情防控工作的相关要求,确保我县中小学、幼儿园和校外培训机构有效做好疫情防控等相关工作，现将有关事项通知如下：</w:t>
      </w:r>
    </w:p>
    <w:p>
      <w:pPr>
        <w:spacing w:line="360" w:lineRule="auto"/>
        <w:ind w:firstLine="640" w:firstLineChars="200"/>
        <w:rPr>
          <w:rFonts w:ascii="黑体" w:hAnsi="黑体" w:eastAsia="黑体"/>
          <w:sz w:val="32"/>
          <w:szCs w:val="32"/>
        </w:rPr>
      </w:pPr>
      <w:r>
        <w:rPr>
          <w:rFonts w:hint="eastAsia" w:ascii="黑体" w:hAnsi="黑体" w:eastAsia="黑体"/>
          <w:sz w:val="32"/>
          <w:szCs w:val="32"/>
        </w:rPr>
        <w:t>一、严明防控工作纪律</w:t>
      </w:r>
    </w:p>
    <w:p>
      <w:pPr>
        <w:spacing w:line="360" w:lineRule="auto"/>
        <w:ind w:firstLine="640" w:firstLineChars="200"/>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.疫情防控期间,</w:t>
      </w:r>
      <w:r>
        <w:rPr>
          <w:rFonts w:ascii="仿宋" w:hAnsi="仿宋" w:eastAsia="仿宋"/>
          <w:sz w:val="32"/>
          <w:szCs w:val="32"/>
        </w:rPr>
        <w:t>各单位</w:t>
      </w:r>
      <w:r>
        <w:rPr>
          <w:rFonts w:hint="eastAsia" w:ascii="仿宋" w:hAnsi="仿宋" w:eastAsia="仿宋"/>
          <w:sz w:val="32"/>
          <w:szCs w:val="32"/>
        </w:rPr>
        <w:t>实行“日报告、零报告”制度,严禁迟报、漏报、瞒报。对于1月</w:t>
      </w:r>
      <w:r>
        <w:rPr>
          <w:rFonts w:hint="eastAsia" w:ascii="仿宋" w:hAnsi="仿宋" w:eastAsia="仿宋"/>
          <w:sz w:val="32"/>
          <w:szCs w:val="32"/>
          <w:lang w:val="en-US" w:eastAsia="zh-CN"/>
        </w:rPr>
        <w:t>10日</w:t>
      </w:r>
      <w:r>
        <w:rPr>
          <w:rFonts w:hint="eastAsia" w:ascii="仿宋" w:hAnsi="仿宋" w:eastAsia="仿宋"/>
          <w:sz w:val="32"/>
          <w:szCs w:val="32"/>
        </w:rPr>
        <w:t>以来出入湖北的师生、密切或间接接触了湖北人员的师生、没有前两项但出现发热咳嗽症状的师生等,各学校要安排专人对接,密切跟踪其身体状况、提醒如有异常及时就医并向学校报告,发</w:t>
      </w:r>
      <w:bookmarkStart w:id="4" w:name="_GoBack"/>
      <w:bookmarkEnd w:id="4"/>
      <w:r>
        <w:rPr>
          <w:rFonts w:hint="eastAsia" w:ascii="仿宋" w:hAnsi="仿宋" w:eastAsia="仿宋"/>
          <w:sz w:val="32"/>
          <w:szCs w:val="32"/>
        </w:rPr>
        <w:t>现有疑似症状者</w:t>
      </w:r>
      <w:r>
        <w:rPr>
          <w:rFonts w:hint="eastAsia" w:ascii="仿宋" w:hAnsi="仿宋" w:eastAsia="仿宋"/>
          <w:sz w:val="32"/>
          <w:szCs w:val="32"/>
          <w:lang w:eastAsia="zh-CN"/>
        </w:rPr>
        <w:t>迅速</w:t>
      </w:r>
      <w:r>
        <w:rPr>
          <w:rFonts w:hint="eastAsia" w:ascii="仿宋" w:hAnsi="仿宋" w:eastAsia="仿宋"/>
          <w:sz w:val="32"/>
          <w:szCs w:val="32"/>
        </w:rPr>
        <w:t>向县疾控中心和教体局体卫</w:t>
      </w:r>
      <w:r>
        <w:rPr>
          <w:rFonts w:hint="eastAsia" w:ascii="仿宋" w:hAnsi="仿宋" w:eastAsia="仿宋"/>
          <w:sz w:val="32"/>
          <w:szCs w:val="32"/>
          <w:lang w:eastAsia="zh-CN"/>
        </w:rPr>
        <w:t>股</w:t>
      </w:r>
      <w:r>
        <w:rPr>
          <w:rFonts w:hint="eastAsia" w:ascii="仿宋" w:hAnsi="仿宋" w:eastAsia="仿宋"/>
          <w:sz w:val="32"/>
          <w:szCs w:val="32"/>
        </w:rPr>
        <w:t>报告。</w:t>
      </w:r>
    </w:p>
    <w:p>
      <w:pPr>
        <w:spacing w:line="360" w:lineRule="auto"/>
        <w:ind w:firstLine="640" w:firstLineChars="2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.疫情防控期间,全县所有学校、幼儿园、培训机构严禁组织学生进行社会实践、社团活动、补课、自习、艺体集训、科技竞赛、研学等活动。</w:t>
      </w:r>
    </w:p>
    <w:p>
      <w:pPr>
        <w:spacing w:line="360" w:lineRule="auto"/>
        <w:ind w:firstLine="640" w:firstLineChars="200"/>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rPr>
        <w:t>.疫情防控期间,原批准同意外出的艺体比赛、冬令营、艺体训练、学习培训、交流等聚集性活动,一律取消。</w:t>
      </w:r>
    </w:p>
    <w:p>
      <w:pPr>
        <w:spacing w:line="360" w:lineRule="auto"/>
        <w:ind w:firstLine="640" w:firstLineChars="200"/>
        <w:rPr>
          <w:rFonts w:ascii="仿宋" w:hAnsi="仿宋" w:eastAsia="仿宋"/>
          <w:sz w:val="32"/>
          <w:szCs w:val="32"/>
        </w:rPr>
      </w:pPr>
      <w:r>
        <w:rPr>
          <w:rFonts w:ascii="仿宋" w:hAnsi="仿宋" w:eastAsia="仿宋"/>
          <w:sz w:val="32"/>
          <w:szCs w:val="32"/>
        </w:rPr>
        <w:t>4</w:t>
      </w:r>
      <w:r>
        <w:rPr>
          <w:rFonts w:hint="eastAsia" w:ascii="仿宋" w:hAnsi="仿宋" w:eastAsia="仿宋"/>
          <w:sz w:val="32"/>
          <w:szCs w:val="32"/>
        </w:rPr>
        <w:t>.疫情防控期间,各学校要严格控制外来人员、外来车辆进入学校，原则上不得接待兄弟单位入校开展交流、研学等活动。</w:t>
      </w:r>
    </w:p>
    <w:p>
      <w:pPr>
        <w:spacing w:line="360" w:lineRule="auto"/>
        <w:ind w:firstLine="640" w:firstLineChars="200"/>
        <w:rPr>
          <w:rFonts w:ascii="仿宋" w:hAnsi="仿宋" w:eastAsia="仿宋"/>
          <w:sz w:val="32"/>
          <w:szCs w:val="32"/>
        </w:rPr>
      </w:pPr>
      <w:r>
        <w:rPr>
          <w:rFonts w:ascii="仿宋" w:hAnsi="仿宋" w:eastAsia="仿宋"/>
          <w:sz w:val="32"/>
          <w:szCs w:val="32"/>
        </w:rPr>
        <w:t>5</w:t>
      </w:r>
      <w:r>
        <w:rPr>
          <w:rFonts w:hint="eastAsia" w:ascii="仿宋" w:hAnsi="仿宋" w:eastAsia="仿宋"/>
          <w:sz w:val="32"/>
          <w:szCs w:val="32"/>
        </w:rPr>
        <w:t>.疫情防控期间,各校外培训机构严禁开展线下培训等活动，并做好宣传解释工作,取得学生和家长的理解、支持和配合。</w:t>
      </w:r>
    </w:p>
    <w:p>
      <w:pPr>
        <w:spacing w:line="360" w:lineRule="auto"/>
        <w:ind w:firstLine="640" w:firstLineChars="200"/>
        <w:rPr>
          <w:rFonts w:ascii="黑体" w:hAnsi="黑体" w:eastAsia="黑体"/>
          <w:sz w:val="32"/>
          <w:szCs w:val="32"/>
        </w:rPr>
      </w:pPr>
      <w:r>
        <w:rPr>
          <w:rFonts w:hint="eastAsia" w:ascii="黑体" w:hAnsi="黑体" w:eastAsia="黑体"/>
          <w:sz w:val="32"/>
          <w:szCs w:val="32"/>
        </w:rPr>
        <w:t>二、做好开学准备工作</w:t>
      </w:r>
    </w:p>
    <w:p>
      <w:pPr>
        <w:spacing w:line="360" w:lineRule="auto"/>
        <w:ind w:firstLine="640" w:firstLineChars="200"/>
        <w:rPr>
          <w:rFonts w:ascii="仿宋" w:hAnsi="仿宋" w:eastAsia="仿宋"/>
          <w:sz w:val="32"/>
          <w:szCs w:val="32"/>
        </w:rPr>
      </w:pPr>
      <w:r>
        <w:rPr>
          <w:rFonts w:hint="eastAsia" w:ascii="仿宋" w:hAnsi="仿宋" w:eastAsia="仿宋"/>
          <w:sz w:val="32"/>
          <w:szCs w:val="32"/>
        </w:rPr>
        <w:t>1.各学校要通过微信公众号、家长群、学生群等网络渠道尽快发放假期生活提示，开展健康教育，向学生和家长宣传普及疫情防治知识和防控要求，引导学生和家长居家或外出时做好防控。</w:t>
      </w:r>
    </w:p>
    <w:p>
      <w:pPr>
        <w:spacing w:line="360" w:lineRule="auto"/>
        <w:ind w:firstLine="640" w:firstLineChars="2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.各学校要密切关注疫情发展情况,提前对春季开学有关情况做出科学</w:t>
      </w:r>
      <w:r>
        <w:rPr>
          <w:rFonts w:hint="default" w:ascii="仿宋" w:hAnsi="仿宋" w:eastAsia="仿宋"/>
          <w:sz w:val="32"/>
          <w:szCs w:val="32"/>
          <w:lang w:val="en-US"/>
        </w:rPr>
        <w:t>研</w:t>
      </w:r>
      <w:r>
        <w:rPr>
          <w:rFonts w:hint="eastAsia" w:ascii="仿宋" w:hAnsi="仿宋" w:eastAsia="仿宋"/>
          <w:sz w:val="32"/>
          <w:szCs w:val="32"/>
        </w:rPr>
        <w:t>判,做好开学疫情防控工作预案。开学具体时间以教体局通知为准。</w:t>
      </w:r>
    </w:p>
    <w:p>
      <w:pPr>
        <w:spacing w:line="360" w:lineRule="auto"/>
        <w:ind w:firstLine="640" w:firstLineChars="200"/>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rPr>
        <w:t>.在春季学期开学前，要以防控新型冠状病毒感染的肺炎等传染病为重点，全方位进行学校环境卫生打扫，做好教室、宿舍、食堂、运动场馆、图书馆、厕所等重点区域和场所的环境卫生改善，做好日常通风换气和消毒工作，保持室内空气流通，为广大师生创造卫生、整洁、文明的校园环境。</w:t>
      </w:r>
    </w:p>
    <w:p>
      <w:pPr>
        <w:spacing w:line="360" w:lineRule="auto"/>
        <w:ind w:firstLine="640" w:firstLineChars="200"/>
        <w:rPr>
          <w:rFonts w:ascii="仿宋" w:hAnsi="仿宋" w:eastAsia="仿宋"/>
          <w:sz w:val="32"/>
          <w:szCs w:val="32"/>
        </w:rPr>
      </w:pPr>
      <w:r>
        <w:rPr>
          <w:rFonts w:ascii="仿宋" w:hAnsi="仿宋" w:eastAsia="仿宋"/>
          <w:sz w:val="32"/>
          <w:szCs w:val="32"/>
        </w:rPr>
        <w:t>4</w:t>
      </w:r>
      <w:r>
        <w:rPr>
          <w:rFonts w:hint="eastAsia" w:ascii="仿宋" w:hAnsi="仿宋" w:eastAsia="仿宋"/>
          <w:sz w:val="32"/>
          <w:szCs w:val="32"/>
        </w:rPr>
        <w:t>.在春季学期开学后，各学校要以防控新型冠状病毒感染的肺炎等传染病为重点，严格落实学校传染病防控措施，做好学生晨午检、因病缺勤病因追查与登记等工作，通过多种形式开展传染病防控宣传教育，帮助师生提高防范意识、了解防治知识，引导师生养成良好卫生习惯和健康生活方式。</w:t>
      </w:r>
    </w:p>
    <w:p>
      <w:pPr>
        <w:spacing w:line="360" w:lineRule="auto"/>
        <w:ind w:firstLine="640" w:firstLineChars="200"/>
        <w:rPr>
          <w:rFonts w:ascii="黑体" w:hAnsi="黑体" w:eastAsia="黑体"/>
          <w:sz w:val="32"/>
          <w:szCs w:val="32"/>
        </w:rPr>
      </w:pPr>
      <w:r>
        <w:rPr>
          <w:rFonts w:hint="eastAsia" w:ascii="黑体" w:hAnsi="黑体" w:eastAsia="黑体"/>
          <w:sz w:val="32"/>
          <w:szCs w:val="32"/>
        </w:rPr>
        <w:t>三、加强防控工作督查</w:t>
      </w:r>
    </w:p>
    <w:p>
      <w:pPr>
        <w:spacing w:line="360" w:lineRule="auto"/>
        <w:ind w:firstLine="640" w:firstLineChars="200"/>
        <w:rPr>
          <w:rFonts w:ascii="仿宋" w:hAnsi="仿宋" w:eastAsia="仿宋"/>
          <w:sz w:val="32"/>
          <w:szCs w:val="32"/>
        </w:rPr>
      </w:pPr>
      <w:r>
        <w:rPr>
          <w:rFonts w:hint="eastAsia" w:ascii="仿宋" w:hAnsi="仿宋" w:eastAsia="仿宋"/>
          <w:sz w:val="32"/>
          <w:szCs w:val="32"/>
        </w:rPr>
        <w:t>1.各学校要结合实际制定疫情防控工作方案和应急预案，并于2月1日前报送至电子邮箱122471217@qq.com。</w:t>
      </w:r>
    </w:p>
    <w:p>
      <w:pPr>
        <w:spacing w:line="360" w:lineRule="auto"/>
        <w:ind w:firstLine="640" w:firstLineChars="200"/>
        <w:rPr>
          <w:rFonts w:ascii="仿宋" w:hAnsi="仿宋" w:eastAsia="仿宋"/>
          <w:sz w:val="32"/>
          <w:szCs w:val="32"/>
        </w:rPr>
      </w:pPr>
      <w:r>
        <w:rPr>
          <w:rFonts w:hint="eastAsia" w:ascii="仿宋" w:hAnsi="仿宋" w:eastAsia="仿宋"/>
          <w:sz w:val="32"/>
          <w:szCs w:val="32"/>
        </w:rPr>
        <w:t>2.各学校要提高政治站位，强化责任落实，加强工作监管，按照属地管理原则,与相关部门加强协同联动,共同做好疫情防控工作。</w:t>
      </w:r>
    </w:p>
    <w:p>
      <w:pPr>
        <w:spacing w:line="360" w:lineRule="auto"/>
        <w:ind w:firstLine="640" w:firstLineChars="200"/>
        <w:rPr>
          <w:rFonts w:ascii="仿宋" w:hAnsi="仿宋" w:eastAsia="仿宋"/>
          <w:sz w:val="32"/>
          <w:szCs w:val="32"/>
        </w:rPr>
      </w:pPr>
      <w:r>
        <w:rPr>
          <w:rFonts w:hint="eastAsia" w:ascii="仿宋" w:hAnsi="仿宋" w:eastAsia="仿宋"/>
          <w:sz w:val="32"/>
          <w:szCs w:val="32"/>
          <w:lang w:eastAsia="zh-CN"/>
        </w:rPr>
        <w:drawing>
          <wp:anchor distT="0" distB="0" distL="114300" distR="114300" simplePos="0" relativeHeight="251664384" behindDoc="1" locked="0" layoutInCell="1" allowOverlap="1">
            <wp:simplePos x="0" y="0"/>
            <wp:positionH relativeFrom="column">
              <wp:posOffset>2931160</wp:posOffset>
            </wp:positionH>
            <wp:positionV relativeFrom="paragraph">
              <wp:posOffset>558165</wp:posOffset>
            </wp:positionV>
            <wp:extent cx="2638425" cy="2571750"/>
            <wp:effectExtent l="0" t="0" r="0" b="0"/>
            <wp:wrapNone/>
            <wp:docPr id="3" name="图片 4" descr="公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公章"/>
                    <pic:cNvPicPr>
                      <a:picLocks noChangeAspect="1"/>
                    </pic:cNvPicPr>
                  </pic:nvPicPr>
                  <pic:blipFill>
                    <a:blip r:embed="rId4"/>
                    <a:stretch>
                      <a:fillRect/>
                    </a:stretch>
                  </pic:blipFill>
                  <pic:spPr>
                    <a:xfrm>
                      <a:off x="0" y="0"/>
                      <a:ext cx="2638425" cy="2571750"/>
                    </a:xfrm>
                    <a:prstGeom prst="rect">
                      <a:avLst/>
                    </a:prstGeom>
                    <a:noFill/>
                    <a:ln>
                      <a:noFill/>
                    </a:ln>
                  </pic:spPr>
                </pic:pic>
              </a:graphicData>
            </a:graphic>
          </wp:anchor>
        </w:drawing>
      </w:r>
      <w:r>
        <w:rPr>
          <w:rFonts w:hint="eastAsia" w:ascii="仿宋" w:hAnsi="仿宋" w:eastAsia="仿宋"/>
          <w:sz w:val="32"/>
          <w:szCs w:val="32"/>
        </w:rPr>
        <w:t>3.县教体局疫情防控工作领导小组将采取“四不两直”的方式对学校和校外培训机构进行督查，对发现的问题从严处理。</w:t>
      </w:r>
    </w:p>
    <w:p>
      <w:pPr>
        <w:spacing w:line="360" w:lineRule="auto"/>
        <w:ind w:firstLine="640" w:firstLineChars="200"/>
        <w:rPr>
          <w:rFonts w:ascii="仿宋" w:hAnsi="仿宋" w:eastAsia="仿宋"/>
          <w:sz w:val="32"/>
          <w:szCs w:val="32"/>
        </w:rPr>
      </w:pPr>
    </w:p>
    <w:p>
      <w:pPr>
        <w:spacing w:line="360" w:lineRule="auto"/>
        <w:ind w:firstLine="5440" w:firstLineChars="1700"/>
        <w:rPr>
          <w:rFonts w:ascii="仿宋" w:hAnsi="仿宋" w:eastAsia="仿宋"/>
          <w:sz w:val="32"/>
          <w:szCs w:val="32"/>
        </w:rPr>
      </w:pPr>
      <w:r>
        <w:rPr>
          <w:rFonts w:hint="eastAsia" w:ascii="仿宋" w:hAnsi="仿宋" w:eastAsia="仿宋"/>
          <w:sz w:val="32"/>
          <w:szCs w:val="32"/>
        </w:rPr>
        <w:t>2020年1月28日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5BF2F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3">
    <w:name w:val="Default Paragraph Font"/>
    <w:uiPriority w:val="1"/>
  </w:style>
  <w:style w:type="table" w:default="1" w:styleId="2">
    <w:name w:val="Normal Table"/>
    <w:qFormat/>
    <w:uiPriority w:val="99"/>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1083</Words>
  <Characters>1115</Characters>
  <Paragraphs>22</Paragraphs>
  <TotalTime>1</TotalTime>
  <ScaleCrop>false</ScaleCrop>
  <LinksUpToDate>false</LinksUpToDate>
  <CharactersWithSpaces>1119</CharactersWithSpaces>
  <Application>WPS Office_11.3.0.8632_F1E327BC-269C-435d-A152-05C5408002CA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2020-01-28T02:05:00Z</dcterms:created>
  <dc:creator>Administrator</dc:creator>
  <cp:lastModifiedBy>C</cp:lastModifiedBy>
  <dcterms:modified xsi:type="dcterms:W3CDTF">2020-01-29T05:37:11Z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