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312" w:afterLines="100" w:line="520" w:lineRule="exact"/>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附件1：</w:t>
      </w:r>
    </w:p>
    <w:p>
      <w:pPr>
        <w:autoSpaceDE w:val="0"/>
        <w:autoSpaceDN w:val="0"/>
        <w:adjustRightInd w:val="0"/>
        <w:snapToGrid w:val="0"/>
        <w:spacing w:line="520" w:lineRule="exact"/>
        <w:ind w:right="40"/>
        <w:jc w:val="center"/>
        <w:rPr>
          <w:rFonts w:eastAsia="方正小标宋_GBK"/>
          <w:sz w:val="40"/>
          <w:szCs w:val="40"/>
        </w:rPr>
      </w:pPr>
      <w:r>
        <w:rPr>
          <w:rFonts w:eastAsia="方正小标宋_GBK"/>
          <w:sz w:val="40"/>
          <w:szCs w:val="40"/>
        </w:rPr>
        <w:t>湖南省电网输配电价表</w:t>
      </w:r>
    </w:p>
    <w:p>
      <w:pPr>
        <w:autoSpaceDE w:val="0"/>
        <w:autoSpaceDN w:val="0"/>
        <w:adjustRightInd w:val="0"/>
        <w:snapToGrid w:val="0"/>
        <w:spacing w:line="520" w:lineRule="exact"/>
        <w:ind w:right="40"/>
        <w:jc w:val="center"/>
        <w:rPr>
          <w:rFonts w:eastAsia="方正小标宋_GBK"/>
          <w:sz w:val="40"/>
          <w:szCs w:val="40"/>
        </w:rPr>
      </w:pPr>
    </w:p>
    <w:tbl>
      <w:tblPr>
        <w:tblStyle w:val="4"/>
        <w:tblW w:w="9474" w:type="dxa"/>
        <w:jc w:val="center"/>
        <w:tblInd w:w="0" w:type="dxa"/>
        <w:tblLayout w:type="fixed"/>
        <w:tblCellMar>
          <w:top w:w="0" w:type="dxa"/>
          <w:left w:w="108" w:type="dxa"/>
          <w:bottom w:w="0" w:type="dxa"/>
          <w:right w:w="108" w:type="dxa"/>
        </w:tblCellMar>
      </w:tblPr>
      <w:tblGrid>
        <w:gridCol w:w="1322"/>
        <w:gridCol w:w="1094"/>
        <w:gridCol w:w="1087"/>
        <w:gridCol w:w="1057"/>
        <w:gridCol w:w="1057"/>
        <w:gridCol w:w="993"/>
        <w:gridCol w:w="1313"/>
        <w:gridCol w:w="1551"/>
      </w:tblGrid>
      <w:tr>
        <w:tblPrEx>
          <w:tblLayout w:type="fixed"/>
          <w:tblCellMar>
            <w:top w:w="0" w:type="dxa"/>
            <w:left w:w="108" w:type="dxa"/>
            <w:bottom w:w="0" w:type="dxa"/>
            <w:right w:w="108" w:type="dxa"/>
          </w:tblCellMar>
        </w:tblPrEx>
        <w:trPr>
          <w:trHeight w:val="571" w:hRule="atLeast"/>
          <w:jc w:val="center"/>
        </w:trPr>
        <w:tc>
          <w:tcPr>
            <w:tcW w:w="1322"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spacing w:line="400" w:lineRule="exact"/>
              <w:jc w:val="center"/>
              <w:rPr>
                <w:rFonts w:hint="default" w:ascii="Times New Roman" w:hAnsi="Times New Roman" w:eastAsia="黑体" w:cs="Times New Roman"/>
                <w:szCs w:val="21"/>
              </w:rPr>
            </w:pPr>
            <w:r>
              <w:rPr>
                <w:rFonts w:hint="default" w:ascii="Times New Roman" w:hAnsi="Times New Roman" w:eastAsia="黑体" w:cs="Times New Roman"/>
                <w:szCs w:val="21"/>
              </w:rPr>
              <w:t>用电分类</w:t>
            </w:r>
          </w:p>
        </w:tc>
        <w:tc>
          <w:tcPr>
            <w:tcW w:w="5288" w:type="dxa"/>
            <w:gridSpan w:val="5"/>
            <w:tcBorders>
              <w:top w:val="single" w:color="auto" w:sz="4" w:space="0"/>
              <w:left w:val="single" w:color="auto" w:sz="4" w:space="0"/>
              <w:bottom w:val="single" w:color="auto" w:sz="4" w:space="0"/>
              <w:right w:val="single" w:color="auto" w:sz="4" w:space="0"/>
            </w:tcBorders>
            <w:vAlign w:val="center"/>
          </w:tcPr>
          <w:p>
            <w:pPr>
              <w:autoSpaceDE w:val="0"/>
              <w:autoSpaceDN w:val="0"/>
              <w:spacing w:line="400" w:lineRule="exact"/>
              <w:jc w:val="center"/>
              <w:rPr>
                <w:rFonts w:hint="default" w:ascii="Times New Roman" w:hAnsi="Times New Roman" w:eastAsia="黑体" w:cs="Times New Roman"/>
                <w:szCs w:val="21"/>
              </w:rPr>
            </w:pPr>
            <w:r>
              <w:rPr>
                <w:rFonts w:hint="default" w:ascii="Times New Roman" w:hAnsi="Times New Roman" w:eastAsia="黑体" w:cs="Times New Roman"/>
                <w:szCs w:val="21"/>
              </w:rPr>
              <w:t>电度电价（元/千瓦时）</w:t>
            </w:r>
          </w:p>
        </w:tc>
        <w:tc>
          <w:tcPr>
            <w:tcW w:w="2864"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spacing w:line="400" w:lineRule="exact"/>
              <w:jc w:val="center"/>
              <w:rPr>
                <w:rFonts w:hint="default" w:ascii="Times New Roman" w:hAnsi="Times New Roman" w:eastAsia="黑体" w:cs="Times New Roman"/>
                <w:szCs w:val="21"/>
              </w:rPr>
            </w:pPr>
            <w:r>
              <w:rPr>
                <w:rFonts w:hint="default" w:ascii="Times New Roman" w:hAnsi="Times New Roman" w:eastAsia="黑体" w:cs="Times New Roman"/>
                <w:szCs w:val="21"/>
              </w:rPr>
              <w:t>基本电价</w:t>
            </w:r>
          </w:p>
        </w:tc>
      </w:tr>
      <w:tr>
        <w:tblPrEx>
          <w:tblLayout w:type="fixed"/>
          <w:tblCellMar>
            <w:top w:w="0" w:type="dxa"/>
            <w:left w:w="108" w:type="dxa"/>
            <w:bottom w:w="0" w:type="dxa"/>
            <w:right w:w="108" w:type="dxa"/>
          </w:tblCellMar>
        </w:tblPrEx>
        <w:trPr>
          <w:trHeight w:val="227" w:hRule="atLeast"/>
          <w:jc w:val="center"/>
        </w:trPr>
        <w:tc>
          <w:tcPr>
            <w:tcW w:w="1322" w:type="dxa"/>
            <w:vMerge w:val="continue"/>
            <w:tcBorders>
              <w:top w:val="single" w:color="auto" w:sz="4" w:space="0"/>
              <w:left w:val="single" w:color="auto" w:sz="4" w:space="0"/>
              <w:bottom w:val="single" w:color="auto" w:sz="4" w:space="0"/>
              <w:right w:val="single" w:color="auto" w:sz="4" w:space="0"/>
            </w:tcBorders>
            <w:vAlign w:val="center"/>
          </w:tcPr>
          <w:p>
            <w:pPr>
              <w:autoSpaceDE w:val="0"/>
              <w:autoSpaceDN w:val="0"/>
              <w:spacing w:line="400" w:lineRule="exact"/>
              <w:jc w:val="center"/>
              <w:rPr>
                <w:rFonts w:hint="default" w:ascii="Times New Roman" w:hAnsi="Times New Roman" w:eastAsia="黑体" w:cs="Times New Roman"/>
                <w:szCs w:val="21"/>
              </w:rPr>
            </w:pPr>
          </w:p>
        </w:tc>
        <w:tc>
          <w:tcPr>
            <w:tcW w:w="1094"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spacing w:line="400" w:lineRule="exact"/>
              <w:jc w:val="center"/>
              <w:rPr>
                <w:rFonts w:hint="default" w:ascii="Times New Roman" w:hAnsi="Times New Roman" w:eastAsia="黑体" w:cs="Times New Roman"/>
                <w:szCs w:val="21"/>
              </w:rPr>
            </w:pPr>
            <w:r>
              <w:rPr>
                <w:rFonts w:hint="default" w:ascii="Times New Roman" w:hAnsi="Times New Roman" w:eastAsia="黑体" w:cs="Times New Roman"/>
                <w:szCs w:val="21"/>
              </w:rPr>
              <w:t>不满</w:t>
            </w:r>
          </w:p>
          <w:p>
            <w:pPr>
              <w:autoSpaceDE w:val="0"/>
              <w:autoSpaceDN w:val="0"/>
              <w:spacing w:line="400" w:lineRule="exact"/>
              <w:jc w:val="center"/>
              <w:rPr>
                <w:rFonts w:hint="default" w:ascii="Times New Roman" w:hAnsi="Times New Roman" w:eastAsia="黑体" w:cs="Times New Roman"/>
                <w:szCs w:val="21"/>
              </w:rPr>
            </w:pPr>
            <w:r>
              <w:rPr>
                <w:rFonts w:hint="default" w:ascii="Times New Roman" w:hAnsi="Times New Roman" w:eastAsia="黑体" w:cs="Times New Roman"/>
                <w:szCs w:val="21"/>
              </w:rPr>
              <w:t>1千伏</w:t>
            </w:r>
          </w:p>
        </w:tc>
        <w:tc>
          <w:tcPr>
            <w:tcW w:w="1087"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spacing w:line="400" w:lineRule="exact"/>
              <w:jc w:val="center"/>
              <w:rPr>
                <w:rFonts w:hint="default" w:ascii="Times New Roman" w:hAnsi="Times New Roman" w:eastAsia="黑体" w:cs="Times New Roman"/>
                <w:szCs w:val="21"/>
              </w:rPr>
            </w:pPr>
            <w:r>
              <w:rPr>
                <w:rFonts w:hint="default" w:ascii="Times New Roman" w:hAnsi="Times New Roman" w:eastAsia="黑体" w:cs="Times New Roman"/>
                <w:szCs w:val="21"/>
              </w:rPr>
              <w:t>1-10千伏</w:t>
            </w:r>
          </w:p>
        </w:tc>
        <w:tc>
          <w:tcPr>
            <w:tcW w:w="1057"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spacing w:line="400" w:lineRule="exact"/>
              <w:jc w:val="center"/>
              <w:rPr>
                <w:rFonts w:hint="default" w:ascii="Times New Roman" w:hAnsi="Times New Roman" w:eastAsia="黑体" w:cs="Times New Roman"/>
                <w:szCs w:val="21"/>
              </w:rPr>
            </w:pPr>
            <w:r>
              <w:rPr>
                <w:rFonts w:hint="default" w:ascii="Times New Roman" w:hAnsi="Times New Roman" w:eastAsia="黑体" w:cs="Times New Roman"/>
                <w:szCs w:val="21"/>
              </w:rPr>
              <w:t>35千伏</w:t>
            </w:r>
          </w:p>
        </w:tc>
        <w:tc>
          <w:tcPr>
            <w:tcW w:w="1057"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spacing w:line="400" w:lineRule="exact"/>
              <w:jc w:val="center"/>
              <w:rPr>
                <w:rFonts w:hint="default" w:ascii="Times New Roman" w:hAnsi="Times New Roman" w:eastAsia="黑体" w:cs="Times New Roman"/>
                <w:szCs w:val="21"/>
              </w:rPr>
            </w:pPr>
            <w:r>
              <w:rPr>
                <w:rFonts w:hint="default" w:ascii="Times New Roman" w:hAnsi="Times New Roman" w:eastAsia="黑体" w:cs="Times New Roman"/>
                <w:szCs w:val="21"/>
              </w:rPr>
              <w:t>110千伏</w:t>
            </w:r>
          </w:p>
        </w:tc>
        <w:tc>
          <w:tcPr>
            <w:tcW w:w="993"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spacing w:line="400" w:lineRule="exact"/>
              <w:jc w:val="center"/>
              <w:rPr>
                <w:rFonts w:hint="default" w:ascii="Times New Roman" w:hAnsi="Times New Roman" w:eastAsia="黑体" w:cs="Times New Roman"/>
                <w:szCs w:val="21"/>
              </w:rPr>
            </w:pPr>
            <w:r>
              <w:rPr>
                <w:rFonts w:hint="default" w:ascii="Times New Roman" w:hAnsi="Times New Roman" w:eastAsia="黑体" w:cs="Times New Roman"/>
                <w:szCs w:val="21"/>
              </w:rPr>
              <w:t>220千伏</w:t>
            </w:r>
          </w:p>
        </w:tc>
        <w:tc>
          <w:tcPr>
            <w:tcW w:w="1313"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400" w:lineRule="exact"/>
              <w:jc w:val="center"/>
              <w:rPr>
                <w:rFonts w:hint="default" w:ascii="Times New Roman" w:hAnsi="Times New Roman" w:eastAsia="黑体" w:cs="Times New Roman"/>
                <w:szCs w:val="21"/>
              </w:rPr>
            </w:pPr>
            <w:r>
              <w:rPr>
                <w:rFonts w:hint="default" w:ascii="Times New Roman" w:hAnsi="Times New Roman" w:eastAsia="黑体" w:cs="Times New Roman"/>
                <w:szCs w:val="21"/>
              </w:rPr>
              <w:t>最大容量</w:t>
            </w:r>
          </w:p>
        </w:tc>
        <w:tc>
          <w:tcPr>
            <w:tcW w:w="1551"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400" w:lineRule="exact"/>
              <w:jc w:val="center"/>
              <w:rPr>
                <w:rFonts w:hint="default" w:ascii="Times New Roman" w:hAnsi="Times New Roman" w:eastAsia="黑体" w:cs="Times New Roman"/>
                <w:szCs w:val="21"/>
              </w:rPr>
            </w:pPr>
            <w:r>
              <w:rPr>
                <w:rFonts w:hint="default" w:ascii="Times New Roman" w:hAnsi="Times New Roman" w:eastAsia="黑体" w:cs="Times New Roman"/>
                <w:szCs w:val="21"/>
              </w:rPr>
              <w:t>最大需量</w:t>
            </w:r>
          </w:p>
        </w:tc>
      </w:tr>
      <w:tr>
        <w:tblPrEx>
          <w:tblLayout w:type="fixed"/>
          <w:tblCellMar>
            <w:top w:w="0" w:type="dxa"/>
            <w:left w:w="108" w:type="dxa"/>
            <w:bottom w:w="0" w:type="dxa"/>
            <w:right w:w="108" w:type="dxa"/>
          </w:tblCellMar>
        </w:tblPrEx>
        <w:trPr>
          <w:trHeight w:val="227" w:hRule="atLeast"/>
          <w:jc w:val="center"/>
        </w:trPr>
        <w:tc>
          <w:tcPr>
            <w:tcW w:w="1322" w:type="dxa"/>
            <w:vMerge w:val="continue"/>
            <w:tcBorders>
              <w:top w:val="single" w:color="auto" w:sz="4" w:space="0"/>
              <w:left w:val="single" w:color="auto" w:sz="4" w:space="0"/>
              <w:bottom w:val="single" w:color="auto" w:sz="4" w:space="0"/>
              <w:right w:val="single" w:color="auto" w:sz="4" w:space="0"/>
            </w:tcBorders>
            <w:vAlign w:val="center"/>
          </w:tcPr>
          <w:p>
            <w:pPr>
              <w:autoSpaceDE w:val="0"/>
              <w:autoSpaceDN w:val="0"/>
              <w:spacing w:line="400" w:lineRule="exact"/>
              <w:jc w:val="center"/>
              <w:rPr>
                <w:rFonts w:hint="default" w:ascii="Times New Roman" w:hAnsi="Times New Roman" w:eastAsia="黑体" w:cs="Times New Roman"/>
                <w:szCs w:val="21"/>
              </w:rPr>
            </w:pPr>
          </w:p>
        </w:tc>
        <w:tc>
          <w:tcPr>
            <w:tcW w:w="1094" w:type="dxa"/>
            <w:vMerge w:val="continue"/>
            <w:tcBorders>
              <w:top w:val="single" w:color="auto" w:sz="4" w:space="0"/>
              <w:left w:val="single" w:color="auto" w:sz="4" w:space="0"/>
              <w:bottom w:val="single" w:color="auto" w:sz="4" w:space="0"/>
              <w:right w:val="single" w:color="auto" w:sz="4" w:space="0"/>
            </w:tcBorders>
            <w:vAlign w:val="center"/>
          </w:tcPr>
          <w:p>
            <w:pPr>
              <w:autoSpaceDE w:val="0"/>
              <w:autoSpaceDN w:val="0"/>
              <w:spacing w:line="400" w:lineRule="exact"/>
              <w:jc w:val="center"/>
              <w:rPr>
                <w:rFonts w:hint="default" w:ascii="Times New Roman" w:hAnsi="Times New Roman" w:eastAsia="黑体" w:cs="Times New Roman"/>
                <w:szCs w:val="21"/>
              </w:rPr>
            </w:pPr>
          </w:p>
        </w:tc>
        <w:tc>
          <w:tcPr>
            <w:tcW w:w="1087" w:type="dxa"/>
            <w:vMerge w:val="continue"/>
            <w:tcBorders>
              <w:top w:val="single" w:color="auto" w:sz="4" w:space="0"/>
              <w:left w:val="single" w:color="auto" w:sz="4" w:space="0"/>
              <w:bottom w:val="single" w:color="auto" w:sz="4" w:space="0"/>
              <w:right w:val="single" w:color="auto" w:sz="4" w:space="0"/>
            </w:tcBorders>
            <w:vAlign w:val="center"/>
          </w:tcPr>
          <w:p>
            <w:pPr>
              <w:autoSpaceDE w:val="0"/>
              <w:autoSpaceDN w:val="0"/>
              <w:spacing w:line="400" w:lineRule="exact"/>
              <w:jc w:val="center"/>
              <w:rPr>
                <w:rFonts w:hint="default" w:ascii="Times New Roman" w:hAnsi="Times New Roman" w:eastAsia="黑体" w:cs="Times New Roman"/>
                <w:szCs w:val="21"/>
              </w:rPr>
            </w:pPr>
          </w:p>
        </w:tc>
        <w:tc>
          <w:tcPr>
            <w:tcW w:w="1057" w:type="dxa"/>
            <w:vMerge w:val="continue"/>
            <w:tcBorders>
              <w:top w:val="single" w:color="auto" w:sz="4" w:space="0"/>
              <w:left w:val="single" w:color="auto" w:sz="4" w:space="0"/>
              <w:bottom w:val="single" w:color="auto" w:sz="4" w:space="0"/>
              <w:right w:val="single" w:color="auto" w:sz="4" w:space="0"/>
            </w:tcBorders>
            <w:vAlign w:val="center"/>
          </w:tcPr>
          <w:p>
            <w:pPr>
              <w:autoSpaceDE w:val="0"/>
              <w:autoSpaceDN w:val="0"/>
              <w:spacing w:line="400" w:lineRule="exact"/>
              <w:jc w:val="center"/>
              <w:rPr>
                <w:rFonts w:hint="default" w:ascii="Times New Roman" w:hAnsi="Times New Roman" w:eastAsia="黑体" w:cs="Times New Roman"/>
                <w:szCs w:val="21"/>
              </w:rPr>
            </w:pPr>
          </w:p>
        </w:tc>
        <w:tc>
          <w:tcPr>
            <w:tcW w:w="1057" w:type="dxa"/>
            <w:vMerge w:val="continue"/>
            <w:tcBorders>
              <w:top w:val="single" w:color="auto" w:sz="4" w:space="0"/>
              <w:left w:val="single" w:color="auto" w:sz="4" w:space="0"/>
              <w:bottom w:val="single" w:color="auto" w:sz="4" w:space="0"/>
              <w:right w:val="single" w:color="auto" w:sz="4" w:space="0"/>
            </w:tcBorders>
            <w:vAlign w:val="center"/>
          </w:tcPr>
          <w:p>
            <w:pPr>
              <w:autoSpaceDE w:val="0"/>
              <w:autoSpaceDN w:val="0"/>
              <w:spacing w:line="400" w:lineRule="exact"/>
              <w:jc w:val="center"/>
              <w:rPr>
                <w:rFonts w:hint="default" w:ascii="Times New Roman" w:hAnsi="Times New Roman" w:eastAsia="黑体" w:cs="Times New Roman"/>
                <w:szCs w:val="21"/>
              </w:rPr>
            </w:pPr>
          </w:p>
        </w:tc>
        <w:tc>
          <w:tcPr>
            <w:tcW w:w="993" w:type="dxa"/>
            <w:vMerge w:val="continue"/>
            <w:tcBorders>
              <w:top w:val="single" w:color="auto" w:sz="4" w:space="0"/>
              <w:left w:val="single" w:color="auto" w:sz="4" w:space="0"/>
              <w:bottom w:val="single" w:color="auto" w:sz="4" w:space="0"/>
              <w:right w:val="single" w:color="auto" w:sz="4" w:space="0"/>
            </w:tcBorders>
            <w:vAlign w:val="center"/>
          </w:tcPr>
          <w:p>
            <w:pPr>
              <w:autoSpaceDE w:val="0"/>
              <w:autoSpaceDN w:val="0"/>
              <w:spacing w:line="400" w:lineRule="exact"/>
              <w:jc w:val="center"/>
              <w:rPr>
                <w:rFonts w:hint="default" w:ascii="Times New Roman" w:hAnsi="Times New Roman" w:eastAsia="黑体" w:cs="Times New Roman"/>
                <w:szCs w:val="21"/>
              </w:rPr>
            </w:pPr>
          </w:p>
        </w:tc>
        <w:tc>
          <w:tcPr>
            <w:tcW w:w="1313"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400" w:lineRule="exact"/>
              <w:ind w:left="-63" w:leftChars="-30" w:right="-63" w:rightChars="-30"/>
              <w:jc w:val="center"/>
              <w:rPr>
                <w:rFonts w:hint="default" w:ascii="Times New Roman" w:hAnsi="Times New Roman" w:eastAsia="黑体" w:cs="Times New Roman"/>
                <w:spacing w:val="-10"/>
                <w:w w:val="95"/>
                <w:szCs w:val="21"/>
              </w:rPr>
            </w:pPr>
            <w:r>
              <w:rPr>
                <w:rFonts w:hint="default" w:ascii="Times New Roman" w:hAnsi="Times New Roman" w:eastAsia="黑体" w:cs="Times New Roman"/>
                <w:spacing w:val="-10"/>
                <w:w w:val="95"/>
                <w:szCs w:val="21"/>
              </w:rPr>
              <w:t>（元/千瓦·月）</w:t>
            </w:r>
          </w:p>
        </w:tc>
        <w:tc>
          <w:tcPr>
            <w:tcW w:w="1551"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400" w:lineRule="exact"/>
              <w:ind w:left="-63" w:leftChars="-30" w:right="-63" w:rightChars="-30"/>
              <w:jc w:val="center"/>
              <w:rPr>
                <w:rFonts w:hint="default" w:ascii="Times New Roman" w:hAnsi="Times New Roman" w:eastAsia="黑体" w:cs="Times New Roman"/>
                <w:spacing w:val="-10"/>
                <w:w w:val="95"/>
                <w:szCs w:val="21"/>
              </w:rPr>
            </w:pPr>
            <w:r>
              <w:rPr>
                <w:rFonts w:hint="default" w:ascii="Times New Roman" w:hAnsi="Times New Roman" w:eastAsia="黑体" w:cs="Times New Roman"/>
                <w:spacing w:val="-10"/>
                <w:w w:val="95"/>
                <w:szCs w:val="21"/>
              </w:rPr>
              <w:t>（元/千伏安·月）</w:t>
            </w:r>
          </w:p>
        </w:tc>
      </w:tr>
      <w:tr>
        <w:tblPrEx>
          <w:tblLayout w:type="fixed"/>
          <w:tblCellMar>
            <w:top w:w="0" w:type="dxa"/>
            <w:left w:w="108" w:type="dxa"/>
            <w:bottom w:w="0" w:type="dxa"/>
            <w:right w:w="108" w:type="dxa"/>
          </w:tblCellMar>
        </w:tblPrEx>
        <w:trPr>
          <w:trHeight w:val="890" w:hRule="atLeast"/>
          <w:jc w:val="center"/>
        </w:trPr>
        <w:tc>
          <w:tcPr>
            <w:tcW w:w="1322"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400" w:lineRule="exact"/>
              <w:jc w:val="left"/>
              <w:rPr>
                <w:rFonts w:hint="default" w:ascii="Times New Roman" w:hAnsi="Times New Roman" w:cs="Times New Roman"/>
                <w:szCs w:val="21"/>
              </w:rPr>
            </w:pPr>
            <w:r>
              <w:rPr>
                <w:rFonts w:hint="default" w:ascii="Times New Roman" w:hAnsi="Times New Roman" w:cs="Times New Roman"/>
                <w:szCs w:val="21"/>
              </w:rPr>
              <w:t>一、一般工商业及其他用电</w:t>
            </w:r>
          </w:p>
        </w:tc>
        <w:tc>
          <w:tcPr>
            <w:tcW w:w="1094"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textAlignment w:val="center"/>
              <w:rPr>
                <w:rFonts w:hint="default" w:ascii="Times New Roman" w:hAnsi="Times New Roman" w:cs="Times New Roman"/>
                <w:szCs w:val="21"/>
              </w:rPr>
            </w:pPr>
            <w:r>
              <w:rPr>
                <w:rFonts w:hint="default" w:ascii="Times New Roman" w:hAnsi="Times New Roman" w:cs="Times New Roman"/>
                <w:szCs w:val="21"/>
              </w:rPr>
              <w:t>0.32364</w:t>
            </w:r>
          </w:p>
        </w:tc>
        <w:tc>
          <w:tcPr>
            <w:tcW w:w="108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textAlignment w:val="center"/>
              <w:rPr>
                <w:rFonts w:hint="default" w:ascii="Times New Roman" w:hAnsi="Times New Roman" w:cs="Times New Roman"/>
                <w:szCs w:val="21"/>
              </w:rPr>
            </w:pPr>
            <w:r>
              <w:rPr>
                <w:rFonts w:hint="default" w:ascii="Times New Roman" w:hAnsi="Times New Roman" w:cs="Times New Roman"/>
                <w:szCs w:val="21"/>
              </w:rPr>
              <w:t>0.30364</w:t>
            </w:r>
          </w:p>
        </w:tc>
        <w:tc>
          <w:tcPr>
            <w:tcW w:w="105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textAlignment w:val="center"/>
              <w:rPr>
                <w:rFonts w:hint="default" w:ascii="Times New Roman" w:hAnsi="Times New Roman" w:cs="Times New Roman"/>
                <w:szCs w:val="21"/>
              </w:rPr>
            </w:pPr>
            <w:r>
              <w:rPr>
                <w:rFonts w:hint="default" w:ascii="Times New Roman" w:hAnsi="Times New Roman" w:cs="Times New Roman"/>
                <w:szCs w:val="21"/>
              </w:rPr>
              <w:t>0.28364</w:t>
            </w:r>
          </w:p>
        </w:tc>
        <w:tc>
          <w:tcPr>
            <w:tcW w:w="105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textAlignment w:val="center"/>
              <w:rPr>
                <w:rFonts w:hint="default" w:ascii="Times New Roman" w:hAnsi="Times New Roman" w:cs="Times New Roman"/>
                <w:szCs w:val="21"/>
              </w:rPr>
            </w:pPr>
            <w:r>
              <w:rPr>
                <w:rFonts w:hint="default" w:ascii="Times New Roman" w:hAnsi="Times New Roman" w:cs="Times New Roman"/>
                <w:szCs w:val="21"/>
              </w:rPr>
              <w:t>0.26364</w:t>
            </w:r>
          </w:p>
        </w:tc>
        <w:tc>
          <w:tcPr>
            <w:tcW w:w="99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cs="Times New Roman"/>
                <w:szCs w:val="21"/>
              </w:rPr>
            </w:pPr>
          </w:p>
        </w:tc>
        <w:tc>
          <w:tcPr>
            <w:tcW w:w="1313"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400" w:lineRule="exact"/>
              <w:jc w:val="center"/>
              <w:rPr>
                <w:rFonts w:hint="default" w:ascii="Times New Roman" w:hAnsi="Times New Roman" w:cs="Times New Roman"/>
                <w:szCs w:val="21"/>
              </w:rPr>
            </w:pPr>
          </w:p>
        </w:tc>
        <w:tc>
          <w:tcPr>
            <w:tcW w:w="1551"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400" w:lineRule="exact"/>
              <w:jc w:val="center"/>
              <w:rPr>
                <w:rFonts w:hint="default" w:ascii="Times New Roman" w:hAnsi="Times New Roman" w:cs="Times New Roman"/>
                <w:szCs w:val="21"/>
              </w:rPr>
            </w:pPr>
          </w:p>
        </w:tc>
      </w:tr>
      <w:tr>
        <w:tblPrEx>
          <w:tblLayout w:type="fixed"/>
          <w:tblCellMar>
            <w:top w:w="0" w:type="dxa"/>
            <w:left w:w="108" w:type="dxa"/>
            <w:bottom w:w="0" w:type="dxa"/>
            <w:right w:w="108" w:type="dxa"/>
          </w:tblCellMar>
        </w:tblPrEx>
        <w:trPr>
          <w:trHeight w:val="731" w:hRule="atLeast"/>
          <w:jc w:val="center"/>
        </w:trPr>
        <w:tc>
          <w:tcPr>
            <w:tcW w:w="1322"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400" w:lineRule="exact"/>
              <w:jc w:val="left"/>
              <w:rPr>
                <w:rFonts w:hint="default" w:ascii="Times New Roman" w:hAnsi="Times New Roman" w:cs="Times New Roman"/>
                <w:szCs w:val="21"/>
              </w:rPr>
            </w:pPr>
            <w:r>
              <w:rPr>
                <w:rFonts w:hint="default" w:ascii="Times New Roman" w:hAnsi="Times New Roman" w:cs="Times New Roman"/>
                <w:szCs w:val="21"/>
              </w:rPr>
              <w:t>二、大工业用电</w:t>
            </w:r>
          </w:p>
        </w:tc>
        <w:tc>
          <w:tcPr>
            <w:tcW w:w="109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cs="Times New Roman"/>
                <w:szCs w:val="21"/>
              </w:rPr>
            </w:pPr>
          </w:p>
        </w:tc>
        <w:tc>
          <w:tcPr>
            <w:tcW w:w="108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textAlignment w:val="center"/>
              <w:rPr>
                <w:rFonts w:hint="default" w:ascii="Times New Roman" w:hAnsi="Times New Roman" w:cs="Times New Roman"/>
                <w:szCs w:val="21"/>
              </w:rPr>
            </w:pPr>
            <w:r>
              <w:rPr>
                <w:rFonts w:hint="default" w:ascii="Times New Roman" w:hAnsi="Times New Roman" w:cs="Times New Roman"/>
                <w:szCs w:val="21"/>
              </w:rPr>
              <w:t>0.19634</w:t>
            </w:r>
          </w:p>
        </w:tc>
        <w:tc>
          <w:tcPr>
            <w:tcW w:w="105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textAlignment w:val="center"/>
              <w:rPr>
                <w:rFonts w:hint="default" w:ascii="Times New Roman" w:hAnsi="Times New Roman" w:cs="Times New Roman"/>
                <w:szCs w:val="21"/>
              </w:rPr>
            </w:pPr>
            <w:r>
              <w:rPr>
                <w:rFonts w:hint="default" w:ascii="Times New Roman" w:hAnsi="Times New Roman" w:cs="Times New Roman"/>
                <w:szCs w:val="21"/>
              </w:rPr>
              <w:t>0.16734</w:t>
            </w:r>
          </w:p>
        </w:tc>
        <w:tc>
          <w:tcPr>
            <w:tcW w:w="105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textAlignment w:val="center"/>
              <w:rPr>
                <w:rFonts w:hint="default" w:ascii="Times New Roman" w:hAnsi="Times New Roman" w:cs="Times New Roman"/>
                <w:szCs w:val="21"/>
              </w:rPr>
            </w:pPr>
            <w:r>
              <w:rPr>
                <w:rFonts w:hint="default" w:ascii="Times New Roman" w:hAnsi="Times New Roman" w:cs="Times New Roman"/>
                <w:szCs w:val="21"/>
              </w:rPr>
              <w:t>0.13934</w:t>
            </w:r>
          </w:p>
        </w:tc>
        <w:tc>
          <w:tcPr>
            <w:tcW w:w="993"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textAlignment w:val="center"/>
              <w:rPr>
                <w:rFonts w:hint="default" w:ascii="Times New Roman" w:hAnsi="Times New Roman" w:cs="Times New Roman"/>
                <w:szCs w:val="21"/>
              </w:rPr>
            </w:pPr>
            <w:r>
              <w:rPr>
                <w:rFonts w:hint="default" w:ascii="Times New Roman" w:hAnsi="Times New Roman" w:cs="Times New Roman"/>
                <w:szCs w:val="21"/>
              </w:rPr>
              <w:t>0.11534</w:t>
            </w:r>
          </w:p>
        </w:tc>
        <w:tc>
          <w:tcPr>
            <w:tcW w:w="1313"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400" w:lineRule="exact"/>
              <w:jc w:val="center"/>
              <w:rPr>
                <w:rFonts w:hint="default" w:ascii="Times New Roman" w:hAnsi="Times New Roman" w:cs="Times New Roman"/>
                <w:szCs w:val="21"/>
              </w:rPr>
            </w:pPr>
            <w:r>
              <w:rPr>
                <w:rFonts w:hint="default" w:ascii="Times New Roman" w:hAnsi="Times New Roman" w:cs="Times New Roman"/>
                <w:szCs w:val="21"/>
              </w:rPr>
              <w:t>20</w:t>
            </w:r>
          </w:p>
        </w:tc>
        <w:tc>
          <w:tcPr>
            <w:tcW w:w="1551"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400" w:lineRule="exact"/>
              <w:jc w:val="center"/>
              <w:rPr>
                <w:rFonts w:hint="default" w:ascii="Times New Roman" w:hAnsi="Times New Roman" w:cs="Times New Roman"/>
                <w:szCs w:val="21"/>
              </w:rPr>
            </w:pPr>
            <w:r>
              <w:rPr>
                <w:rFonts w:hint="default" w:ascii="Times New Roman" w:hAnsi="Times New Roman" w:cs="Times New Roman"/>
                <w:szCs w:val="21"/>
              </w:rPr>
              <w:t>30</w:t>
            </w:r>
          </w:p>
        </w:tc>
      </w:tr>
    </w:tbl>
    <w:p>
      <w:pPr>
        <w:widowControl/>
        <w:spacing w:line="460" w:lineRule="exact"/>
        <w:ind w:firstLine="420" w:firstLineChars="200"/>
        <w:jc w:val="left"/>
        <w:rPr>
          <w:rFonts w:hint="default" w:ascii="Times New Roman" w:hAnsi="Times New Roman"/>
          <w:kern w:val="0"/>
          <w:szCs w:val="21"/>
        </w:rPr>
      </w:pPr>
      <w:r>
        <w:rPr>
          <w:rFonts w:hint="default" w:ascii="Times New Roman" w:hAnsi="Times New Roman"/>
          <w:kern w:val="0"/>
          <w:szCs w:val="21"/>
        </w:rPr>
        <w:t>注：</w:t>
      </w:r>
    </w:p>
    <w:p>
      <w:pPr>
        <w:widowControl/>
        <w:spacing w:line="460" w:lineRule="exact"/>
        <w:ind w:firstLine="420" w:firstLineChars="200"/>
        <w:jc w:val="both"/>
        <w:rPr>
          <w:rFonts w:hint="default" w:ascii="Times New Roman" w:hAnsi="Times New Roman"/>
          <w:kern w:val="0"/>
          <w:szCs w:val="21"/>
        </w:rPr>
      </w:pPr>
      <w:r>
        <w:rPr>
          <w:rFonts w:hint="default" w:ascii="Times New Roman" w:hAnsi="Times New Roman"/>
          <w:kern w:val="0"/>
          <w:szCs w:val="21"/>
        </w:rPr>
        <w:t>1、表中各电价含增值税、线损及交叉补贴，不含政府性基金及附加。</w:t>
      </w:r>
    </w:p>
    <w:p>
      <w:pPr>
        <w:widowControl/>
        <w:spacing w:line="460" w:lineRule="exact"/>
        <w:ind w:firstLine="420" w:firstLineChars="200"/>
        <w:jc w:val="both"/>
        <w:rPr>
          <w:rFonts w:hint="default" w:ascii="Times New Roman" w:hAnsi="Times New Roman"/>
          <w:kern w:val="0"/>
          <w:szCs w:val="21"/>
        </w:rPr>
      </w:pPr>
      <w:r>
        <w:rPr>
          <w:rFonts w:hint="default" w:ascii="Times New Roman" w:hAnsi="Times New Roman"/>
          <w:kern w:val="0"/>
          <w:szCs w:val="21"/>
        </w:rPr>
        <w:t>2、参与电力市场化交易的电力用户输配电价水平按上表价格执行，并按规定征收政府性基金及附加。政府性基金及附加的具体征收标准以现行目录销售电价表中征收标准为准。其他用户继续执行现有目录销售电价政策。</w:t>
      </w:r>
    </w:p>
    <w:p>
      <w:pPr>
        <w:widowControl/>
        <w:spacing w:line="460" w:lineRule="exact"/>
        <w:ind w:firstLine="420" w:firstLineChars="200"/>
        <w:jc w:val="both"/>
        <w:rPr>
          <w:rFonts w:hint="default" w:ascii="Times New Roman" w:hAnsi="Times New Roman"/>
          <w:kern w:val="0"/>
          <w:szCs w:val="21"/>
        </w:rPr>
      </w:pPr>
      <w:r>
        <w:rPr>
          <w:rFonts w:hint="default" w:ascii="Times New Roman" w:hAnsi="Times New Roman"/>
          <w:kern w:val="0"/>
          <w:szCs w:val="21"/>
        </w:rPr>
        <w:t>3、2017—2019年国网湖南省电力公司综合线损率按8.32%计算，实际运行中线损率超过8.32%带来的风险由国网湖南省电力公司承担，低于8.32%带来的收益由国网湖南省电力公司和电力用户各分享50%。</w:t>
      </w:r>
    </w:p>
    <w:p>
      <w:pPr>
        <w:spacing w:after="312" w:afterLines="100" w:line="596" w:lineRule="exact"/>
        <w:ind w:left="3780" w:leftChars="1800" w:firstLine="1280" w:firstLineChars="400"/>
        <w:rPr>
          <w:rFonts w:hint="default" w:ascii="Times New Roman" w:hAnsi="Times New Roman" w:eastAsia="仿宋_GB2312" w:cs="Times New Roman"/>
          <w:sz w:val="32"/>
          <w:szCs w:val="32"/>
        </w:rPr>
      </w:pPr>
    </w:p>
    <w:p>
      <w:pPr>
        <w:spacing w:after="312" w:afterLines="100" w:line="596" w:lineRule="exact"/>
        <w:ind w:left="3780" w:leftChars="1800" w:firstLine="1280" w:firstLineChars="400"/>
        <w:rPr>
          <w:rFonts w:hint="default" w:ascii="Times New Roman" w:hAnsi="Times New Roman" w:eastAsia="仿宋_GB2312" w:cs="Times New Roman"/>
          <w:sz w:val="32"/>
          <w:szCs w:val="32"/>
        </w:rPr>
      </w:pPr>
    </w:p>
    <w:p>
      <w:pPr>
        <w:spacing w:after="312" w:afterLines="100" w:line="596" w:lineRule="exact"/>
        <w:ind w:left="3780" w:leftChars="1800" w:firstLine="1280" w:firstLineChars="400"/>
        <w:rPr>
          <w:rFonts w:hint="default" w:ascii="Times New Roman" w:hAnsi="Times New Roman" w:eastAsia="仿宋_GB2312" w:cs="Times New Roman"/>
          <w:sz w:val="32"/>
          <w:szCs w:val="32"/>
        </w:rPr>
      </w:pPr>
    </w:p>
    <w:p>
      <w:pPr>
        <w:spacing w:after="312" w:afterLines="100" w:line="596" w:lineRule="exact"/>
        <w:ind w:left="3780" w:leftChars="1800" w:firstLine="1280" w:firstLineChars="400"/>
        <w:rPr>
          <w:rFonts w:hint="default" w:ascii="Times New Roman" w:hAnsi="Times New Roman" w:eastAsia="仿宋_GB2312" w:cs="Times New Roman"/>
          <w:sz w:val="32"/>
          <w:szCs w:val="32"/>
        </w:rPr>
      </w:pPr>
    </w:p>
    <w:p>
      <w:pPr>
        <w:spacing w:after="312" w:afterLines="100" w:line="560" w:lineRule="exact"/>
        <w:jc w:val="left"/>
        <w:rPr>
          <w:rFonts w:hint="default" w:ascii="Times New Roman" w:hAnsi="Times New Roman" w:eastAsia="仿宋_GB2312"/>
          <w:sz w:val="32"/>
          <w:szCs w:val="32"/>
        </w:rPr>
      </w:pPr>
      <w:r>
        <w:rPr>
          <w:rFonts w:eastAsia="仿宋_GB2312"/>
          <w:sz w:val="32"/>
          <w:szCs w:val="32"/>
        </w:rPr>
        <w:br w:type="page"/>
      </w:r>
      <w:r>
        <w:rPr>
          <w:rFonts w:hint="default" w:ascii="Times New Roman" w:hAnsi="Times New Roman" w:eastAsia="仿宋_GB2312" w:cs="Times New Roman"/>
          <w:sz w:val="32"/>
          <w:szCs w:val="32"/>
        </w:rPr>
        <w:t>附件2：</w:t>
      </w:r>
    </w:p>
    <w:p>
      <w:pPr>
        <w:spacing w:line="560" w:lineRule="exact"/>
        <w:jc w:val="center"/>
        <w:rPr>
          <w:rFonts w:hint="default" w:ascii="Times New Roman" w:hAnsi="Times New Roman" w:eastAsia="方正小标宋_GBK"/>
          <w:sz w:val="40"/>
          <w:szCs w:val="40"/>
        </w:rPr>
      </w:pPr>
      <w:r>
        <w:rPr>
          <w:rFonts w:hint="default" w:ascii="Times New Roman" w:hAnsi="Times New Roman" w:eastAsia="方正小标宋_GBK"/>
          <w:sz w:val="40"/>
          <w:szCs w:val="40"/>
        </w:rPr>
        <w:t>湖南省电网销售电价表</w:t>
      </w:r>
    </w:p>
    <w:p>
      <w:pPr>
        <w:spacing w:line="560" w:lineRule="exact"/>
        <w:jc w:val="center"/>
        <w:rPr>
          <w:rFonts w:hint="default" w:ascii="Times New Roman" w:hAnsi="Times New Roman" w:eastAsia="楷体_GB2312"/>
          <w:sz w:val="28"/>
          <w:szCs w:val="28"/>
        </w:rPr>
      </w:pPr>
    </w:p>
    <w:tbl>
      <w:tblPr>
        <w:tblStyle w:val="4"/>
        <w:tblW w:w="9545" w:type="dxa"/>
        <w:jc w:val="center"/>
        <w:tblInd w:w="0" w:type="dxa"/>
        <w:tblLayout w:type="fixed"/>
        <w:tblCellMar>
          <w:top w:w="0" w:type="dxa"/>
          <w:left w:w="108" w:type="dxa"/>
          <w:bottom w:w="0" w:type="dxa"/>
          <w:right w:w="108" w:type="dxa"/>
        </w:tblCellMar>
      </w:tblPr>
      <w:tblGrid>
        <w:gridCol w:w="1870"/>
        <w:gridCol w:w="859"/>
        <w:gridCol w:w="877"/>
        <w:gridCol w:w="1102"/>
        <w:gridCol w:w="945"/>
        <w:gridCol w:w="983"/>
        <w:gridCol w:w="1350"/>
        <w:gridCol w:w="1559"/>
      </w:tblGrid>
      <w:tr>
        <w:tblPrEx>
          <w:tblLayout w:type="fixed"/>
          <w:tblCellMar>
            <w:top w:w="0" w:type="dxa"/>
            <w:left w:w="108" w:type="dxa"/>
            <w:bottom w:w="0" w:type="dxa"/>
            <w:right w:w="108" w:type="dxa"/>
          </w:tblCellMar>
        </w:tblPrEx>
        <w:trPr>
          <w:trHeight w:val="565" w:hRule="atLeast"/>
          <w:jc w:val="center"/>
        </w:trPr>
        <w:tc>
          <w:tcPr>
            <w:tcW w:w="1870" w:type="dxa"/>
            <w:vMerge w:val="restart"/>
            <w:tcBorders>
              <w:top w:val="single" w:color="auto" w:sz="8" w:space="0"/>
              <w:left w:val="single" w:color="auto" w:sz="8" w:space="0"/>
              <w:bottom w:val="single" w:color="auto" w:sz="4" w:space="0"/>
              <w:right w:val="single" w:color="auto" w:sz="4" w:space="0"/>
            </w:tcBorders>
            <w:vAlign w:val="center"/>
          </w:tcPr>
          <w:p>
            <w:pPr>
              <w:widowControl/>
              <w:jc w:val="center"/>
              <w:rPr>
                <w:rFonts w:ascii="Times New Roman" w:hAnsi="Times New Roman" w:eastAsia="黑体"/>
                <w:kern w:val="0"/>
                <w:szCs w:val="21"/>
              </w:rPr>
            </w:pPr>
            <w:r>
              <w:rPr>
                <w:rFonts w:ascii="Times New Roman" w:hAnsi="Times New Roman" w:eastAsia="黑体"/>
                <w:kern w:val="0"/>
                <w:szCs w:val="21"/>
              </w:rPr>
              <w:t>用电分类</w:t>
            </w:r>
          </w:p>
        </w:tc>
        <w:tc>
          <w:tcPr>
            <w:tcW w:w="4766" w:type="dxa"/>
            <w:gridSpan w:val="5"/>
            <w:tcBorders>
              <w:top w:val="single" w:color="auto" w:sz="8" w:space="0"/>
              <w:left w:val="nil"/>
              <w:bottom w:val="single" w:color="auto" w:sz="4" w:space="0"/>
              <w:right w:val="single" w:color="auto" w:sz="4" w:space="0"/>
            </w:tcBorders>
            <w:vAlign w:val="center"/>
          </w:tcPr>
          <w:p>
            <w:pPr>
              <w:widowControl/>
              <w:jc w:val="center"/>
              <w:rPr>
                <w:rFonts w:ascii="Times New Roman" w:hAnsi="Times New Roman" w:eastAsia="黑体"/>
                <w:kern w:val="0"/>
                <w:szCs w:val="21"/>
              </w:rPr>
            </w:pPr>
            <w:r>
              <w:rPr>
                <w:rFonts w:ascii="Times New Roman" w:hAnsi="Times New Roman" w:eastAsia="黑体"/>
                <w:kern w:val="0"/>
                <w:szCs w:val="21"/>
              </w:rPr>
              <w:t>电度电价</w:t>
            </w:r>
            <w:r>
              <w:rPr>
                <w:rFonts w:hint="default" w:ascii="Times New Roman" w:hAnsi="Times New Roman" w:eastAsia="黑体"/>
                <w:szCs w:val="21"/>
              </w:rPr>
              <w:t>（</w:t>
            </w:r>
            <w:r>
              <w:rPr>
                <w:rFonts w:ascii="Times New Roman" w:hAnsi="Times New Roman" w:eastAsia="黑体"/>
                <w:szCs w:val="21"/>
              </w:rPr>
              <w:t>元/千瓦时</w:t>
            </w:r>
            <w:r>
              <w:rPr>
                <w:rFonts w:hint="default" w:ascii="Times New Roman" w:hAnsi="Times New Roman" w:eastAsia="黑体"/>
                <w:szCs w:val="21"/>
              </w:rPr>
              <w:t>）</w:t>
            </w:r>
          </w:p>
        </w:tc>
        <w:tc>
          <w:tcPr>
            <w:tcW w:w="2909" w:type="dxa"/>
            <w:gridSpan w:val="2"/>
            <w:tcBorders>
              <w:top w:val="single" w:color="auto" w:sz="8" w:space="0"/>
              <w:left w:val="nil"/>
              <w:bottom w:val="single" w:color="auto" w:sz="4" w:space="0"/>
              <w:right w:val="single" w:color="000000" w:sz="8" w:space="0"/>
            </w:tcBorders>
            <w:vAlign w:val="center"/>
          </w:tcPr>
          <w:p>
            <w:pPr>
              <w:widowControl/>
              <w:jc w:val="center"/>
              <w:rPr>
                <w:rFonts w:ascii="Times New Roman" w:hAnsi="Times New Roman" w:eastAsia="黑体"/>
                <w:kern w:val="0"/>
                <w:szCs w:val="21"/>
              </w:rPr>
            </w:pPr>
            <w:r>
              <w:rPr>
                <w:rFonts w:ascii="Times New Roman" w:hAnsi="Times New Roman" w:eastAsia="黑体"/>
                <w:kern w:val="0"/>
                <w:szCs w:val="21"/>
              </w:rPr>
              <w:t>基本电价</w:t>
            </w:r>
          </w:p>
        </w:tc>
      </w:tr>
      <w:tr>
        <w:tblPrEx>
          <w:tblLayout w:type="fixed"/>
          <w:tblCellMar>
            <w:top w:w="0" w:type="dxa"/>
            <w:left w:w="108" w:type="dxa"/>
            <w:bottom w:w="0" w:type="dxa"/>
            <w:right w:w="108" w:type="dxa"/>
          </w:tblCellMar>
        </w:tblPrEx>
        <w:trPr>
          <w:trHeight w:val="404" w:hRule="atLeast"/>
          <w:jc w:val="center"/>
        </w:trPr>
        <w:tc>
          <w:tcPr>
            <w:tcW w:w="1870" w:type="dxa"/>
            <w:vMerge w:val="continue"/>
            <w:tcBorders>
              <w:top w:val="single" w:color="auto" w:sz="8" w:space="0"/>
              <w:left w:val="single" w:color="auto" w:sz="8" w:space="0"/>
              <w:bottom w:val="single" w:color="auto" w:sz="4" w:space="0"/>
              <w:right w:val="single" w:color="auto" w:sz="4" w:space="0"/>
            </w:tcBorders>
            <w:vAlign w:val="center"/>
          </w:tcPr>
          <w:p>
            <w:pPr>
              <w:widowControl/>
              <w:jc w:val="left"/>
              <w:rPr>
                <w:rFonts w:ascii="Times New Roman" w:hAnsi="Times New Roman" w:eastAsia="黑体"/>
                <w:kern w:val="0"/>
                <w:szCs w:val="21"/>
              </w:rPr>
            </w:pPr>
          </w:p>
        </w:tc>
        <w:tc>
          <w:tcPr>
            <w:tcW w:w="859" w:type="dxa"/>
            <w:vMerge w:val="restart"/>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黑体"/>
                <w:kern w:val="0"/>
                <w:szCs w:val="21"/>
              </w:rPr>
            </w:pPr>
            <w:r>
              <w:rPr>
                <w:rFonts w:ascii="Times New Roman" w:hAnsi="Times New Roman" w:eastAsia="黑体"/>
                <w:kern w:val="0"/>
                <w:szCs w:val="21"/>
              </w:rPr>
              <w:t>不满</w:t>
            </w:r>
          </w:p>
          <w:p>
            <w:pPr>
              <w:widowControl/>
              <w:jc w:val="center"/>
              <w:rPr>
                <w:rFonts w:ascii="Times New Roman" w:hAnsi="Times New Roman" w:eastAsia="黑体"/>
                <w:kern w:val="0"/>
                <w:szCs w:val="21"/>
              </w:rPr>
            </w:pPr>
            <w:r>
              <w:rPr>
                <w:rFonts w:ascii="Times New Roman" w:hAnsi="Times New Roman" w:eastAsia="黑体"/>
                <w:kern w:val="0"/>
                <w:szCs w:val="21"/>
              </w:rPr>
              <w:t>1千伏</w:t>
            </w:r>
          </w:p>
        </w:tc>
        <w:tc>
          <w:tcPr>
            <w:tcW w:w="877" w:type="dxa"/>
            <w:vMerge w:val="restart"/>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黑体"/>
                <w:kern w:val="0"/>
                <w:szCs w:val="21"/>
              </w:rPr>
            </w:pPr>
            <w:r>
              <w:rPr>
                <w:rFonts w:ascii="Times New Roman" w:hAnsi="Times New Roman" w:eastAsia="黑体"/>
                <w:kern w:val="0"/>
                <w:szCs w:val="21"/>
              </w:rPr>
              <w:t>1-10</w:t>
            </w:r>
          </w:p>
          <w:p>
            <w:pPr>
              <w:widowControl/>
              <w:jc w:val="center"/>
              <w:rPr>
                <w:rFonts w:ascii="Times New Roman" w:hAnsi="Times New Roman" w:eastAsia="黑体"/>
                <w:kern w:val="0"/>
                <w:szCs w:val="21"/>
              </w:rPr>
            </w:pPr>
            <w:r>
              <w:rPr>
                <w:rFonts w:ascii="Times New Roman" w:hAnsi="Times New Roman" w:eastAsia="黑体"/>
                <w:kern w:val="0"/>
                <w:szCs w:val="21"/>
              </w:rPr>
              <w:t>千伏</w:t>
            </w:r>
          </w:p>
        </w:tc>
        <w:tc>
          <w:tcPr>
            <w:tcW w:w="1102" w:type="dxa"/>
            <w:vMerge w:val="restart"/>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黑体"/>
                <w:kern w:val="0"/>
                <w:szCs w:val="21"/>
              </w:rPr>
            </w:pPr>
            <w:r>
              <w:rPr>
                <w:rFonts w:ascii="Times New Roman" w:hAnsi="Times New Roman" w:eastAsia="黑体"/>
                <w:kern w:val="0"/>
                <w:szCs w:val="21"/>
              </w:rPr>
              <w:t>35-110</w:t>
            </w:r>
          </w:p>
          <w:p>
            <w:pPr>
              <w:widowControl/>
              <w:jc w:val="center"/>
              <w:rPr>
                <w:rFonts w:ascii="Times New Roman" w:hAnsi="Times New Roman" w:eastAsia="黑体"/>
                <w:kern w:val="0"/>
                <w:szCs w:val="21"/>
              </w:rPr>
            </w:pPr>
            <w:r>
              <w:rPr>
                <w:rFonts w:ascii="Times New Roman" w:hAnsi="Times New Roman" w:eastAsia="黑体"/>
                <w:kern w:val="0"/>
                <w:szCs w:val="21"/>
              </w:rPr>
              <w:t>千伏以下</w:t>
            </w:r>
          </w:p>
        </w:tc>
        <w:tc>
          <w:tcPr>
            <w:tcW w:w="945" w:type="dxa"/>
            <w:vMerge w:val="restart"/>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黑体"/>
                <w:kern w:val="0"/>
                <w:szCs w:val="21"/>
              </w:rPr>
            </w:pPr>
            <w:r>
              <w:rPr>
                <w:rFonts w:ascii="Times New Roman" w:hAnsi="Times New Roman" w:eastAsia="黑体"/>
                <w:kern w:val="0"/>
                <w:szCs w:val="21"/>
              </w:rPr>
              <w:t>110</w:t>
            </w:r>
          </w:p>
          <w:p>
            <w:pPr>
              <w:widowControl/>
              <w:jc w:val="center"/>
              <w:rPr>
                <w:rFonts w:ascii="Times New Roman" w:hAnsi="Times New Roman" w:eastAsia="黑体"/>
                <w:kern w:val="0"/>
                <w:szCs w:val="21"/>
              </w:rPr>
            </w:pPr>
            <w:r>
              <w:rPr>
                <w:rFonts w:ascii="Times New Roman" w:hAnsi="Times New Roman" w:eastAsia="黑体"/>
                <w:kern w:val="0"/>
                <w:szCs w:val="21"/>
              </w:rPr>
              <w:t>千伏</w:t>
            </w:r>
          </w:p>
        </w:tc>
        <w:tc>
          <w:tcPr>
            <w:tcW w:w="983" w:type="dxa"/>
            <w:vMerge w:val="restart"/>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黑体"/>
                <w:kern w:val="0"/>
                <w:szCs w:val="21"/>
              </w:rPr>
            </w:pPr>
            <w:r>
              <w:rPr>
                <w:rFonts w:ascii="Times New Roman" w:hAnsi="Times New Roman" w:eastAsia="黑体"/>
                <w:kern w:val="0"/>
                <w:szCs w:val="21"/>
              </w:rPr>
              <w:t>220千伏及以上</w:t>
            </w:r>
          </w:p>
        </w:tc>
        <w:tc>
          <w:tcPr>
            <w:tcW w:w="1350" w:type="dxa"/>
            <w:tcBorders>
              <w:top w:val="nil"/>
              <w:left w:val="nil"/>
              <w:bottom w:val="single" w:color="auto" w:sz="4" w:space="0"/>
              <w:right w:val="single" w:color="auto" w:sz="4" w:space="0"/>
            </w:tcBorders>
            <w:vAlign w:val="center"/>
          </w:tcPr>
          <w:p>
            <w:pPr>
              <w:widowControl/>
              <w:jc w:val="center"/>
              <w:rPr>
                <w:rFonts w:ascii="Times New Roman" w:hAnsi="Times New Roman" w:eastAsia="黑体"/>
                <w:kern w:val="0"/>
                <w:szCs w:val="21"/>
              </w:rPr>
            </w:pPr>
            <w:r>
              <w:rPr>
                <w:rFonts w:ascii="Times New Roman" w:hAnsi="Times New Roman" w:eastAsia="黑体"/>
                <w:kern w:val="0"/>
                <w:szCs w:val="21"/>
              </w:rPr>
              <w:t>最大需量</w:t>
            </w:r>
          </w:p>
        </w:tc>
        <w:tc>
          <w:tcPr>
            <w:tcW w:w="1559" w:type="dxa"/>
            <w:tcBorders>
              <w:top w:val="nil"/>
              <w:left w:val="nil"/>
              <w:bottom w:val="single" w:color="auto" w:sz="4" w:space="0"/>
              <w:right w:val="single" w:color="auto" w:sz="8" w:space="0"/>
            </w:tcBorders>
            <w:vAlign w:val="center"/>
          </w:tcPr>
          <w:p>
            <w:pPr>
              <w:widowControl/>
              <w:jc w:val="center"/>
              <w:rPr>
                <w:rFonts w:ascii="Times New Roman" w:hAnsi="Times New Roman" w:eastAsia="黑体"/>
                <w:kern w:val="0"/>
                <w:szCs w:val="21"/>
              </w:rPr>
            </w:pPr>
            <w:r>
              <w:rPr>
                <w:rFonts w:ascii="Times New Roman" w:hAnsi="Times New Roman" w:eastAsia="黑体"/>
                <w:kern w:val="0"/>
                <w:szCs w:val="21"/>
              </w:rPr>
              <w:t>变压器容量</w:t>
            </w:r>
          </w:p>
        </w:tc>
      </w:tr>
      <w:tr>
        <w:tblPrEx>
          <w:tblLayout w:type="fixed"/>
          <w:tblCellMar>
            <w:top w:w="0" w:type="dxa"/>
            <w:left w:w="108" w:type="dxa"/>
            <w:bottom w:w="0" w:type="dxa"/>
            <w:right w:w="108" w:type="dxa"/>
          </w:tblCellMar>
        </w:tblPrEx>
        <w:trPr>
          <w:trHeight w:val="284" w:hRule="atLeast"/>
          <w:jc w:val="center"/>
        </w:trPr>
        <w:tc>
          <w:tcPr>
            <w:tcW w:w="1870" w:type="dxa"/>
            <w:vMerge w:val="continue"/>
            <w:tcBorders>
              <w:top w:val="single" w:color="auto" w:sz="8" w:space="0"/>
              <w:left w:val="single" w:color="auto" w:sz="8" w:space="0"/>
              <w:bottom w:val="single" w:color="auto" w:sz="4" w:space="0"/>
              <w:right w:val="single" w:color="auto" w:sz="4" w:space="0"/>
            </w:tcBorders>
            <w:vAlign w:val="center"/>
          </w:tcPr>
          <w:p>
            <w:pPr>
              <w:widowControl/>
              <w:jc w:val="left"/>
              <w:rPr>
                <w:rFonts w:ascii="Times New Roman" w:hAnsi="Times New Roman" w:eastAsia="黑体"/>
                <w:kern w:val="0"/>
                <w:szCs w:val="21"/>
              </w:rPr>
            </w:pPr>
          </w:p>
        </w:tc>
        <w:tc>
          <w:tcPr>
            <w:tcW w:w="859"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黑体"/>
                <w:kern w:val="0"/>
                <w:szCs w:val="21"/>
              </w:rPr>
            </w:pPr>
          </w:p>
        </w:tc>
        <w:tc>
          <w:tcPr>
            <w:tcW w:w="87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黑体"/>
                <w:kern w:val="0"/>
                <w:szCs w:val="21"/>
              </w:rPr>
            </w:pPr>
          </w:p>
        </w:tc>
        <w:tc>
          <w:tcPr>
            <w:tcW w:w="110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黑体"/>
                <w:kern w:val="0"/>
                <w:szCs w:val="21"/>
              </w:rPr>
            </w:pPr>
          </w:p>
        </w:tc>
        <w:tc>
          <w:tcPr>
            <w:tcW w:w="945"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黑体"/>
                <w:kern w:val="0"/>
                <w:szCs w:val="21"/>
              </w:rPr>
            </w:pPr>
          </w:p>
        </w:tc>
        <w:tc>
          <w:tcPr>
            <w:tcW w:w="983"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黑体"/>
                <w:kern w:val="0"/>
                <w:szCs w:val="21"/>
              </w:rPr>
            </w:pPr>
          </w:p>
        </w:tc>
        <w:tc>
          <w:tcPr>
            <w:tcW w:w="1350" w:type="dxa"/>
            <w:tcBorders>
              <w:top w:val="nil"/>
              <w:left w:val="nil"/>
              <w:bottom w:val="single" w:color="auto" w:sz="4" w:space="0"/>
              <w:right w:val="single" w:color="auto" w:sz="4" w:space="0"/>
            </w:tcBorders>
            <w:vAlign w:val="center"/>
          </w:tcPr>
          <w:p>
            <w:pPr>
              <w:widowControl/>
              <w:ind w:left="-63" w:leftChars="-30" w:right="-63" w:rightChars="-30"/>
              <w:rPr>
                <w:rFonts w:ascii="Times New Roman" w:hAnsi="Times New Roman" w:eastAsia="黑体"/>
                <w:spacing w:val="-14"/>
                <w:w w:val="95"/>
                <w:kern w:val="0"/>
                <w:szCs w:val="21"/>
              </w:rPr>
            </w:pPr>
            <w:r>
              <w:rPr>
                <w:rFonts w:ascii="Times New Roman" w:hAnsi="Times New Roman" w:eastAsia="黑体"/>
                <w:spacing w:val="-14"/>
                <w:w w:val="95"/>
                <w:kern w:val="0"/>
                <w:szCs w:val="21"/>
              </w:rPr>
              <w:t>（元/千瓦·月）</w:t>
            </w:r>
          </w:p>
        </w:tc>
        <w:tc>
          <w:tcPr>
            <w:tcW w:w="1559" w:type="dxa"/>
            <w:tcBorders>
              <w:top w:val="nil"/>
              <w:left w:val="nil"/>
              <w:bottom w:val="single" w:color="auto" w:sz="4" w:space="0"/>
              <w:right w:val="single" w:color="auto" w:sz="8" w:space="0"/>
            </w:tcBorders>
            <w:vAlign w:val="center"/>
          </w:tcPr>
          <w:p>
            <w:pPr>
              <w:widowControl/>
              <w:ind w:left="-63" w:leftChars="-30" w:right="-63" w:rightChars="-30"/>
              <w:rPr>
                <w:rFonts w:ascii="Times New Roman" w:hAnsi="Times New Roman" w:eastAsia="黑体"/>
                <w:spacing w:val="-14"/>
                <w:w w:val="95"/>
                <w:kern w:val="0"/>
                <w:szCs w:val="21"/>
              </w:rPr>
            </w:pPr>
            <w:r>
              <w:rPr>
                <w:rFonts w:ascii="Times New Roman" w:hAnsi="Times New Roman" w:eastAsia="黑体"/>
                <w:spacing w:val="-14"/>
                <w:w w:val="95"/>
                <w:kern w:val="0"/>
                <w:szCs w:val="21"/>
              </w:rPr>
              <w:t>（元/千伏安·月）</w:t>
            </w:r>
          </w:p>
        </w:tc>
      </w:tr>
      <w:tr>
        <w:tblPrEx>
          <w:tblLayout w:type="fixed"/>
          <w:tblCellMar>
            <w:top w:w="0" w:type="dxa"/>
            <w:left w:w="108" w:type="dxa"/>
            <w:bottom w:w="0" w:type="dxa"/>
            <w:right w:w="108" w:type="dxa"/>
          </w:tblCellMar>
        </w:tblPrEx>
        <w:trPr>
          <w:trHeight w:val="624" w:hRule="atLeast"/>
          <w:jc w:val="center"/>
        </w:trPr>
        <w:tc>
          <w:tcPr>
            <w:tcW w:w="1870" w:type="dxa"/>
            <w:tcBorders>
              <w:top w:val="nil"/>
              <w:left w:val="single" w:color="auto" w:sz="8" w:space="0"/>
              <w:bottom w:val="single" w:color="auto" w:sz="4" w:space="0"/>
              <w:right w:val="single" w:color="auto" w:sz="4" w:space="0"/>
            </w:tcBorders>
            <w:vAlign w:val="center"/>
          </w:tcPr>
          <w:p>
            <w:pPr>
              <w:widowControl/>
              <w:spacing w:line="300" w:lineRule="exact"/>
              <w:jc w:val="left"/>
              <w:rPr>
                <w:rFonts w:ascii="Times New Roman" w:hAnsi="Times New Roman"/>
                <w:kern w:val="0"/>
                <w:szCs w:val="21"/>
              </w:rPr>
            </w:pPr>
            <w:r>
              <w:rPr>
                <w:rFonts w:ascii="Times New Roman" w:hAnsi="Times New Roman"/>
                <w:kern w:val="0"/>
                <w:szCs w:val="21"/>
              </w:rPr>
              <w:t>一、居民生活用电</w:t>
            </w:r>
          </w:p>
        </w:tc>
        <w:tc>
          <w:tcPr>
            <w:tcW w:w="859" w:type="dxa"/>
            <w:tcBorders>
              <w:top w:val="nil"/>
              <w:left w:val="nil"/>
              <w:bottom w:val="single" w:color="auto" w:sz="4" w:space="0"/>
              <w:right w:val="single" w:color="auto" w:sz="4" w:space="0"/>
            </w:tcBorders>
            <w:vAlign w:val="center"/>
          </w:tcPr>
          <w:p>
            <w:pPr>
              <w:widowControl/>
              <w:spacing w:line="360" w:lineRule="exact"/>
              <w:jc w:val="center"/>
              <w:rPr>
                <w:rFonts w:ascii="Times New Roman" w:hAnsi="Times New Roman"/>
                <w:kern w:val="0"/>
                <w:szCs w:val="21"/>
              </w:rPr>
            </w:pPr>
            <w:r>
              <w:rPr>
                <w:rFonts w:ascii="Times New Roman" w:hAnsi="Times New Roman"/>
                <w:kern w:val="0"/>
                <w:szCs w:val="21"/>
              </w:rPr>
              <w:t>0.5880</w:t>
            </w:r>
          </w:p>
        </w:tc>
        <w:tc>
          <w:tcPr>
            <w:tcW w:w="877" w:type="dxa"/>
            <w:tcBorders>
              <w:top w:val="nil"/>
              <w:left w:val="nil"/>
              <w:bottom w:val="single" w:color="auto" w:sz="4" w:space="0"/>
              <w:right w:val="single" w:color="auto" w:sz="4" w:space="0"/>
            </w:tcBorders>
            <w:vAlign w:val="center"/>
          </w:tcPr>
          <w:p>
            <w:pPr>
              <w:widowControl/>
              <w:spacing w:line="360" w:lineRule="exact"/>
              <w:jc w:val="center"/>
              <w:rPr>
                <w:rFonts w:ascii="Times New Roman" w:hAnsi="Times New Roman"/>
                <w:kern w:val="0"/>
                <w:szCs w:val="21"/>
              </w:rPr>
            </w:pPr>
            <w:r>
              <w:rPr>
                <w:rFonts w:ascii="Times New Roman" w:hAnsi="Times New Roman"/>
                <w:kern w:val="0"/>
                <w:szCs w:val="21"/>
              </w:rPr>
              <w:t>0.5730</w:t>
            </w:r>
          </w:p>
        </w:tc>
        <w:tc>
          <w:tcPr>
            <w:tcW w:w="1102" w:type="dxa"/>
            <w:tcBorders>
              <w:top w:val="nil"/>
              <w:left w:val="nil"/>
              <w:bottom w:val="single" w:color="auto" w:sz="4" w:space="0"/>
              <w:right w:val="single" w:color="auto" w:sz="4" w:space="0"/>
            </w:tcBorders>
            <w:vAlign w:val="center"/>
          </w:tcPr>
          <w:p>
            <w:pPr>
              <w:widowControl/>
              <w:spacing w:line="360" w:lineRule="exact"/>
              <w:jc w:val="center"/>
              <w:rPr>
                <w:rFonts w:ascii="Times New Roman" w:hAnsi="Times New Roman"/>
                <w:kern w:val="0"/>
                <w:szCs w:val="21"/>
              </w:rPr>
            </w:pPr>
            <w:r>
              <w:rPr>
                <w:rFonts w:ascii="Times New Roman" w:hAnsi="Times New Roman"/>
                <w:kern w:val="0"/>
                <w:szCs w:val="21"/>
              </w:rPr>
              <w:t>0.5630</w:t>
            </w:r>
          </w:p>
        </w:tc>
        <w:tc>
          <w:tcPr>
            <w:tcW w:w="945" w:type="dxa"/>
            <w:tcBorders>
              <w:top w:val="nil"/>
              <w:left w:val="nil"/>
              <w:bottom w:val="single" w:color="auto" w:sz="4" w:space="0"/>
              <w:right w:val="single" w:color="auto" w:sz="4" w:space="0"/>
            </w:tcBorders>
            <w:vAlign w:val="center"/>
          </w:tcPr>
          <w:p>
            <w:pPr>
              <w:widowControl/>
              <w:spacing w:line="360" w:lineRule="exact"/>
              <w:jc w:val="center"/>
              <w:rPr>
                <w:rFonts w:ascii="Times New Roman" w:hAnsi="Times New Roman"/>
                <w:kern w:val="0"/>
                <w:szCs w:val="21"/>
              </w:rPr>
            </w:pPr>
          </w:p>
        </w:tc>
        <w:tc>
          <w:tcPr>
            <w:tcW w:w="983" w:type="dxa"/>
            <w:tcBorders>
              <w:top w:val="nil"/>
              <w:left w:val="nil"/>
              <w:bottom w:val="single" w:color="auto" w:sz="4" w:space="0"/>
              <w:right w:val="single" w:color="auto" w:sz="4" w:space="0"/>
            </w:tcBorders>
            <w:vAlign w:val="center"/>
          </w:tcPr>
          <w:p>
            <w:pPr>
              <w:widowControl/>
              <w:spacing w:line="360" w:lineRule="exact"/>
              <w:jc w:val="center"/>
              <w:rPr>
                <w:rFonts w:ascii="Times New Roman" w:hAnsi="Times New Roman"/>
                <w:kern w:val="0"/>
                <w:szCs w:val="21"/>
              </w:rPr>
            </w:pPr>
          </w:p>
        </w:tc>
        <w:tc>
          <w:tcPr>
            <w:tcW w:w="1350" w:type="dxa"/>
            <w:tcBorders>
              <w:top w:val="nil"/>
              <w:left w:val="nil"/>
              <w:bottom w:val="single" w:color="auto" w:sz="4" w:space="0"/>
              <w:right w:val="single" w:color="auto" w:sz="4" w:space="0"/>
            </w:tcBorders>
            <w:vAlign w:val="center"/>
          </w:tcPr>
          <w:p>
            <w:pPr>
              <w:widowControl/>
              <w:spacing w:line="360" w:lineRule="exact"/>
              <w:jc w:val="center"/>
              <w:rPr>
                <w:rFonts w:ascii="Times New Roman" w:hAnsi="Times New Roman"/>
                <w:kern w:val="0"/>
                <w:szCs w:val="21"/>
              </w:rPr>
            </w:pPr>
          </w:p>
        </w:tc>
        <w:tc>
          <w:tcPr>
            <w:tcW w:w="1559" w:type="dxa"/>
            <w:tcBorders>
              <w:top w:val="nil"/>
              <w:left w:val="nil"/>
              <w:bottom w:val="single" w:color="auto" w:sz="4" w:space="0"/>
              <w:right w:val="single" w:color="auto" w:sz="8" w:space="0"/>
            </w:tcBorders>
            <w:vAlign w:val="center"/>
          </w:tcPr>
          <w:p>
            <w:pPr>
              <w:widowControl/>
              <w:spacing w:line="360" w:lineRule="exact"/>
              <w:jc w:val="center"/>
              <w:rPr>
                <w:rFonts w:ascii="Times New Roman" w:hAnsi="Times New Roman"/>
                <w:kern w:val="0"/>
                <w:szCs w:val="21"/>
              </w:rPr>
            </w:pPr>
          </w:p>
        </w:tc>
      </w:tr>
      <w:tr>
        <w:tblPrEx>
          <w:tblLayout w:type="fixed"/>
          <w:tblCellMar>
            <w:top w:w="0" w:type="dxa"/>
            <w:left w:w="108" w:type="dxa"/>
            <w:bottom w:w="0" w:type="dxa"/>
            <w:right w:w="108" w:type="dxa"/>
          </w:tblCellMar>
        </w:tblPrEx>
        <w:trPr>
          <w:trHeight w:val="624" w:hRule="atLeast"/>
          <w:jc w:val="center"/>
        </w:trPr>
        <w:tc>
          <w:tcPr>
            <w:tcW w:w="1870" w:type="dxa"/>
            <w:tcBorders>
              <w:top w:val="nil"/>
              <w:left w:val="single" w:color="auto" w:sz="8" w:space="0"/>
              <w:bottom w:val="single" w:color="auto" w:sz="4" w:space="0"/>
              <w:right w:val="single" w:color="auto" w:sz="4" w:space="0"/>
            </w:tcBorders>
            <w:vAlign w:val="center"/>
          </w:tcPr>
          <w:p>
            <w:pPr>
              <w:widowControl/>
              <w:spacing w:line="300" w:lineRule="exact"/>
              <w:jc w:val="left"/>
              <w:rPr>
                <w:rFonts w:ascii="Times New Roman" w:hAnsi="Times New Roman"/>
                <w:kern w:val="0"/>
                <w:szCs w:val="21"/>
              </w:rPr>
            </w:pPr>
            <w:r>
              <w:rPr>
                <w:rFonts w:ascii="Times New Roman" w:hAnsi="Times New Roman"/>
                <w:kern w:val="0"/>
                <w:szCs w:val="21"/>
              </w:rPr>
              <w:t>二、一般工商业及其他用电</w:t>
            </w:r>
          </w:p>
        </w:tc>
        <w:tc>
          <w:tcPr>
            <w:tcW w:w="859" w:type="dxa"/>
            <w:tcBorders>
              <w:top w:val="nil"/>
              <w:left w:val="nil"/>
              <w:bottom w:val="single" w:color="auto" w:sz="4" w:space="0"/>
              <w:right w:val="single" w:color="auto" w:sz="4" w:space="0"/>
            </w:tcBorders>
            <w:vAlign w:val="center"/>
          </w:tcPr>
          <w:p>
            <w:pPr>
              <w:widowControl/>
              <w:spacing w:line="360" w:lineRule="exact"/>
              <w:jc w:val="center"/>
              <w:rPr>
                <w:rFonts w:hint="default" w:ascii="Times New Roman" w:hAnsi="Times New Roman"/>
                <w:kern w:val="0"/>
                <w:szCs w:val="21"/>
              </w:rPr>
            </w:pPr>
            <w:r>
              <w:rPr>
                <w:rFonts w:hint="default" w:ascii="Times New Roman" w:hAnsi="Times New Roman"/>
                <w:kern w:val="0"/>
                <w:szCs w:val="21"/>
              </w:rPr>
              <w:t>0.769</w:t>
            </w:r>
          </w:p>
        </w:tc>
        <w:tc>
          <w:tcPr>
            <w:tcW w:w="877" w:type="dxa"/>
            <w:tcBorders>
              <w:top w:val="nil"/>
              <w:left w:val="nil"/>
              <w:bottom w:val="single" w:color="auto" w:sz="4" w:space="0"/>
              <w:right w:val="single" w:color="auto" w:sz="4" w:space="0"/>
            </w:tcBorders>
            <w:vAlign w:val="center"/>
          </w:tcPr>
          <w:p>
            <w:pPr>
              <w:widowControl/>
              <w:spacing w:line="360" w:lineRule="exact"/>
              <w:jc w:val="center"/>
              <w:rPr>
                <w:rFonts w:hint="default" w:ascii="Times New Roman" w:hAnsi="Times New Roman"/>
                <w:kern w:val="0"/>
                <w:szCs w:val="21"/>
              </w:rPr>
            </w:pPr>
            <w:r>
              <w:rPr>
                <w:rFonts w:hint="default" w:ascii="Times New Roman" w:hAnsi="Times New Roman"/>
                <w:kern w:val="0"/>
                <w:szCs w:val="21"/>
              </w:rPr>
              <w:t>0.749</w:t>
            </w:r>
          </w:p>
        </w:tc>
        <w:tc>
          <w:tcPr>
            <w:tcW w:w="1102" w:type="dxa"/>
            <w:tcBorders>
              <w:top w:val="nil"/>
              <w:left w:val="nil"/>
              <w:bottom w:val="single" w:color="auto" w:sz="4" w:space="0"/>
              <w:right w:val="single" w:color="auto" w:sz="4" w:space="0"/>
            </w:tcBorders>
            <w:vAlign w:val="center"/>
          </w:tcPr>
          <w:p>
            <w:pPr>
              <w:widowControl/>
              <w:spacing w:line="360" w:lineRule="exact"/>
              <w:jc w:val="center"/>
              <w:rPr>
                <w:rFonts w:hint="default" w:ascii="Times New Roman" w:hAnsi="Times New Roman"/>
                <w:kern w:val="0"/>
                <w:szCs w:val="21"/>
              </w:rPr>
            </w:pPr>
            <w:r>
              <w:rPr>
                <w:rFonts w:hint="default" w:ascii="Times New Roman" w:hAnsi="Times New Roman"/>
                <w:kern w:val="0"/>
                <w:szCs w:val="21"/>
              </w:rPr>
              <w:t>0.729</w:t>
            </w:r>
          </w:p>
        </w:tc>
        <w:tc>
          <w:tcPr>
            <w:tcW w:w="945" w:type="dxa"/>
            <w:tcBorders>
              <w:top w:val="nil"/>
              <w:left w:val="nil"/>
              <w:bottom w:val="single" w:color="auto" w:sz="4" w:space="0"/>
              <w:right w:val="single" w:color="auto" w:sz="4" w:space="0"/>
            </w:tcBorders>
            <w:vAlign w:val="center"/>
          </w:tcPr>
          <w:p>
            <w:pPr>
              <w:widowControl/>
              <w:spacing w:line="360" w:lineRule="exact"/>
              <w:jc w:val="center"/>
              <w:rPr>
                <w:rFonts w:hint="default" w:ascii="Times New Roman" w:hAnsi="Times New Roman"/>
                <w:kern w:val="0"/>
                <w:szCs w:val="21"/>
              </w:rPr>
            </w:pPr>
            <w:r>
              <w:rPr>
                <w:rFonts w:hint="default" w:ascii="Times New Roman" w:hAnsi="Times New Roman"/>
                <w:kern w:val="0"/>
                <w:szCs w:val="21"/>
              </w:rPr>
              <w:t>0.709</w:t>
            </w:r>
          </w:p>
        </w:tc>
        <w:tc>
          <w:tcPr>
            <w:tcW w:w="983" w:type="dxa"/>
            <w:tcBorders>
              <w:top w:val="nil"/>
              <w:left w:val="nil"/>
              <w:bottom w:val="single" w:color="auto" w:sz="4" w:space="0"/>
              <w:right w:val="single" w:color="auto" w:sz="4" w:space="0"/>
            </w:tcBorders>
            <w:vAlign w:val="center"/>
          </w:tcPr>
          <w:p>
            <w:pPr>
              <w:widowControl/>
              <w:spacing w:line="360" w:lineRule="exact"/>
              <w:jc w:val="center"/>
              <w:rPr>
                <w:rFonts w:ascii="Times New Roman" w:hAnsi="Times New Roman"/>
                <w:kern w:val="0"/>
                <w:szCs w:val="21"/>
              </w:rPr>
            </w:pPr>
          </w:p>
        </w:tc>
        <w:tc>
          <w:tcPr>
            <w:tcW w:w="1350" w:type="dxa"/>
            <w:tcBorders>
              <w:top w:val="nil"/>
              <w:left w:val="nil"/>
              <w:bottom w:val="single" w:color="auto" w:sz="4" w:space="0"/>
              <w:right w:val="single" w:color="auto" w:sz="4" w:space="0"/>
            </w:tcBorders>
            <w:vAlign w:val="center"/>
          </w:tcPr>
          <w:p>
            <w:pPr>
              <w:widowControl/>
              <w:spacing w:line="360" w:lineRule="exact"/>
              <w:jc w:val="center"/>
              <w:rPr>
                <w:rFonts w:ascii="Times New Roman" w:hAnsi="Times New Roman"/>
                <w:kern w:val="0"/>
                <w:szCs w:val="21"/>
              </w:rPr>
            </w:pPr>
          </w:p>
        </w:tc>
        <w:tc>
          <w:tcPr>
            <w:tcW w:w="1559" w:type="dxa"/>
            <w:tcBorders>
              <w:top w:val="nil"/>
              <w:left w:val="nil"/>
              <w:bottom w:val="single" w:color="auto" w:sz="4" w:space="0"/>
              <w:right w:val="single" w:color="auto" w:sz="8" w:space="0"/>
            </w:tcBorders>
            <w:vAlign w:val="center"/>
          </w:tcPr>
          <w:p>
            <w:pPr>
              <w:widowControl/>
              <w:spacing w:line="360" w:lineRule="exact"/>
              <w:jc w:val="center"/>
              <w:rPr>
                <w:rFonts w:ascii="Times New Roman" w:hAnsi="Times New Roman"/>
                <w:kern w:val="0"/>
                <w:szCs w:val="21"/>
              </w:rPr>
            </w:pPr>
          </w:p>
        </w:tc>
      </w:tr>
      <w:tr>
        <w:tblPrEx>
          <w:tblLayout w:type="fixed"/>
          <w:tblCellMar>
            <w:top w:w="0" w:type="dxa"/>
            <w:left w:w="108" w:type="dxa"/>
            <w:bottom w:w="0" w:type="dxa"/>
            <w:right w:w="108" w:type="dxa"/>
          </w:tblCellMar>
        </w:tblPrEx>
        <w:trPr>
          <w:trHeight w:val="624" w:hRule="atLeast"/>
          <w:jc w:val="center"/>
        </w:trPr>
        <w:tc>
          <w:tcPr>
            <w:tcW w:w="1870" w:type="dxa"/>
            <w:tcBorders>
              <w:top w:val="nil"/>
              <w:left w:val="single" w:color="auto" w:sz="8" w:space="0"/>
              <w:bottom w:val="single" w:color="auto" w:sz="4" w:space="0"/>
              <w:right w:val="single" w:color="auto" w:sz="4" w:space="0"/>
            </w:tcBorders>
            <w:vAlign w:val="center"/>
          </w:tcPr>
          <w:p>
            <w:pPr>
              <w:widowControl/>
              <w:spacing w:line="300" w:lineRule="exact"/>
              <w:jc w:val="left"/>
              <w:rPr>
                <w:rFonts w:ascii="Times New Roman" w:hAnsi="Times New Roman"/>
                <w:kern w:val="0"/>
                <w:szCs w:val="21"/>
              </w:rPr>
            </w:pPr>
            <w:r>
              <w:rPr>
                <w:rFonts w:ascii="Times New Roman" w:hAnsi="Times New Roman"/>
                <w:kern w:val="0"/>
                <w:szCs w:val="21"/>
              </w:rPr>
              <w:t>三、大工业用电</w:t>
            </w:r>
          </w:p>
        </w:tc>
        <w:tc>
          <w:tcPr>
            <w:tcW w:w="859" w:type="dxa"/>
            <w:tcBorders>
              <w:top w:val="nil"/>
              <w:left w:val="nil"/>
              <w:bottom w:val="single" w:color="auto" w:sz="4" w:space="0"/>
              <w:right w:val="single" w:color="auto" w:sz="4" w:space="0"/>
            </w:tcBorders>
            <w:vAlign w:val="center"/>
          </w:tcPr>
          <w:p>
            <w:pPr>
              <w:jc w:val="center"/>
              <w:rPr>
                <w:rFonts w:ascii="Times New Roman" w:hAnsi="Times New Roman"/>
                <w:kern w:val="0"/>
                <w:szCs w:val="21"/>
              </w:rPr>
            </w:pPr>
          </w:p>
        </w:tc>
        <w:tc>
          <w:tcPr>
            <w:tcW w:w="877" w:type="dxa"/>
            <w:tcBorders>
              <w:top w:val="nil"/>
              <w:left w:val="nil"/>
              <w:bottom w:val="single" w:color="auto" w:sz="4" w:space="0"/>
              <w:right w:val="single" w:color="auto" w:sz="4" w:space="0"/>
            </w:tcBorders>
            <w:vAlign w:val="center"/>
          </w:tcPr>
          <w:p>
            <w:pPr>
              <w:widowControl/>
              <w:jc w:val="center"/>
              <w:textAlignment w:val="center"/>
              <w:rPr>
                <w:rFonts w:ascii="Times New Roman" w:hAnsi="Times New Roman"/>
                <w:kern w:val="0"/>
                <w:szCs w:val="21"/>
              </w:rPr>
            </w:pPr>
            <w:r>
              <w:rPr>
                <w:rFonts w:hint="default" w:ascii="Times New Roman" w:hAnsi="Times New Roman"/>
                <w:kern w:val="0"/>
                <w:szCs w:val="21"/>
              </w:rPr>
              <w:t>0.6437</w:t>
            </w:r>
          </w:p>
        </w:tc>
        <w:tc>
          <w:tcPr>
            <w:tcW w:w="1102" w:type="dxa"/>
            <w:tcBorders>
              <w:top w:val="nil"/>
              <w:left w:val="nil"/>
              <w:bottom w:val="single" w:color="auto" w:sz="4" w:space="0"/>
              <w:right w:val="single" w:color="auto" w:sz="4" w:space="0"/>
            </w:tcBorders>
            <w:vAlign w:val="center"/>
          </w:tcPr>
          <w:p>
            <w:pPr>
              <w:widowControl/>
              <w:jc w:val="center"/>
              <w:textAlignment w:val="center"/>
              <w:rPr>
                <w:rFonts w:ascii="Times New Roman" w:hAnsi="Times New Roman"/>
                <w:kern w:val="0"/>
                <w:szCs w:val="21"/>
              </w:rPr>
            </w:pPr>
            <w:r>
              <w:rPr>
                <w:rFonts w:hint="default" w:ascii="Times New Roman" w:hAnsi="Times New Roman"/>
                <w:kern w:val="0"/>
                <w:szCs w:val="21"/>
              </w:rPr>
              <w:t>0.6147</w:t>
            </w:r>
          </w:p>
        </w:tc>
        <w:tc>
          <w:tcPr>
            <w:tcW w:w="945" w:type="dxa"/>
            <w:tcBorders>
              <w:top w:val="nil"/>
              <w:left w:val="nil"/>
              <w:bottom w:val="single" w:color="auto" w:sz="4" w:space="0"/>
              <w:right w:val="single" w:color="auto" w:sz="4" w:space="0"/>
            </w:tcBorders>
            <w:vAlign w:val="center"/>
          </w:tcPr>
          <w:p>
            <w:pPr>
              <w:widowControl/>
              <w:jc w:val="center"/>
              <w:textAlignment w:val="center"/>
              <w:rPr>
                <w:rFonts w:ascii="Times New Roman" w:hAnsi="Times New Roman"/>
                <w:kern w:val="0"/>
                <w:szCs w:val="21"/>
              </w:rPr>
            </w:pPr>
            <w:r>
              <w:rPr>
                <w:rFonts w:hint="default" w:ascii="Times New Roman" w:hAnsi="Times New Roman"/>
                <w:kern w:val="0"/>
                <w:szCs w:val="21"/>
              </w:rPr>
              <w:t>0.5867</w:t>
            </w:r>
          </w:p>
        </w:tc>
        <w:tc>
          <w:tcPr>
            <w:tcW w:w="983" w:type="dxa"/>
            <w:tcBorders>
              <w:top w:val="nil"/>
              <w:left w:val="nil"/>
              <w:bottom w:val="single" w:color="auto" w:sz="4" w:space="0"/>
              <w:right w:val="single" w:color="auto" w:sz="4" w:space="0"/>
            </w:tcBorders>
            <w:vAlign w:val="center"/>
          </w:tcPr>
          <w:p>
            <w:pPr>
              <w:widowControl/>
              <w:jc w:val="center"/>
              <w:textAlignment w:val="center"/>
              <w:rPr>
                <w:rFonts w:ascii="Times New Roman" w:hAnsi="Times New Roman"/>
                <w:kern w:val="0"/>
                <w:szCs w:val="21"/>
              </w:rPr>
            </w:pPr>
            <w:r>
              <w:rPr>
                <w:rFonts w:hint="default" w:ascii="Times New Roman" w:hAnsi="Times New Roman"/>
                <w:kern w:val="0"/>
                <w:szCs w:val="21"/>
              </w:rPr>
              <w:t>0.5627</w:t>
            </w:r>
          </w:p>
        </w:tc>
        <w:tc>
          <w:tcPr>
            <w:tcW w:w="1350" w:type="dxa"/>
            <w:tcBorders>
              <w:top w:val="nil"/>
              <w:left w:val="nil"/>
              <w:bottom w:val="single" w:color="auto" w:sz="4" w:space="0"/>
              <w:right w:val="single" w:color="auto" w:sz="4" w:space="0"/>
            </w:tcBorders>
            <w:vAlign w:val="center"/>
          </w:tcPr>
          <w:p>
            <w:pPr>
              <w:widowControl/>
              <w:jc w:val="center"/>
              <w:textAlignment w:val="center"/>
              <w:rPr>
                <w:rFonts w:ascii="Times New Roman" w:hAnsi="Times New Roman"/>
                <w:kern w:val="0"/>
                <w:szCs w:val="21"/>
              </w:rPr>
            </w:pPr>
            <w:r>
              <w:rPr>
                <w:rFonts w:ascii="Times New Roman" w:hAnsi="Times New Roman"/>
                <w:kern w:val="0"/>
                <w:szCs w:val="21"/>
              </w:rPr>
              <w:t>30</w:t>
            </w:r>
          </w:p>
        </w:tc>
        <w:tc>
          <w:tcPr>
            <w:tcW w:w="1559" w:type="dxa"/>
            <w:tcBorders>
              <w:top w:val="nil"/>
              <w:left w:val="nil"/>
              <w:bottom w:val="single" w:color="auto" w:sz="4" w:space="0"/>
              <w:right w:val="single" w:color="auto" w:sz="8" w:space="0"/>
            </w:tcBorders>
            <w:vAlign w:val="center"/>
          </w:tcPr>
          <w:p>
            <w:pPr>
              <w:widowControl/>
              <w:jc w:val="center"/>
              <w:textAlignment w:val="center"/>
              <w:rPr>
                <w:rFonts w:ascii="Times New Roman" w:hAnsi="Times New Roman"/>
                <w:kern w:val="0"/>
                <w:szCs w:val="21"/>
              </w:rPr>
            </w:pPr>
            <w:r>
              <w:rPr>
                <w:rFonts w:ascii="Times New Roman" w:hAnsi="Times New Roman"/>
                <w:kern w:val="0"/>
                <w:szCs w:val="21"/>
              </w:rPr>
              <w:t>20</w:t>
            </w:r>
          </w:p>
        </w:tc>
      </w:tr>
      <w:tr>
        <w:tblPrEx>
          <w:tblLayout w:type="fixed"/>
          <w:tblCellMar>
            <w:top w:w="0" w:type="dxa"/>
            <w:left w:w="108" w:type="dxa"/>
            <w:bottom w:w="0" w:type="dxa"/>
            <w:right w:w="108" w:type="dxa"/>
          </w:tblCellMar>
        </w:tblPrEx>
        <w:trPr>
          <w:trHeight w:val="624" w:hRule="atLeast"/>
          <w:jc w:val="center"/>
        </w:trPr>
        <w:tc>
          <w:tcPr>
            <w:tcW w:w="1870" w:type="dxa"/>
            <w:tcBorders>
              <w:top w:val="nil"/>
              <w:left w:val="single" w:color="auto" w:sz="8" w:space="0"/>
              <w:bottom w:val="single" w:color="auto" w:sz="4" w:space="0"/>
              <w:right w:val="single" w:color="auto" w:sz="4" w:space="0"/>
            </w:tcBorders>
            <w:vAlign w:val="center"/>
          </w:tcPr>
          <w:p>
            <w:pPr>
              <w:widowControl/>
              <w:spacing w:line="300" w:lineRule="exact"/>
              <w:jc w:val="left"/>
              <w:rPr>
                <w:rFonts w:ascii="Times New Roman" w:hAnsi="Times New Roman"/>
                <w:kern w:val="0"/>
                <w:szCs w:val="21"/>
              </w:rPr>
            </w:pPr>
            <w:r>
              <w:rPr>
                <w:rFonts w:ascii="Times New Roman" w:hAnsi="Times New Roman"/>
                <w:kern w:val="0"/>
                <w:szCs w:val="21"/>
              </w:rPr>
              <w:t>四、农业生产用电</w:t>
            </w:r>
          </w:p>
        </w:tc>
        <w:tc>
          <w:tcPr>
            <w:tcW w:w="859" w:type="dxa"/>
            <w:tcBorders>
              <w:top w:val="nil"/>
              <w:left w:val="nil"/>
              <w:bottom w:val="single" w:color="auto" w:sz="4" w:space="0"/>
              <w:right w:val="single" w:color="auto" w:sz="4" w:space="0"/>
            </w:tcBorders>
            <w:vAlign w:val="center"/>
          </w:tcPr>
          <w:p>
            <w:pPr>
              <w:widowControl/>
              <w:spacing w:line="360" w:lineRule="exact"/>
              <w:jc w:val="center"/>
              <w:rPr>
                <w:rFonts w:ascii="Times New Roman" w:hAnsi="Times New Roman"/>
                <w:kern w:val="0"/>
                <w:szCs w:val="21"/>
              </w:rPr>
            </w:pPr>
            <w:r>
              <w:rPr>
                <w:rFonts w:ascii="Times New Roman" w:hAnsi="Times New Roman"/>
                <w:kern w:val="0"/>
                <w:szCs w:val="21"/>
              </w:rPr>
              <w:t>0.5487</w:t>
            </w:r>
          </w:p>
        </w:tc>
        <w:tc>
          <w:tcPr>
            <w:tcW w:w="877" w:type="dxa"/>
            <w:tcBorders>
              <w:top w:val="nil"/>
              <w:left w:val="nil"/>
              <w:bottom w:val="single" w:color="auto" w:sz="4" w:space="0"/>
              <w:right w:val="single" w:color="auto" w:sz="4" w:space="0"/>
            </w:tcBorders>
            <w:vAlign w:val="center"/>
          </w:tcPr>
          <w:p>
            <w:pPr>
              <w:widowControl/>
              <w:spacing w:line="360" w:lineRule="exact"/>
              <w:jc w:val="center"/>
              <w:rPr>
                <w:rFonts w:ascii="Times New Roman" w:hAnsi="Times New Roman"/>
                <w:kern w:val="0"/>
                <w:szCs w:val="21"/>
              </w:rPr>
            </w:pPr>
            <w:r>
              <w:rPr>
                <w:rFonts w:ascii="Times New Roman" w:hAnsi="Times New Roman"/>
                <w:kern w:val="0"/>
                <w:szCs w:val="21"/>
              </w:rPr>
              <w:t>0.5287</w:t>
            </w:r>
          </w:p>
        </w:tc>
        <w:tc>
          <w:tcPr>
            <w:tcW w:w="1102" w:type="dxa"/>
            <w:tcBorders>
              <w:top w:val="nil"/>
              <w:left w:val="nil"/>
              <w:bottom w:val="single" w:color="auto" w:sz="4" w:space="0"/>
              <w:right w:val="single" w:color="auto" w:sz="4" w:space="0"/>
            </w:tcBorders>
            <w:vAlign w:val="center"/>
          </w:tcPr>
          <w:p>
            <w:pPr>
              <w:widowControl/>
              <w:spacing w:line="360" w:lineRule="exact"/>
              <w:jc w:val="center"/>
              <w:rPr>
                <w:rFonts w:ascii="Times New Roman" w:hAnsi="Times New Roman"/>
                <w:kern w:val="0"/>
                <w:szCs w:val="21"/>
              </w:rPr>
            </w:pPr>
            <w:r>
              <w:rPr>
                <w:rFonts w:ascii="Times New Roman" w:hAnsi="Times New Roman"/>
                <w:kern w:val="0"/>
                <w:szCs w:val="21"/>
              </w:rPr>
              <w:t>0.5087</w:t>
            </w:r>
          </w:p>
        </w:tc>
        <w:tc>
          <w:tcPr>
            <w:tcW w:w="945" w:type="dxa"/>
            <w:tcBorders>
              <w:top w:val="nil"/>
              <w:left w:val="nil"/>
              <w:bottom w:val="single" w:color="auto" w:sz="4" w:space="0"/>
              <w:right w:val="single" w:color="auto" w:sz="4" w:space="0"/>
            </w:tcBorders>
            <w:vAlign w:val="center"/>
          </w:tcPr>
          <w:p>
            <w:pPr>
              <w:widowControl/>
              <w:spacing w:line="360" w:lineRule="exact"/>
              <w:jc w:val="center"/>
              <w:rPr>
                <w:rFonts w:ascii="Times New Roman" w:hAnsi="Times New Roman"/>
                <w:kern w:val="0"/>
                <w:szCs w:val="21"/>
              </w:rPr>
            </w:pPr>
            <w:r>
              <w:rPr>
                <w:rFonts w:ascii="Times New Roman" w:hAnsi="Times New Roman"/>
                <w:kern w:val="0"/>
                <w:szCs w:val="21"/>
              </w:rPr>
              <w:t>0.4887</w:t>
            </w:r>
          </w:p>
        </w:tc>
        <w:tc>
          <w:tcPr>
            <w:tcW w:w="983" w:type="dxa"/>
            <w:tcBorders>
              <w:top w:val="nil"/>
              <w:left w:val="nil"/>
              <w:bottom w:val="single" w:color="auto" w:sz="4" w:space="0"/>
              <w:right w:val="single" w:color="auto" w:sz="4" w:space="0"/>
            </w:tcBorders>
            <w:vAlign w:val="center"/>
          </w:tcPr>
          <w:p>
            <w:pPr>
              <w:widowControl/>
              <w:spacing w:line="360" w:lineRule="exact"/>
              <w:jc w:val="center"/>
              <w:rPr>
                <w:rFonts w:ascii="Times New Roman" w:hAnsi="Times New Roman"/>
                <w:kern w:val="0"/>
                <w:szCs w:val="21"/>
              </w:rPr>
            </w:pPr>
          </w:p>
        </w:tc>
        <w:tc>
          <w:tcPr>
            <w:tcW w:w="1350" w:type="dxa"/>
            <w:tcBorders>
              <w:top w:val="nil"/>
              <w:left w:val="nil"/>
              <w:bottom w:val="single" w:color="auto" w:sz="4" w:space="0"/>
              <w:right w:val="single" w:color="auto" w:sz="4" w:space="0"/>
            </w:tcBorders>
            <w:vAlign w:val="center"/>
          </w:tcPr>
          <w:p>
            <w:pPr>
              <w:widowControl/>
              <w:spacing w:line="360" w:lineRule="exact"/>
              <w:jc w:val="center"/>
              <w:rPr>
                <w:rFonts w:ascii="Times New Roman" w:hAnsi="Times New Roman"/>
                <w:kern w:val="0"/>
                <w:szCs w:val="21"/>
              </w:rPr>
            </w:pPr>
          </w:p>
        </w:tc>
        <w:tc>
          <w:tcPr>
            <w:tcW w:w="1559" w:type="dxa"/>
            <w:tcBorders>
              <w:top w:val="nil"/>
              <w:left w:val="nil"/>
              <w:bottom w:val="single" w:color="auto" w:sz="4" w:space="0"/>
              <w:right w:val="single" w:color="auto" w:sz="8" w:space="0"/>
            </w:tcBorders>
            <w:vAlign w:val="center"/>
          </w:tcPr>
          <w:p>
            <w:pPr>
              <w:widowControl/>
              <w:spacing w:line="360" w:lineRule="exact"/>
              <w:jc w:val="center"/>
              <w:rPr>
                <w:rFonts w:ascii="Times New Roman" w:hAnsi="Times New Roman"/>
                <w:kern w:val="0"/>
                <w:szCs w:val="21"/>
              </w:rPr>
            </w:pPr>
          </w:p>
        </w:tc>
      </w:tr>
      <w:tr>
        <w:tblPrEx>
          <w:tblLayout w:type="fixed"/>
          <w:tblCellMar>
            <w:top w:w="0" w:type="dxa"/>
            <w:left w:w="108" w:type="dxa"/>
            <w:bottom w:w="0" w:type="dxa"/>
            <w:right w:w="108" w:type="dxa"/>
          </w:tblCellMar>
        </w:tblPrEx>
        <w:trPr>
          <w:trHeight w:val="624" w:hRule="atLeast"/>
          <w:jc w:val="center"/>
        </w:trPr>
        <w:tc>
          <w:tcPr>
            <w:tcW w:w="1870" w:type="dxa"/>
            <w:tcBorders>
              <w:top w:val="nil"/>
              <w:left w:val="single" w:color="auto" w:sz="8" w:space="0"/>
              <w:bottom w:val="single" w:color="auto" w:sz="8" w:space="0"/>
              <w:right w:val="single" w:color="auto" w:sz="4" w:space="0"/>
            </w:tcBorders>
            <w:vAlign w:val="center"/>
          </w:tcPr>
          <w:p>
            <w:pPr>
              <w:widowControl/>
              <w:spacing w:line="300" w:lineRule="exact"/>
              <w:jc w:val="left"/>
              <w:rPr>
                <w:rFonts w:ascii="Times New Roman" w:hAnsi="Times New Roman"/>
                <w:kern w:val="0"/>
                <w:szCs w:val="21"/>
              </w:rPr>
            </w:pPr>
            <w:r>
              <w:rPr>
                <w:rFonts w:ascii="Times New Roman" w:hAnsi="Times New Roman"/>
                <w:kern w:val="0"/>
                <w:szCs w:val="21"/>
              </w:rPr>
              <w:t xml:space="preserve">    其中：贫困县农业排灌用电</w:t>
            </w:r>
          </w:p>
        </w:tc>
        <w:tc>
          <w:tcPr>
            <w:tcW w:w="859" w:type="dxa"/>
            <w:tcBorders>
              <w:top w:val="nil"/>
              <w:left w:val="nil"/>
              <w:bottom w:val="single" w:color="auto" w:sz="8" w:space="0"/>
              <w:right w:val="single" w:color="auto" w:sz="4" w:space="0"/>
            </w:tcBorders>
            <w:vAlign w:val="center"/>
          </w:tcPr>
          <w:p>
            <w:pPr>
              <w:widowControl/>
              <w:spacing w:line="360" w:lineRule="exact"/>
              <w:jc w:val="center"/>
              <w:rPr>
                <w:rFonts w:ascii="Times New Roman" w:hAnsi="Times New Roman"/>
                <w:kern w:val="0"/>
                <w:szCs w:val="21"/>
              </w:rPr>
            </w:pPr>
            <w:r>
              <w:rPr>
                <w:rFonts w:ascii="Times New Roman" w:hAnsi="Times New Roman"/>
                <w:kern w:val="0"/>
                <w:szCs w:val="21"/>
              </w:rPr>
              <w:t>0.4117</w:t>
            </w:r>
          </w:p>
        </w:tc>
        <w:tc>
          <w:tcPr>
            <w:tcW w:w="877" w:type="dxa"/>
            <w:tcBorders>
              <w:top w:val="nil"/>
              <w:left w:val="nil"/>
              <w:bottom w:val="single" w:color="auto" w:sz="8" w:space="0"/>
              <w:right w:val="single" w:color="auto" w:sz="4" w:space="0"/>
            </w:tcBorders>
            <w:vAlign w:val="center"/>
          </w:tcPr>
          <w:p>
            <w:pPr>
              <w:widowControl/>
              <w:spacing w:line="360" w:lineRule="exact"/>
              <w:jc w:val="center"/>
              <w:rPr>
                <w:rFonts w:ascii="Times New Roman" w:hAnsi="Times New Roman"/>
                <w:kern w:val="0"/>
                <w:szCs w:val="21"/>
              </w:rPr>
            </w:pPr>
            <w:r>
              <w:rPr>
                <w:rFonts w:ascii="Times New Roman" w:hAnsi="Times New Roman"/>
                <w:kern w:val="0"/>
                <w:szCs w:val="21"/>
              </w:rPr>
              <w:t>0.4017</w:t>
            </w:r>
          </w:p>
        </w:tc>
        <w:tc>
          <w:tcPr>
            <w:tcW w:w="1102" w:type="dxa"/>
            <w:tcBorders>
              <w:top w:val="nil"/>
              <w:left w:val="nil"/>
              <w:bottom w:val="single" w:color="auto" w:sz="8" w:space="0"/>
              <w:right w:val="single" w:color="auto" w:sz="4" w:space="0"/>
            </w:tcBorders>
            <w:vAlign w:val="center"/>
          </w:tcPr>
          <w:p>
            <w:pPr>
              <w:widowControl/>
              <w:spacing w:line="360" w:lineRule="exact"/>
              <w:jc w:val="center"/>
              <w:rPr>
                <w:rFonts w:ascii="Times New Roman" w:hAnsi="Times New Roman"/>
                <w:kern w:val="0"/>
                <w:szCs w:val="21"/>
              </w:rPr>
            </w:pPr>
            <w:r>
              <w:rPr>
                <w:rFonts w:ascii="Times New Roman" w:hAnsi="Times New Roman"/>
                <w:kern w:val="0"/>
                <w:szCs w:val="21"/>
              </w:rPr>
              <w:t>0.3917</w:t>
            </w:r>
          </w:p>
        </w:tc>
        <w:tc>
          <w:tcPr>
            <w:tcW w:w="945" w:type="dxa"/>
            <w:tcBorders>
              <w:top w:val="nil"/>
              <w:left w:val="nil"/>
              <w:bottom w:val="single" w:color="auto" w:sz="8" w:space="0"/>
              <w:right w:val="single" w:color="auto" w:sz="4" w:space="0"/>
            </w:tcBorders>
            <w:vAlign w:val="center"/>
          </w:tcPr>
          <w:p>
            <w:pPr>
              <w:widowControl/>
              <w:spacing w:line="360" w:lineRule="exact"/>
              <w:jc w:val="center"/>
              <w:rPr>
                <w:rFonts w:ascii="Times New Roman" w:hAnsi="Times New Roman"/>
                <w:kern w:val="0"/>
                <w:szCs w:val="21"/>
              </w:rPr>
            </w:pPr>
          </w:p>
        </w:tc>
        <w:tc>
          <w:tcPr>
            <w:tcW w:w="983" w:type="dxa"/>
            <w:tcBorders>
              <w:top w:val="nil"/>
              <w:left w:val="nil"/>
              <w:bottom w:val="single" w:color="auto" w:sz="8" w:space="0"/>
              <w:right w:val="single" w:color="auto" w:sz="4" w:space="0"/>
            </w:tcBorders>
            <w:vAlign w:val="center"/>
          </w:tcPr>
          <w:p>
            <w:pPr>
              <w:widowControl/>
              <w:spacing w:line="360" w:lineRule="exact"/>
              <w:jc w:val="center"/>
              <w:rPr>
                <w:rFonts w:ascii="Times New Roman" w:hAnsi="Times New Roman"/>
                <w:kern w:val="0"/>
                <w:szCs w:val="21"/>
              </w:rPr>
            </w:pPr>
          </w:p>
        </w:tc>
        <w:tc>
          <w:tcPr>
            <w:tcW w:w="1350" w:type="dxa"/>
            <w:tcBorders>
              <w:top w:val="nil"/>
              <w:left w:val="nil"/>
              <w:bottom w:val="single" w:color="auto" w:sz="8" w:space="0"/>
              <w:right w:val="single" w:color="auto" w:sz="4" w:space="0"/>
            </w:tcBorders>
            <w:vAlign w:val="center"/>
          </w:tcPr>
          <w:p>
            <w:pPr>
              <w:widowControl/>
              <w:spacing w:line="360" w:lineRule="exact"/>
              <w:jc w:val="center"/>
              <w:rPr>
                <w:rFonts w:ascii="Times New Roman" w:hAnsi="Times New Roman"/>
                <w:kern w:val="0"/>
                <w:szCs w:val="21"/>
              </w:rPr>
            </w:pPr>
          </w:p>
        </w:tc>
        <w:tc>
          <w:tcPr>
            <w:tcW w:w="1559" w:type="dxa"/>
            <w:tcBorders>
              <w:top w:val="nil"/>
              <w:left w:val="nil"/>
              <w:bottom w:val="single" w:color="auto" w:sz="8" w:space="0"/>
              <w:right w:val="single" w:color="auto" w:sz="8" w:space="0"/>
            </w:tcBorders>
            <w:vAlign w:val="center"/>
          </w:tcPr>
          <w:p>
            <w:pPr>
              <w:widowControl/>
              <w:spacing w:line="360" w:lineRule="exact"/>
              <w:jc w:val="center"/>
              <w:rPr>
                <w:rFonts w:ascii="Times New Roman" w:hAnsi="Times New Roman"/>
                <w:kern w:val="0"/>
                <w:szCs w:val="21"/>
              </w:rPr>
            </w:pPr>
          </w:p>
        </w:tc>
      </w:tr>
    </w:tbl>
    <w:p>
      <w:pPr>
        <w:widowControl/>
        <w:spacing w:line="460" w:lineRule="exact"/>
        <w:ind w:firstLine="420" w:firstLineChars="200"/>
        <w:jc w:val="left"/>
        <w:rPr>
          <w:rFonts w:hint="default" w:ascii="Times New Roman" w:hAnsi="Times New Roman"/>
          <w:kern w:val="0"/>
          <w:szCs w:val="21"/>
        </w:rPr>
      </w:pPr>
      <w:r>
        <w:rPr>
          <w:rFonts w:hint="default" w:ascii="Times New Roman" w:hAnsi="Times New Roman"/>
          <w:kern w:val="0"/>
          <w:szCs w:val="21"/>
        </w:rPr>
        <w:t xml:space="preserve">注:  </w:t>
      </w:r>
    </w:p>
    <w:p>
      <w:pPr>
        <w:widowControl/>
        <w:spacing w:line="460" w:lineRule="exact"/>
        <w:ind w:firstLine="420" w:firstLineChars="200"/>
        <w:jc w:val="both"/>
        <w:rPr>
          <w:rFonts w:ascii="Times New Roman" w:hAnsi="Times New Roman"/>
          <w:kern w:val="0"/>
          <w:szCs w:val="21"/>
        </w:rPr>
      </w:pPr>
      <w:r>
        <w:rPr>
          <w:rFonts w:hint="default" w:ascii="Times New Roman" w:hAnsi="Times New Roman"/>
          <w:kern w:val="0"/>
          <w:szCs w:val="21"/>
        </w:rPr>
        <w:t>1、上表所列价格，除贫困县农业排灌用电外，均含国家重大水利工程建设基金0.21分钱、农网改造还贷资金2分钱。</w:t>
      </w:r>
    </w:p>
    <w:p>
      <w:pPr>
        <w:widowControl/>
        <w:spacing w:line="460" w:lineRule="exact"/>
        <w:ind w:firstLine="420" w:firstLineChars="200"/>
        <w:jc w:val="both"/>
        <w:rPr>
          <w:rFonts w:hint="default" w:ascii="Times New Roman" w:hAnsi="Times New Roman"/>
          <w:kern w:val="0"/>
          <w:szCs w:val="21"/>
        </w:rPr>
      </w:pPr>
      <w:r>
        <w:rPr>
          <w:rFonts w:hint="default" w:ascii="Times New Roman" w:hAnsi="Times New Roman"/>
          <w:kern w:val="0"/>
          <w:szCs w:val="21"/>
        </w:rPr>
        <w:t>2、上表所列价格，除农业生产用电外，均含可再生能源电价附加,其中：居民生活用电0.1分钱，其他用电1.9分钱。</w:t>
      </w:r>
    </w:p>
    <w:p>
      <w:pPr>
        <w:widowControl/>
        <w:spacing w:line="460" w:lineRule="exact"/>
        <w:ind w:firstLine="420" w:firstLineChars="200"/>
        <w:jc w:val="both"/>
        <w:rPr>
          <w:rFonts w:hint="default" w:ascii="Times New Roman" w:hAnsi="Times New Roman"/>
          <w:kern w:val="0"/>
          <w:szCs w:val="21"/>
        </w:rPr>
      </w:pPr>
      <w:r>
        <w:rPr>
          <w:rFonts w:hint="default" w:ascii="Times New Roman" w:hAnsi="Times New Roman"/>
          <w:kern w:val="0"/>
          <w:szCs w:val="21"/>
        </w:rPr>
        <w:t>3、上表所列价格，除农业生产用电外，均含大中型水库移民后期扶持资金0.62分钱和地方水库移民后期扶持资金0.05分钱。</w:t>
      </w:r>
    </w:p>
    <w:p>
      <w:pPr>
        <w:adjustRightInd w:val="0"/>
        <w:snapToGrid w:val="0"/>
        <w:spacing w:after="312" w:afterLines="100" w:line="520" w:lineRule="exact"/>
        <w:jc w:val="both"/>
        <w:rPr>
          <w:rFonts w:hint="default" w:ascii="Times New Roman" w:hAnsi="Times New Roman" w:eastAsia="仿宋_GB2312"/>
          <w:sz w:val="32"/>
          <w:szCs w:val="32"/>
        </w:rPr>
      </w:pPr>
      <w:r>
        <w:rPr>
          <w:rFonts w:ascii="Times New Roman" w:hAnsi="Times New Roman"/>
          <w:kern w:val="0"/>
          <w:sz w:val="22"/>
        </w:rPr>
        <w:br w:type="page"/>
      </w:r>
      <w:r>
        <w:rPr>
          <w:rFonts w:hint="default" w:ascii="Times New Roman" w:hAnsi="Times New Roman" w:eastAsia="仿宋_GB2312"/>
          <w:sz w:val="32"/>
          <w:szCs w:val="32"/>
        </w:rPr>
        <w:t>附件3：</w:t>
      </w:r>
    </w:p>
    <w:p>
      <w:pPr>
        <w:autoSpaceDE w:val="0"/>
        <w:autoSpaceDN w:val="0"/>
        <w:adjustRightInd w:val="0"/>
        <w:snapToGrid w:val="0"/>
        <w:spacing w:line="520" w:lineRule="exact"/>
        <w:ind w:right="40"/>
        <w:jc w:val="center"/>
        <w:rPr>
          <w:rFonts w:hint="default" w:ascii="Times New Roman" w:hAnsi="Times New Roman" w:eastAsia="方正小标宋_GBK"/>
          <w:sz w:val="40"/>
          <w:szCs w:val="40"/>
        </w:rPr>
      </w:pPr>
      <w:r>
        <w:rPr>
          <w:rFonts w:hint="default" w:ascii="Times New Roman" w:hAnsi="Times New Roman" w:eastAsia="方正小标宋_GBK"/>
          <w:sz w:val="40"/>
          <w:szCs w:val="40"/>
        </w:rPr>
        <w:t>湖南省电网趸售电价表</w:t>
      </w:r>
    </w:p>
    <w:p>
      <w:pPr>
        <w:spacing w:line="560" w:lineRule="exact"/>
        <w:jc w:val="center"/>
        <w:rPr>
          <w:rFonts w:hint="default" w:ascii="Times New Roman" w:hAnsi="Times New Roman" w:eastAsia="楷体_GB2312"/>
          <w:sz w:val="28"/>
          <w:szCs w:val="28"/>
        </w:rPr>
      </w:pPr>
    </w:p>
    <w:tbl>
      <w:tblPr>
        <w:tblStyle w:val="4"/>
        <w:tblW w:w="9003" w:type="dxa"/>
        <w:jc w:val="center"/>
        <w:tblInd w:w="0" w:type="dxa"/>
        <w:tblLayout w:type="fixed"/>
        <w:tblCellMar>
          <w:top w:w="0" w:type="dxa"/>
          <w:left w:w="108" w:type="dxa"/>
          <w:bottom w:w="0" w:type="dxa"/>
          <w:right w:w="108" w:type="dxa"/>
        </w:tblCellMar>
      </w:tblPr>
      <w:tblGrid>
        <w:gridCol w:w="2722"/>
        <w:gridCol w:w="1898"/>
        <w:gridCol w:w="2352"/>
        <w:gridCol w:w="2031"/>
      </w:tblGrid>
      <w:tr>
        <w:tblPrEx>
          <w:tblLayout w:type="fixed"/>
          <w:tblCellMar>
            <w:top w:w="0" w:type="dxa"/>
            <w:left w:w="108" w:type="dxa"/>
            <w:bottom w:w="0" w:type="dxa"/>
            <w:right w:w="108" w:type="dxa"/>
          </w:tblCellMar>
        </w:tblPrEx>
        <w:trPr>
          <w:trHeight w:val="567" w:hRule="atLeast"/>
          <w:jc w:val="center"/>
        </w:trPr>
        <w:tc>
          <w:tcPr>
            <w:tcW w:w="2722" w:type="dxa"/>
            <w:vMerge w:val="restart"/>
            <w:tcBorders>
              <w:top w:val="single" w:color="auto" w:sz="8" w:space="0"/>
              <w:left w:val="single" w:color="auto" w:sz="8" w:space="0"/>
              <w:bottom w:val="single" w:color="auto" w:sz="4" w:space="0"/>
              <w:right w:val="single" w:color="auto" w:sz="4" w:space="0"/>
            </w:tcBorders>
            <w:vAlign w:val="center"/>
          </w:tcPr>
          <w:p>
            <w:pPr>
              <w:widowControl/>
              <w:jc w:val="center"/>
              <w:rPr>
                <w:rFonts w:ascii="Times New Roman" w:hAnsi="Times New Roman" w:eastAsia="黑体"/>
                <w:kern w:val="0"/>
                <w:szCs w:val="21"/>
              </w:rPr>
            </w:pPr>
            <w:r>
              <w:rPr>
                <w:rFonts w:ascii="Times New Roman" w:hAnsi="Times New Roman" w:eastAsia="黑体"/>
                <w:kern w:val="0"/>
                <w:szCs w:val="21"/>
              </w:rPr>
              <w:t>　用电分类　</w:t>
            </w:r>
          </w:p>
        </w:tc>
        <w:tc>
          <w:tcPr>
            <w:tcW w:w="6281" w:type="dxa"/>
            <w:gridSpan w:val="3"/>
            <w:tcBorders>
              <w:top w:val="single" w:color="auto" w:sz="8" w:space="0"/>
              <w:left w:val="nil"/>
              <w:bottom w:val="single" w:color="auto" w:sz="4" w:space="0"/>
              <w:right w:val="single" w:color="000000" w:sz="8" w:space="0"/>
            </w:tcBorders>
            <w:vAlign w:val="center"/>
          </w:tcPr>
          <w:p>
            <w:pPr>
              <w:widowControl/>
              <w:jc w:val="center"/>
              <w:rPr>
                <w:rFonts w:ascii="Times New Roman" w:hAnsi="Times New Roman" w:eastAsia="黑体"/>
                <w:kern w:val="0"/>
                <w:szCs w:val="21"/>
              </w:rPr>
            </w:pPr>
            <w:r>
              <w:rPr>
                <w:rFonts w:ascii="Times New Roman" w:hAnsi="Times New Roman" w:eastAsia="黑体"/>
                <w:kern w:val="0"/>
                <w:szCs w:val="21"/>
              </w:rPr>
              <w:t>电压等级</w:t>
            </w:r>
            <w:r>
              <w:rPr>
                <w:rFonts w:hint="default" w:ascii="Times New Roman" w:hAnsi="Times New Roman" w:eastAsia="黑体"/>
                <w:kern w:val="0"/>
                <w:szCs w:val="21"/>
              </w:rPr>
              <w:t>（</w:t>
            </w:r>
            <w:r>
              <w:rPr>
                <w:rFonts w:ascii="Times New Roman" w:hAnsi="Times New Roman" w:eastAsia="黑体"/>
                <w:szCs w:val="21"/>
              </w:rPr>
              <w:t>元/千瓦时</w:t>
            </w:r>
            <w:r>
              <w:rPr>
                <w:rFonts w:hint="default" w:ascii="Times New Roman" w:hAnsi="Times New Roman" w:eastAsia="黑体"/>
                <w:szCs w:val="21"/>
              </w:rPr>
              <w:t>）</w:t>
            </w:r>
          </w:p>
        </w:tc>
      </w:tr>
      <w:tr>
        <w:tblPrEx>
          <w:tblLayout w:type="fixed"/>
          <w:tblCellMar>
            <w:top w:w="0" w:type="dxa"/>
            <w:left w:w="108" w:type="dxa"/>
            <w:bottom w:w="0" w:type="dxa"/>
            <w:right w:w="108" w:type="dxa"/>
          </w:tblCellMar>
        </w:tblPrEx>
        <w:trPr>
          <w:trHeight w:val="567" w:hRule="atLeast"/>
          <w:jc w:val="center"/>
        </w:trPr>
        <w:tc>
          <w:tcPr>
            <w:tcW w:w="2722" w:type="dxa"/>
            <w:vMerge w:val="continue"/>
            <w:tcBorders>
              <w:top w:val="single" w:color="auto" w:sz="8" w:space="0"/>
              <w:left w:val="single" w:color="auto" w:sz="8" w:space="0"/>
              <w:bottom w:val="single" w:color="auto" w:sz="4" w:space="0"/>
              <w:right w:val="single" w:color="auto" w:sz="4" w:space="0"/>
            </w:tcBorders>
            <w:vAlign w:val="center"/>
          </w:tcPr>
          <w:p>
            <w:pPr>
              <w:widowControl/>
              <w:jc w:val="left"/>
              <w:rPr>
                <w:rFonts w:ascii="Times New Roman" w:hAnsi="Times New Roman" w:eastAsia="黑体"/>
                <w:kern w:val="0"/>
                <w:szCs w:val="21"/>
              </w:rPr>
            </w:pPr>
          </w:p>
        </w:tc>
        <w:tc>
          <w:tcPr>
            <w:tcW w:w="1898" w:type="dxa"/>
            <w:tcBorders>
              <w:top w:val="nil"/>
              <w:left w:val="nil"/>
              <w:bottom w:val="single" w:color="auto" w:sz="4" w:space="0"/>
              <w:right w:val="single" w:color="auto" w:sz="4" w:space="0"/>
            </w:tcBorders>
            <w:vAlign w:val="center"/>
          </w:tcPr>
          <w:p>
            <w:pPr>
              <w:widowControl/>
              <w:jc w:val="center"/>
              <w:rPr>
                <w:rFonts w:ascii="Times New Roman" w:hAnsi="Times New Roman" w:eastAsia="黑体"/>
                <w:kern w:val="0"/>
                <w:szCs w:val="21"/>
              </w:rPr>
            </w:pPr>
            <w:r>
              <w:rPr>
                <w:rFonts w:ascii="Times New Roman" w:hAnsi="Times New Roman" w:eastAsia="黑体"/>
                <w:kern w:val="0"/>
                <w:szCs w:val="21"/>
              </w:rPr>
              <w:t>1-10千伏</w:t>
            </w:r>
          </w:p>
        </w:tc>
        <w:tc>
          <w:tcPr>
            <w:tcW w:w="2352" w:type="dxa"/>
            <w:tcBorders>
              <w:top w:val="nil"/>
              <w:left w:val="nil"/>
              <w:bottom w:val="single" w:color="auto" w:sz="4" w:space="0"/>
              <w:right w:val="single" w:color="auto" w:sz="4" w:space="0"/>
            </w:tcBorders>
            <w:vAlign w:val="center"/>
          </w:tcPr>
          <w:p>
            <w:pPr>
              <w:widowControl/>
              <w:jc w:val="center"/>
              <w:rPr>
                <w:rFonts w:ascii="Times New Roman" w:hAnsi="Times New Roman" w:eastAsia="黑体"/>
                <w:kern w:val="0"/>
                <w:szCs w:val="21"/>
              </w:rPr>
            </w:pPr>
            <w:r>
              <w:rPr>
                <w:rFonts w:ascii="Times New Roman" w:hAnsi="Times New Roman" w:eastAsia="黑体"/>
                <w:kern w:val="0"/>
                <w:szCs w:val="21"/>
              </w:rPr>
              <w:t>35-110千伏以下</w:t>
            </w:r>
          </w:p>
        </w:tc>
        <w:tc>
          <w:tcPr>
            <w:tcW w:w="2031" w:type="dxa"/>
            <w:tcBorders>
              <w:top w:val="nil"/>
              <w:left w:val="nil"/>
              <w:bottom w:val="single" w:color="auto" w:sz="4" w:space="0"/>
              <w:right w:val="single" w:color="auto" w:sz="8" w:space="0"/>
            </w:tcBorders>
            <w:vAlign w:val="center"/>
          </w:tcPr>
          <w:p>
            <w:pPr>
              <w:widowControl/>
              <w:jc w:val="center"/>
              <w:rPr>
                <w:rFonts w:ascii="Times New Roman" w:hAnsi="Times New Roman" w:eastAsia="黑体"/>
                <w:kern w:val="0"/>
                <w:szCs w:val="21"/>
              </w:rPr>
            </w:pPr>
            <w:r>
              <w:rPr>
                <w:rFonts w:ascii="Times New Roman" w:hAnsi="Times New Roman" w:eastAsia="黑体"/>
                <w:kern w:val="0"/>
                <w:szCs w:val="21"/>
              </w:rPr>
              <w:t>110千伏</w:t>
            </w:r>
          </w:p>
        </w:tc>
      </w:tr>
      <w:tr>
        <w:tblPrEx>
          <w:tblLayout w:type="fixed"/>
          <w:tblCellMar>
            <w:top w:w="0" w:type="dxa"/>
            <w:left w:w="108" w:type="dxa"/>
            <w:bottom w:w="0" w:type="dxa"/>
            <w:right w:w="108" w:type="dxa"/>
          </w:tblCellMar>
        </w:tblPrEx>
        <w:trPr>
          <w:trHeight w:val="567" w:hRule="atLeast"/>
          <w:jc w:val="center"/>
        </w:trPr>
        <w:tc>
          <w:tcPr>
            <w:tcW w:w="2722" w:type="dxa"/>
            <w:tcBorders>
              <w:top w:val="nil"/>
              <w:left w:val="single" w:color="auto" w:sz="8" w:space="0"/>
              <w:bottom w:val="single" w:color="auto" w:sz="4" w:space="0"/>
              <w:right w:val="single" w:color="auto" w:sz="4" w:space="0"/>
            </w:tcBorders>
            <w:vAlign w:val="center"/>
          </w:tcPr>
          <w:p>
            <w:pPr>
              <w:widowControl/>
              <w:jc w:val="left"/>
              <w:rPr>
                <w:rFonts w:ascii="Times New Roman" w:hAnsi="Times New Roman"/>
                <w:kern w:val="0"/>
                <w:szCs w:val="21"/>
              </w:rPr>
            </w:pPr>
            <w:r>
              <w:rPr>
                <w:rFonts w:ascii="Times New Roman" w:hAnsi="Times New Roman"/>
                <w:kern w:val="0"/>
                <w:szCs w:val="21"/>
              </w:rPr>
              <w:t>一、居民生活用电</w:t>
            </w:r>
          </w:p>
        </w:tc>
        <w:tc>
          <w:tcPr>
            <w:tcW w:w="1898" w:type="dxa"/>
            <w:tcBorders>
              <w:top w:val="nil"/>
              <w:left w:val="nil"/>
              <w:bottom w:val="single" w:color="auto" w:sz="4" w:space="0"/>
              <w:right w:val="single" w:color="auto" w:sz="4" w:space="0"/>
            </w:tcBorders>
            <w:vAlign w:val="center"/>
          </w:tcPr>
          <w:p>
            <w:pPr>
              <w:widowControl/>
              <w:spacing w:line="360" w:lineRule="exact"/>
              <w:jc w:val="center"/>
              <w:rPr>
                <w:rFonts w:ascii="Times New Roman" w:hAnsi="Times New Roman"/>
                <w:kern w:val="0"/>
                <w:szCs w:val="21"/>
              </w:rPr>
            </w:pPr>
            <w:r>
              <w:rPr>
                <w:rFonts w:ascii="Times New Roman" w:hAnsi="Times New Roman"/>
                <w:kern w:val="0"/>
                <w:szCs w:val="21"/>
              </w:rPr>
              <w:t xml:space="preserve">0.4530 </w:t>
            </w:r>
          </w:p>
        </w:tc>
        <w:tc>
          <w:tcPr>
            <w:tcW w:w="2352" w:type="dxa"/>
            <w:tcBorders>
              <w:top w:val="nil"/>
              <w:left w:val="nil"/>
              <w:bottom w:val="single" w:color="auto" w:sz="4" w:space="0"/>
              <w:right w:val="single" w:color="auto" w:sz="4" w:space="0"/>
            </w:tcBorders>
            <w:vAlign w:val="center"/>
          </w:tcPr>
          <w:p>
            <w:pPr>
              <w:widowControl/>
              <w:spacing w:line="360" w:lineRule="exact"/>
              <w:jc w:val="center"/>
              <w:rPr>
                <w:rFonts w:ascii="Times New Roman" w:hAnsi="Times New Roman"/>
                <w:kern w:val="0"/>
                <w:szCs w:val="21"/>
              </w:rPr>
            </w:pPr>
            <w:r>
              <w:rPr>
                <w:rFonts w:ascii="Times New Roman" w:hAnsi="Times New Roman"/>
                <w:kern w:val="0"/>
                <w:szCs w:val="21"/>
              </w:rPr>
              <w:t xml:space="preserve">0.4430 </w:t>
            </w:r>
          </w:p>
        </w:tc>
        <w:tc>
          <w:tcPr>
            <w:tcW w:w="2031" w:type="dxa"/>
            <w:tcBorders>
              <w:top w:val="nil"/>
              <w:left w:val="nil"/>
              <w:bottom w:val="single" w:color="auto" w:sz="4" w:space="0"/>
              <w:right w:val="single" w:color="auto" w:sz="8" w:space="0"/>
            </w:tcBorders>
            <w:vAlign w:val="center"/>
          </w:tcPr>
          <w:p>
            <w:pPr>
              <w:widowControl/>
              <w:spacing w:line="360" w:lineRule="exact"/>
              <w:jc w:val="center"/>
              <w:rPr>
                <w:rFonts w:ascii="Times New Roman" w:hAnsi="Times New Roman"/>
                <w:kern w:val="0"/>
                <w:szCs w:val="21"/>
              </w:rPr>
            </w:pPr>
            <w:r>
              <w:rPr>
                <w:rFonts w:ascii="Times New Roman" w:hAnsi="Times New Roman"/>
                <w:kern w:val="0"/>
                <w:szCs w:val="21"/>
              </w:rPr>
              <w:t xml:space="preserve">0.4330 </w:t>
            </w:r>
          </w:p>
        </w:tc>
      </w:tr>
      <w:tr>
        <w:tblPrEx>
          <w:tblLayout w:type="fixed"/>
          <w:tblCellMar>
            <w:top w:w="0" w:type="dxa"/>
            <w:left w:w="108" w:type="dxa"/>
            <w:bottom w:w="0" w:type="dxa"/>
            <w:right w:w="108" w:type="dxa"/>
          </w:tblCellMar>
        </w:tblPrEx>
        <w:trPr>
          <w:trHeight w:val="567" w:hRule="atLeast"/>
          <w:jc w:val="center"/>
        </w:trPr>
        <w:tc>
          <w:tcPr>
            <w:tcW w:w="2722" w:type="dxa"/>
            <w:tcBorders>
              <w:top w:val="nil"/>
              <w:left w:val="single" w:color="auto" w:sz="8" w:space="0"/>
              <w:bottom w:val="single" w:color="auto" w:sz="4" w:space="0"/>
              <w:right w:val="single" w:color="auto" w:sz="4" w:space="0"/>
            </w:tcBorders>
            <w:vAlign w:val="center"/>
          </w:tcPr>
          <w:p>
            <w:pPr>
              <w:widowControl/>
              <w:jc w:val="left"/>
              <w:rPr>
                <w:rFonts w:ascii="Times New Roman" w:hAnsi="Times New Roman"/>
                <w:kern w:val="0"/>
                <w:szCs w:val="21"/>
              </w:rPr>
            </w:pPr>
            <w:r>
              <w:rPr>
                <w:rFonts w:ascii="Times New Roman" w:hAnsi="Times New Roman"/>
                <w:kern w:val="0"/>
                <w:szCs w:val="21"/>
              </w:rPr>
              <w:t>二、一般工商业及其他用电</w:t>
            </w:r>
          </w:p>
        </w:tc>
        <w:tc>
          <w:tcPr>
            <w:tcW w:w="1898" w:type="dxa"/>
            <w:tcBorders>
              <w:top w:val="nil"/>
              <w:left w:val="nil"/>
              <w:bottom w:val="single" w:color="auto" w:sz="4" w:space="0"/>
              <w:right w:val="single" w:color="auto" w:sz="4" w:space="0"/>
            </w:tcBorders>
            <w:vAlign w:val="center"/>
          </w:tcPr>
          <w:p>
            <w:pPr>
              <w:widowControl/>
              <w:spacing w:line="360" w:lineRule="exact"/>
              <w:jc w:val="center"/>
              <w:rPr>
                <w:rFonts w:ascii="Times New Roman" w:hAnsi="Times New Roman"/>
                <w:kern w:val="0"/>
                <w:szCs w:val="21"/>
              </w:rPr>
            </w:pPr>
            <w:r>
              <w:rPr>
                <w:rFonts w:hint="default" w:ascii="Times New Roman" w:hAnsi="Times New Roman"/>
                <w:kern w:val="0"/>
                <w:szCs w:val="21"/>
              </w:rPr>
              <w:t>0.5297</w:t>
            </w:r>
          </w:p>
        </w:tc>
        <w:tc>
          <w:tcPr>
            <w:tcW w:w="2352" w:type="dxa"/>
            <w:tcBorders>
              <w:top w:val="nil"/>
              <w:left w:val="nil"/>
              <w:bottom w:val="single" w:color="auto" w:sz="4" w:space="0"/>
              <w:right w:val="single" w:color="auto" w:sz="4" w:space="0"/>
            </w:tcBorders>
            <w:vAlign w:val="center"/>
          </w:tcPr>
          <w:p>
            <w:pPr>
              <w:widowControl/>
              <w:spacing w:line="360" w:lineRule="exact"/>
              <w:jc w:val="center"/>
              <w:rPr>
                <w:rFonts w:ascii="Times New Roman" w:hAnsi="Times New Roman"/>
                <w:kern w:val="0"/>
                <w:szCs w:val="21"/>
              </w:rPr>
            </w:pPr>
            <w:r>
              <w:rPr>
                <w:rFonts w:hint="default" w:ascii="Times New Roman" w:hAnsi="Times New Roman"/>
                <w:kern w:val="0"/>
                <w:szCs w:val="21"/>
              </w:rPr>
              <w:t>0.5197</w:t>
            </w:r>
          </w:p>
        </w:tc>
        <w:tc>
          <w:tcPr>
            <w:tcW w:w="2031" w:type="dxa"/>
            <w:tcBorders>
              <w:top w:val="nil"/>
              <w:left w:val="nil"/>
              <w:bottom w:val="single" w:color="auto" w:sz="4" w:space="0"/>
              <w:right w:val="single" w:color="auto" w:sz="8" w:space="0"/>
            </w:tcBorders>
            <w:vAlign w:val="center"/>
          </w:tcPr>
          <w:p>
            <w:pPr>
              <w:widowControl/>
              <w:spacing w:line="360" w:lineRule="exact"/>
              <w:jc w:val="center"/>
              <w:rPr>
                <w:rFonts w:ascii="Times New Roman" w:hAnsi="Times New Roman"/>
                <w:kern w:val="0"/>
                <w:szCs w:val="21"/>
              </w:rPr>
            </w:pPr>
            <w:r>
              <w:rPr>
                <w:rFonts w:hint="default" w:ascii="Times New Roman" w:hAnsi="Times New Roman"/>
                <w:kern w:val="0"/>
                <w:szCs w:val="21"/>
              </w:rPr>
              <w:t>0.5097</w:t>
            </w:r>
          </w:p>
        </w:tc>
      </w:tr>
      <w:tr>
        <w:tblPrEx>
          <w:tblLayout w:type="fixed"/>
          <w:tblCellMar>
            <w:top w:w="0" w:type="dxa"/>
            <w:left w:w="108" w:type="dxa"/>
            <w:bottom w:w="0" w:type="dxa"/>
            <w:right w:w="108" w:type="dxa"/>
          </w:tblCellMar>
        </w:tblPrEx>
        <w:trPr>
          <w:trHeight w:val="567" w:hRule="atLeast"/>
          <w:jc w:val="center"/>
        </w:trPr>
        <w:tc>
          <w:tcPr>
            <w:tcW w:w="2722" w:type="dxa"/>
            <w:tcBorders>
              <w:top w:val="nil"/>
              <w:left w:val="single" w:color="auto" w:sz="8" w:space="0"/>
              <w:bottom w:val="single" w:color="auto" w:sz="4" w:space="0"/>
              <w:right w:val="single" w:color="auto" w:sz="4" w:space="0"/>
            </w:tcBorders>
            <w:vAlign w:val="center"/>
          </w:tcPr>
          <w:p>
            <w:pPr>
              <w:widowControl/>
              <w:jc w:val="left"/>
              <w:rPr>
                <w:rFonts w:ascii="Times New Roman" w:hAnsi="Times New Roman"/>
                <w:kern w:val="0"/>
                <w:szCs w:val="21"/>
              </w:rPr>
            </w:pPr>
            <w:r>
              <w:rPr>
                <w:rFonts w:ascii="Times New Roman" w:hAnsi="Times New Roman"/>
                <w:kern w:val="0"/>
                <w:szCs w:val="21"/>
              </w:rPr>
              <w:t>三、农业生产用电</w:t>
            </w:r>
          </w:p>
        </w:tc>
        <w:tc>
          <w:tcPr>
            <w:tcW w:w="1898" w:type="dxa"/>
            <w:tcBorders>
              <w:top w:val="nil"/>
              <w:left w:val="nil"/>
              <w:bottom w:val="single" w:color="auto" w:sz="4" w:space="0"/>
              <w:right w:val="single" w:color="auto" w:sz="4" w:space="0"/>
            </w:tcBorders>
            <w:vAlign w:val="center"/>
          </w:tcPr>
          <w:p>
            <w:pPr>
              <w:widowControl/>
              <w:spacing w:line="360" w:lineRule="exact"/>
              <w:jc w:val="center"/>
              <w:rPr>
                <w:rFonts w:ascii="Times New Roman" w:hAnsi="Times New Roman"/>
                <w:kern w:val="0"/>
                <w:szCs w:val="21"/>
              </w:rPr>
            </w:pPr>
            <w:r>
              <w:rPr>
                <w:rFonts w:ascii="Times New Roman" w:hAnsi="Times New Roman"/>
                <w:kern w:val="0"/>
                <w:szCs w:val="21"/>
              </w:rPr>
              <w:t xml:space="preserve">0.4347 </w:t>
            </w:r>
          </w:p>
        </w:tc>
        <w:tc>
          <w:tcPr>
            <w:tcW w:w="2352" w:type="dxa"/>
            <w:tcBorders>
              <w:top w:val="nil"/>
              <w:left w:val="nil"/>
              <w:bottom w:val="single" w:color="auto" w:sz="4" w:space="0"/>
              <w:right w:val="single" w:color="auto" w:sz="4" w:space="0"/>
            </w:tcBorders>
            <w:vAlign w:val="center"/>
          </w:tcPr>
          <w:p>
            <w:pPr>
              <w:widowControl/>
              <w:spacing w:line="360" w:lineRule="exact"/>
              <w:jc w:val="center"/>
              <w:rPr>
                <w:rFonts w:ascii="Times New Roman" w:hAnsi="Times New Roman"/>
                <w:kern w:val="0"/>
                <w:szCs w:val="21"/>
              </w:rPr>
            </w:pPr>
            <w:r>
              <w:rPr>
                <w:rFonts w:ascii="Times New Roman" w:hAnsi="Times New Roman"/>
                <w:kern w:val="0"/>
                <w:szCs w:val="21"/>
              </w:rPr>
              <w:t xml:space="preserve">0.4247 </w:t>
            </w:r>
          </w:p>
        </w:tc>
        <w:tc>
          <w:tcPr>
            <w:tcW w:w="2031" w:type="dxa"/>
            <w:tcBorders>
              <w:top w:val="nil"/>
              <w:left w:val="nil"/>
              <w:bottom w:val="single" w:color="auto" w:sz="4" w:space="0"/>
              <w:right w:val="single" w:color="auto" w:sz="8" w:space="0"/>
            </w:tcBorders>
            <w:vAlign w:val="center"/>
          </w:tcPr>
          <w:p>
            <w:pPr>
              <w:widowControl/>
              <w:spacing w:line="360" w:lineRule="exact"/>
              <w:jc w:val="center"/>
              <w:rPr>
                <w:rFonts w:ascii="Times New Roman" w:hAnsi="Times New Roman"/>
                <w:kern w:val="0"/>
                <w:szCs w:val="21"/>
              </w:rPr>
            </w:pPr>
            <w:r>
              <w:rPr>
                <w:rFonts w:ascii="Times New Roman" w:hAnsi="Times New Roman"/>
                <w:kern w:val="0"/>
                <w:szCs w:val="21"/>
              </w:rPr>
              <w:t xml:space="preserve">0.4147 </w:t>
            </w:r>
          </w:p>
        </w:tc>
      </w:tr>
      <w:tr>
        <w:tblPrEx>
          <w:tblLayout w:type="fixed"/>
          <w:tblCellMar>
            <w:top w:w="0" w:type="dxa"/>
            <w:left w:w="108" w:type="dxa"/>
            <w:bottom w:w="0" w:type="dxa"/>
            <w:right w:w="108" w:type="dxa"/>
          </w:tblCellMar>
        </w:tblPrEx>
        <w:trPr>
          <w:trHeight w:val="567" w:hRule="atLeast"/>
          <w:jc w:val="center"/>
        </w:trPr>
        <w:tc>
          <w:tcPr>
            <w:tcW w:w="2722" w:type="dxa"/>
            <w:tcBorders>
              <w:top w:val="nil"/>
              <w:left w:val="single" w:color="auto" w:sz="8" w:space="0"/>
              <w:bottom w:val="single" w:color="auto" w:sz="8" w:space="0"/>
              <w:right w:val="single" w:color="auto" w:sz="4" w:space="0"/>
            </w:tcBorders>
            <w:vAlign w:val="center"/>
          </w:tcPr>
          <w:p>
            <w:pPr>
              <w:widowControl/>
              <w:jc w:val="left"/>
              <w:rPr>
                <w:rFonts w:ascii="Times New Roman" w:hAnsi="Times New Roman"/>
                <w:kern w:val="0"/>
                <w:szCs w:val="21"/>
              </w:rPr>
            </w:pPr>
            <w:r>
              <w:rPr>
                <w:rFonts w:ascii="Times New Roman" w:hAnsi="Times New Roman"/>
                <w:kern w:val="0"/>
                <w:szCs w:val="21"/>
              </w:rPr>
              <w:t xml:space="preserve">    其中：贫困县农业排灌用电</w:t>
            </w:r>
          </w:p>
        </w:tc>
        <w:tc>
          <w:tcPr>
            <w:tcW w:w="1898" w:type="dxa"/>
            <w:tcBorders>
              <w:top w:val="nil"/>
              <w:left w:val="nil"/>
              <w:bottom w:val="single" w:color="auto" w:sz="8" w:space="0"/>
              <w:right w:val="single" w:color="auto" w:sz="4" w:space="0"/>
            </w:tcBorders>
            <w:vAlign w:val="center"/>
          </w:tcPr>
          <w:p>
            <w:pPr>
              <w:widowControl/>
              <w:spacing w:line="360" w:lineRule="exact"/>
              <w:jc w:val="center"/>
              <w:rPr>
                <w:rFonts w:ascii="Times New Roman" w:hAnsi="Times New Roman"/>
                <w:kern w:val="0"/>
                <w:szCs w:val="21"/>
              </w:rPr>
            </w:pPr>
            <w:r>
              <w:rPr>
                <w:rFonts w:ascii="Times New Roman" w:hAnsi="Times New Roman"/>
                <w:kern w:val="0"/>
                <w:szCs w:val="21"/>
              </w:rPr>
              <w:t xml:space="preserve">0.3227 </w:t>
            </w:r>
          </w:p>
        </w:tc>
        <w:tc>
          <w:tcPr>
            <w:tcW w:w="2352" w:type="dxa"/>
            <w:tcBorders>
              <w:top w:val="nil"/>
              <w:left w:val="nil"/>
              <w:bottom w:val="single" w:color="auto" w:sz="8" w:space="0"/>
              <w:right w:val="single" w:color="auto" w:sz="4" w:space="0"/>
            </w:tcBorders>
            <w:vAlign w:val="center"/>
          </w:tcPr>
          <w:p>
            <w:pPr>
              <w:widowControl/>
              <w:spacing w:line="360" w:lineRule="exact"/>
              <w:jc w:val="center"/>
              <w:rPr>
                <w:rFonts w:ascii="Times New Roman" w:hAnsi="Times New Roman"/>
                <w:kern w:val="0"/>
                <w:szCs w:val="21"/>
              </w:rPr>
            </w:pPr>
            <w:r>
              <w:rPr>
                <w:rFonts w:ascii="Times New Roman" w:hAnsi="Times New Roman"/>
                <w:kern w:val="0"/>
                <w:szCs w:val="21"/>
              </w:rPr>
              <w:t xml:space="preserve">0.3127 </w:t>
            </w:r>
          </w:p>
        </w:tc>
        <w:tc>
          <w:tcPr>
            <w:tcW w:w="2031" w:type="dxa"/>
            <w:tcBorders>
              <w:top w:val="nil"/>
              <w:left w:val="nil"/>
              <w:bottom w:val="single" w:color="auto" w:sz="8" w:space="0"/>
              <w:right w:val="single" w:color="auto" w:sz="8" w:space="0"/>
            </w:tcBorders>
            <w:vAlign w:val="center"/>
          </w:tcPr>
          <w:p>
            <w:pPr>
              <w:widowControl/>
              <w:spacing w:line="360" w:lineRule="exact"/>
              <w:jc w:val="center"/>
              <w:rPr>
                <w:rFonts w:ascii="Times New Roman" w:hAnsi="Times New Roman"/>
                <w:kern w:val="0"/>
                <w:szCs w:val="21"/>
              </w:rPr>
            </w:pPr>
            <w:r>
              <w:rPr>
                <w:rFonts w:ascii="Times New Roman" w:hAnsi="Times New Roman"/>
                <w:kern w:val="0"/>
                <w:szCs w:val="21"/>
              </w:rPr>
              <w:t xml:space="preserve">0.3027 </w:t>
            </w:r>
          </w:p>
        </w:tc>
      </w:tr>
    </w:tbl>
    <w:p>
      <w:pPr>
        <w:widowControl/>
        <w:spacing w:line="460" w:lineRule="exact"/>
        <w:ind w:firstLine="420" w:firstLineChars="200"/>
        <w:jc w:val="left"/>
        <w:rPr>
          <w:rFonts w:hint="default" w:ascii="Times New Roman" w:hAnsi="Times New Roman"/>
          <w:kern w:val="0"/>
          <w:szCs w:val="21"/>
        </w:rPr>
      </w:pPr>
      <w:r>
        <w:rPr>
          <w:rFonts w:hint="default" w:ascii="Times New Roman" w:hAnsi="Times New Roman"/>
          <w:kern w:val="0"/>
          <w:szCs w:val="21"/>
        </w:rPr>
        <w:t xml:space="preserve">注： </w:t>
      </w:r>
    </w:p>
    <w:p>
      <w:pPr>
        <w:widowControl/>
        <w:spacing w:line="460" w:lineRule="exact"/>
        <w:ind w:firstLine="420" w:firstLineChars="200"/>
        <w:jc w:val="both"/>
        <w:rPr>
          <w:rFonts w:hint="default" w:ascii="Times New Roman" w:hAnsi="Times New Roman"/>
          <w:kern w:val="0"/>
          <w:szCs w:val="21"/>
        </w:rPr>
      </w:pPr>
      <w:r>
        <w:rPr>
          <w:rFonts w:hint="default" w:ascii="Times New Roman" w:hAnsi="Times New Roman"/>
          <w:kern w:val="0"/>
          <w:szCs w:val="21"/>
        </w:rPr>
        <w:t>1、上表所列价格，除贫困县农业排灌用电外，含国家重大水利工程建设基金0.21分钱、农网改造还贷资金2分钱。</w:t>
      </w:r>
    </w:p>
    <w:p>
      <w:pPr>
        <w:widowControl/>
        <w:spacing w:line="460" w:lineRule="exact"/>
        <w:ind w:firstLine="420" w:firstLineChars="200"/>
        <w:jc w:val="both"/>
        <w:rPr>
          <w:rFonts w:hint="default" w:ascii="Times New Roman" w:hAnsi="Times New Roman"/>
          <w:kern w:val="0"/>
          <w:szCs w:val="21"/>
        </w:rPr>
      </w:pPr>
      <w:r>
        <w:rPr>
          <w:rFonts w:hint="default" w:ascii="Times New Roman" w:hAnsi="Times New Roman"/>
          <w:kern w:val="0"/>
          <w:szCs w:val="21"/>
        </w:rPr>
        <w:t>2、上表所列价格，除农业生产用电外，均含可再生能源电价附加，其中：居民生活用电0.1分钱，其他用电1.9分钱。</w:t>
      </w:r>
    </w:p>
    <w:p>
      <w:pPr>
        <w:widowControl/>
        <w:spacing w:line="460" w:lineRule="exact"/>
        <w:ind w:firstLine="420" w:firstLineChars="200"/>
        <w:jc w:val="both"/>
        <w:rPr>
          <w:rFonts w:hint="default" w:ascii="Times New Roman" w:hAnsi="Times New Roman"/>
          <w:kern w:val="0"/>
          <w:szCs w:val="21"/>
        </w:rPr>
      </w:pPr>
      <w:r>
        <w:rPr>
          <w:rFonts w:hint="default" w:ascii="Times New Roman" w:hAnsi="Times New Roman"/>
          <w:kern w:val="0"/>
          <w:szCs w:val="21"/>
        </w:rPr>
        <w:t>3、上表所列价格，除农业生产用电外，均含大中型水库移民后期扶持资金0.62分钱和地方水库移民后期扶持资金0.05分钱。</w:t>
      </w:r>
    </w:p>
    <w:p>
      <w:pPr>
        <w:widowControl/>
        <w:spacing w:line="460" w:lineRule="exact"/>
        <w:ind w:firstLine="420" w:firstLineChars="200"/>
        <w:jc w:val="both"/>
        <w:rPr>
          <w:rFonts w:hint="default" w:ascii="Times New Roman" w:hAnsi="Times New Roman"/>
          <w:kern w:val="0"/>
          <w:szCs w:val="21"/>
        </w:rPr>
      </w:pPr>
      <w:r>
        <w:rPr>
          <w:rFonts w:hint="default" w:ascii="Times New Roman" w:hAnsi="Times New Roman"/>
          <w:kern w:val="0"/>
          <w:szCs w:val="21"/>
        </w:rPr>
        <w:t>4、上表所列供农村供电所居民生活电量，在表列电价基础上每千瓦时降低7分钱。</w:t>
      </w:r>
    </w:p>
    <w:p>
      <w:pPr>
        <w:spacing w:after="312" w:afterLines="100" w:line="596" w:lineRule="exact"/>
        <w:ind w:left="3780" w:leftChars="1800" w:firstLine="1280" w:firstLineChars="400"/>
        <w:rPr>
          <w:rFonts w:hint="default" w:ascii="Times New Roman" w:hAnsi="Times New Roman" w:eastAsia="仿宋_GB2312" w:cs="Times New Roman"/>
          <w:sz w:val="32"/>
          <w:szCs w:val="32"/>
        </w:rPr>
      </w:pPr>
    </w:p>
    <w:p>
      <w:pPr>
        <w:wordWrap w:val="0"/>
        <w:autoSpaceDE w:val="0"/>
        <w:autoSpaceDN w:val="0"/>
        <w:adjustRightInd w:val="0"/>
        <w:spacing w:line="596" w:lineRule="exact"/>
        <w:ind w:right="-2"/>
        <w:jc w:val="right"/>
        <w:rPr>
          <w:rFonts w:eastAsia="仿宋_GB2312"/>
          <w:w w:val="98"/>
          <w:sz w:val="32"/>
        </w:rPr>
      </w:pPr>
      <w:r>
        <w:rPr>
          <w:rFonts w:eastAsia="仿宋_GB2312"/>
          <w:w w:val="98"/>
          <w:sz w:val="32"/>
        </w:rPr>
        <w:t xml:space="preserve">        </w:t>
      </w:r>
    </w:p>
    <w:p>
      <w:pPr>
        <w:spacing w:line="596" w:lineRule="exact"/>
        <w:rPr>
          <w:rFonts w:eastAsia="仿宋_GB2312"/>
          <w:sz w:val="32"/>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微软雅黑"/>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A331D0"/>
    <w:rsid w:val="25A331D0"/>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kern w:val="0"/>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2018-09-06T09:57:00Z</dcterms:created>
  <dc:creator>NTKO</dc:creator>
  <cp:lastModifiedBy>NTKO</cp:lastModifiedBy>
  <dcterms:modified xsi:type="dcterms:W3CDTF">2018-09-06T09:57:56Z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